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2002F" w14:textId="77777777" w:rsidR="004070DF" w:rsidRDefault="004070DF" w:rsidP="00956E97">
      <w:pPr>
        <w:pStyle w:val="Title"/>
        <w:rPr>
          <w:b w:val="0"/>
          <w:spacing w:val="-2"/>
          <w:sz w:val="16"/>
          <w:szCs w:val="16"/>
          <w:lang w:val="en-US" w:eastAsia="es-CR"/>
        </w:rPr>
      </w:pPr>
      <w:bookmarkStart w:id="0" w:name="_Toc418072828"/>
      <w:bookmarkStart w:id="1" w:name="_Toc418074046"/>
      <w:bookmarkStart w:id="2" w:name="_Toc418503851"/>
      <w:bookmarkStart w:id="3" w:name="_Toc418912492"/>
      <w:bookmarkStart w:id="4" w:name="_Toc418912575"/>
      <w:bookmarkStart w:id="5" w:name="_Toc418912664"/>
      <w:bookmarkStart w:id="6" w:name="_Toc418912776"/>
      <w:bookmarkStart w:id="7" w:name="_Toc419394357"/>
      <w:bookmarkStart w:id="8" w:name="_Toc419394579"/>
      <w:bookmarkStart w:id="9" w:name="_Toc419394692"/>
      <w:bookmarkStart w:id="10" w:name="_Toc419469656"/>
      <w:bookmarkStart w:id="11" w:name="_Toc419470123"/>
      <w:bookmarkStart w:id="12" w:name="_Toc423359685"/>
      <w:bookmarkStart w:id="13" w:name="_Toc423360961"/>
      <w:bookmarkStart w:id="14" w:name="_Toc429490223"/>
      <w:bookmarkStart w:id="15" w:name="_Toc429497880"/>
      <w:bookmarkStart w:id="16" w:name="_Toc429498223"/>
      <w:bookmarkStart w:id="17" w:name="_Toc429503735"/>
      <w:bookmarkStart w:id="18" w:name="_Toc429503843"/>
      <w:bookmarkStart w:id="19" w:name="_Toc429504241"/>
      <w:bookmarkStart w:id="20" w:name="_Toc429504343"/>
      <w:bookmarkStart w:id="21" w:name="_Toc429677954"/>
      <w:bookmarkStart w:id="22" w:name="_Toc429678062"/>
      <w:bookmarkStart w:id="23" w:name="_Toc430017117"/>
      <w:bookmarkStart w:id="24" w:name="_Toc430017225"/>
      <w:bookmarkStart w:id="25" w:name="_Toc430017346"/>
      <w:bookmarkStart w:id="26" w:name="_Toc430017651"/>
      <w:bookmarkStart w:id="27" w:name="_Toc430018628"/>
      <w:bookmarkStart w:id="28" w:name="_Toc430018730"/>
      <w:bookmarkStart w:id="29" w:name="_Toc430125226"/>
      <w:bookmarkStart w:id="30" w:name="_Toc430125334"/>
    </w:p>
    <w:p w14:paraId="28BBFF38" w14:textId="77777777" w:rsidR="002F702F" w:rsidRPr="002F702F" w:rsidRDefault="002F702F" w:rsidP="002F702F">
      <w:pPr>
        <w:rPr>
          <w:lang w:val="en-US" w:eastAsia="es-CR"/>
        </w:rPr>
      </w:pPr>
    </w:p>
    <w:p w14:paraId="19BE14F2" w14:textId="77777777" w:rsidR="004070DF" w:rsidRPr="008A1DB4" w:rsidRDefault="004070DF" w:rsidP="00956E97">
      <w:pPr>
        <w:pStyle w:val="Title"/>
        <w:rPr>
          <w:spacing w:val="-2"/>
          <w:lang w:val="en-US" w:eastAsia="es-CR"/>
        </w:rPr>
      </w:pPr>
    </w:p>
    <w:p w14:paraId="2C3643C9" w14:textId="77777777" w:rsidR="004070DF" w:rsidRPr="008A1DB4" w:rsidRDefault="004070DF" w:rsidP="00956E97">
      <w:pPr>
        <w:pStyle w:val="Title"/>
        <w:rPr>
          <w:spacing w:val="-2"/>
          <w:lang w:val="en-US" w:eastAsia="es-CR"/>
        </w:rPr>
      </w:pPr>
    </w:p>
    <w:p w14:paraId="38D32E84" w14:textId="77777777" w:rsidR="004070DF" w:rsidRPr="008A1DB4" w:rsidRDefault="004070DF" w:rsidP="00956E97">
      <w:pPr>
        <w:pStyle w:val="Title"/>
        <w:rPr>
          <w:spacing w:val="-2"/>
          <w:lang w:val="en-US" w:eastAsia="es-CR"/>
        </w:rPr>
      </w:pPr>
    </w:p>
    <w:p w14:paraId="18AC5625" w14:textId="77777777" w:rsidR="004070DF" w:rsidRPr="008A1DB4" w:rsidRDefault="004070DF" w:rsidP="00956E97">
      <w:pPr>
        <w:pStyle w:val="Title"/>
        <w:rPr>
          <w:spacing w:val="-2"/>
          <w:lang w:val="en-US" w:eastAsia="es-CR"/>
        </w:rPr>
      </w:pPr>
    </w:p>
    <w:p w14:paraId="26719B44" w14:textId="77777777" w:rsidR="004070DF" w:rsidRPr="008A1DB4" w:rsidRDefault="004070DF" w:rsidP="00956E97">
      <w:pPr>
        <w:pStyle w:val="Title"/>
        <w:rPr>
          <w:spacing w:val="-2"/>
          <w:lang w:val="en-US" w:eastAsia="es-CR"/>
        </w:rPr>
      </w:pPr>
    </w:p>
    <w:p w14:paraId="1C64B120" w14:textId="1F6CFF7F" w:rsidR="009D230F" w:rsidRPr="008A1DB4" w:rsidRDefault="00F36400" w:rsidP="00956E97">
      <w:pPr>
        <w:pStyle w:val="Title"/>
        <w:rPr>
          <w:spacing w:val="-2"/>
          <w:lang w:val="en-US" w:eastAsia="es-CR"/>
        </w:rPr>
      </w:pPr>
      <w:r w:rsidRPr="008A1DB4">
        <w:rPr>
          <w:spacing w:val="-2"/>
          <w:lang w:val="en-US" w:eastAsia="es-CR"/>
        </w:rPr>
        <w:t>INTER-AMERICAN COURT OF HUMAN RIGHTS</w:t>
      </w:r>
      <w:r w:rsidR="008B7E73" w:rsidRPr="008A1DB4">
        <w:rPr>
          <w:rFonts w:cs="Verdana"/>
          <w:spacing w:val="-2"/>
          <w:vertAlign w:val="superscript"/>
          <w:lang w:val="en-US" w:eastAsia="es-CR"/>
        </w:rPr>
        <w:footnoteReference w:customMarkFollows="1" w:id="1"/>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5DEBD4CA" w14:textId="77777777" w:rsidR="009D230F" w:rsidRPr="008A1DB4" w:rsidRDefault="009D230F" w:rsidP="00956E97">
      <w:pPr>
        <w:rPr>
          <w:snapToGrid w:val="0"/>
          <w:spacing w:val="-2"/>
          <w:lang w:val="en-US"/>
        </w:rPr>
      </w:pPr>
      <w:r w:rsidRPr="008A1DB4">
        <w:rPr>
          <w:snapToGrid w:val="0"/>
          <w:spacing w:val="-2"/>
          <w:lang w:val="en-US"/>
        </w:rPr>
        <w:t xml:space="preserve"> </w:t>
      </w:r>
    </w:p>
    <w:p w14:paraId="3B4F441E" w14:textId="2ABEDF77" w:rsidR="009D230F" w:rsidRPr="008A1DB4" w:rsidRDefault="00F36400" w:rsidP="00956E97">
      <w:pPr>
        <w:pStyle w:val="Title"/>
        <w:rPr>
          <w:spacing w:val="-2"/>
          <w:lang w:val="en-US" w:eastAsia="es-CR"/>
        </w:rPr>
      </w:pPr>
      <w:bookmarkStart w:id="31" w:name="_Toc418072829"/>
      <w:bookmarkStart w:id="32" w:name="_Toc418074047"/>
      <w:bookmarkStart w:id="33" w:name="_Toc418503852"/>
      <w:bookmarkStart w:id="34" w:name="_Toc418912493"/>
      <w:bookmarkStart w:id="35" w:name="_Toc418912576"/>
      <w:bookmarkStart w:id="36" w:name="_Toc418912665"/>
      <w:bookmarkStart w:id="37" w:name="_Toc418912777"/>
      <w:bookmarkStart w:id="38" w:name="_Toc419394358"/>
      <w:bookmarkStart w:id="39" w:name="_Toc419394580"/>
      <w:bookmarkStart w:id="40" w:name="_Toc419394693"/>
      <w:bookmarkStart w:id="41" w:name="_Toc419469657"/>
      <w:bookmarkStart w:id="42" w:name="_Toc419470124"/>
      <w:bookmarkStart w:id="43" w:name="_Toc423359686"/>
      <w:bookmarkStart w:id="44" w:name="_Toc423360962"/>
      <w:bookmarkStart w:id="45" w:name="_Toc429490224"/>
      <w:bookmarkStart w:id="46" w:name="_Toc429497881"/>
      <w:bookmarkStart w:id="47" w:name="_Toc429498224"/>
      <w:bookmarkStart w:id="48" w:name="_Toc429503736"/>
      <w:bookmarkStart w:id="49" w:name="_Toc429503844"/>
      <w:bookmarkStart w:id="50" w:name="_Toc429504242"/>
      <w:bookmarkStart w:id="51" w:name="_Toc429504344"/>
      <w:bookmarkStart w:id="52" w:name="_Toc429677955"/>
      <w:bookmarkStart w:id="53" w:name="_Toc429678063"/>
      <w:bookmarkStart w:id="54" w:name="_Toc430017118"/>
      <w:bookmarkStart w:id="55" w:name="_Toc430017226"/>
      <w:bookmarkStart w:id="56" w:name="_Toc430017347"/>
      <w:bookmarkStart w:id="57" w:name="_Toc430017652"/>
      <w:bookmarkStart w:id="58" w:name="_Toc430018629"/>
      <w:bookmarkStart w:id="59" w:name="_Toc430018731"/>
      <w:bookmarkStart w:id="60" w:name="_Toc430125227"/>
      <w:bookmarkStart w:id="61" w:name="_Toc430125335"/>
      <w:r w:rsidRPr="008A1DB4">
        <w:rPr>
          <w:spacing w:val="-2"/>
          <w:lang w:val="en-US" w:eastAsia="es-CR"/>
        </w:rPr>
        <w:t>CASE OF</w:t>
      </w:r>
      <w:r w:rsidR="009D230F" w:rsidRPr="008A1DB4">
        <w:rPr>
          <w:spacing w:val="-2"/>
          <w:lang w:val="en-US" w:eastAsia="es-CR"/>
        </w:rPr>
        <w:t xml:space="preserve"> </w:t>
      </w:r>
      <w:r w:rsidR="00442420" w:rsidRPr="008A1DB4">
        <w:rPr>
          <w:spacing w:val="-2"/>
          <w:lang w:val="en-US" w:eastAsia="es-CR"/>
        </w:rPr>
        <w:t>WONG HO WING</w:t>
      </w:r>
      <w:r w:rsidR="00353ED3" w:rsidRPr="008A1DB4">
        <w:rPr>
          <w:rStyle w:val="FootnoteReference"/>
          <w:spacing w:val="-2"/>
          <w:lang w:val="en-US" w:eastAsia="es-CR"/>
        </w:rPr>
        <w:footnoteReference w:customMarkFollows="1" w:id="2"/>
        <w:t>**</w:t>
      </w:r>
      <w:r w:rsidRPr="008A1DB4">
        <w:rPr>
          <w:spacing w:val="-2"/>
          <w:lang w:val="en-US" w:eastAsia="es-CR"/>
        </w:rPr>
        <w:t xml:space="preserve"> </w:t>
      </w:r>
      <w:r w:rsidRPr="008A1DB4">
        <w:rPr>
          <w:i/>
          <w:spacing w:val="-2"/>
          <w:lang w:val="en-US" w:eastAsia="es-CR"/>
        </w:rPr>
        <w:t>V</w:t>
      </w:r>
      <w:r w:rsidR="009D230F" w:rsidRPr="008A1DB4">
        <w:rPr>
          <w:i/>
          <w:spacing w:val="-2"/>
          <w:lang w:val="en-US" w:eastAsia="es-CR"/>
        </w:rPr>
        <w:t>.</w:t>
      </w:r>
      <w:r w:rsidR="009D230F" w:rsidRPr="008A1DB4">
        <w:rPr>
          <w:spacing w:val="-2"/>
          <w:lang w:val="en-US" w:eastAsia="es-CR"/>
        </w:rPr>
        <w:t xml:space="preserve"> </w:t>
      </w:r>
      <w:r w:rsidRPr="008A1DB4">
        <w:rPr>
          <w:spacing w:val="-2"/>
          <w:lang w:val="en-US" w:eastAsia="es-CR"/>
        </w:rPr>
        <w:t>PERU</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AF4FA9A" w14:textId="77777777" w:rsidR="009D230F" w:rsidRPr="008A1DB4" w:rsidRDefault="009D230F" w:rsidP="00956E97">
      <w:pPr>
        <w:rPr>
          <w:snapToGrid w:val="0"/>
          <w:spacing w:val="-2"/>
          <w:lang w:val="en-US"/>
        </w:rPr>
      </w:pPr>
    </w:p>
    <w:p w14:paraId="533EDFA1" w14:textId="31D26E31" w:rsidR="009D230F" w:rsidRPr="008A1DB4" w:rsidRDefault="00071662" w:rsidP="00956E97">
      <w:pPr>
        <w:pStyle w:val="Title"/>
        <w:rPr>
          <w:snapToGrid w:val="0"/>
          <w:spacing w:val="-2"/>
          <w:lang w:val="en-US"/>
        </w:rPr>
      </w:pPr>
      <w:bookmarkStart w:id="62" w:name="_Toc418072830"/>
      <w:bookmarkStart w:id="63" w:name="_Toc418074048"/>
      <w:bookmarkStart w:id="64" w:name="_Toc418503853"/>
      <w:bookmarkStart w:id="65" w:name="_Toc418912494"/>
      <w:bookmarkStart w:id="66" w:name="_Toc418912577"/>
      <w:bookmarkStart w:id="67" w:name="_Toc418912666"/>
      <w:bookmarkStart w:id="68" w:name="_Toc418912778"/>
      <w:bookmarkStart w:id="69" w:name="_Toc419394359"/>
      <w:bookmarkStart w:id="70" w:name="_Toc419394581"/>
      <w:bookmarkStart w:id="71" w:name="_Toc419394694"/>
      <w:bookmarkStart w:id="72" w:name="_Toc419469658"/>
      <w:bookmarkStart w:id="73" w:name="_Toc419470125"/>
      <w:bookmarkStart w:id="74" w:name="_Toc423359687"/>
      <w:bookmarkStart w:id="75" w:name="_Toc423360963"/>
      <w:bookmarkStart w:id="76" w:name="_Toc429490225"/>
      <w:bookmarkStart w:id="77" w:name="_Toc429497882"/>
      <w:bookmarkStart w:id="78" w:name="_Toc429498225"/>
      <w:bookmarkStart w:id="79" w:name="_Toc429503737"/>
      <w:bookmarkStart w:id="80" w:name="_Toc429503845"/>
      <w:bookmarkStart w:id="81" w:name="_Toc429504243"/>
      <w:bookmarkStart w:id="82" w:name="_Toc429504345"/>
      <w:bookmarkStart w:id="83" w:name="_Toc429677956"/>
      <w:bookmarkStart w:id="84" w:name="_Toc429678064"/>
      <w:bookmarkStart w:id="85" w:name="_Toc430017119"/>
      <w:bookmarkStart w:id="86" w:name="_Toc430017227"/>
      <w:bookmarkStart w:id="87" w:name="_Toc430017348"/>
      <w:bookmarkStart w:id="88" w:name="_Toc430017653"/>
      <w:bookmarkStart w:id="89" w:name="_Toc430018630"/>
      <w:bookmarkStart w:id="90" w:name="_Toc430018732"/>
      <w:bookmarkStart w:id="91" w:name="_Toc430125228"/>
      <w:bookmarkStart w:id="92" w:name="_Toc430125336"/>
      <w:r w:rsidRPr="008A1DB4">
        <w:rPr>
          <w:snapToGrid w:val="0"/>
          <w:spacing w:val="-2"/>
          <w:lang w:val="en-US"/>
        </w:rPr>
        <w:t>JUDGMENT OF JUNE</w:t>
      </w:r>
      <w:r w:rsidR="00C168D8" w:rsidRPr="008A1DB4">
        <w:rPr>
          <w:snapToGrid w:val="0"/>
          <w:spacing w:val="-2"/>
          <w:lang w:val="en-US"/>
        </w:rPr>
        <w:t xml:space="preserve"> 30,</w:t>
      </w:r>
      <w:r w:rsidR="009D230F" w:rsidRPr="008A1DB4">
        <w:rPr>
          <w:snapToGrid w:val="0"/>
          <w:spacing w:val="-2"/>
          <w:lang w:val="en-US"/>
        </w:rPr>
        <w:t xml:space="preserve"> 201</w:t>
      </w:r>
      <w:r w:rsidR="00E1073B" w:rsidRPr="008A1DB4">
        <w:rPr>
          <w:snapToGrid w:val="0"/>
          <w:spacing w:val="-2"/>
          <w:lang w:val="en-US"/>
        </w:rPr>
        <w:t>5</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E15FCBB" w14:textId="77777777" w:rsidR="009D230F" w:rsidRPr="008A1DB4" w:rsidRDefault="009D230F" w:rsidP="00956E97">
      <w:pPr>
        <w:rPr>
          <w:snapToGrid w:val="0"/>
          <w:spacing w:val="-2"/>
          <w:lang w:val="en-US"/>
        </w:rPr>
      </w:pPr>
    </w:p>
    <w:p w14:paraId="1C8D5239" w14:textId="456FC812" w:rsidR="009D230F" w:rsidRPr="008A1DB4" w:rsidRDefault="00DA3A50" w:rsidP="00956E97">
      <w:pPr>
        <w:pStyle w:val="Title"/>
        <w:rPr>
          <w:i/>
          <w:caps/>
          <w:snapToGrid w:val="0"/>
          <w:spacing w:val="-2"/>
          <w:lang w:val="en-US"/>
        </w:rPr>
      </w:pPr>
      <w:bookmarkStart w:id="93" w:name="_Toc418072831"/>
      <w:bookmarkStart w:id="94" w:name="_Toc418074049"/>
      <w:bookmarkStart w:id="95" w:name="_Toc418503854"/>
      <w:bookmarkStart w:id="96" w:name="_Toc418912495"/>
      <w:bookmarkStart w:id="97" w:name="_Toc418912578"/>
      <w:bookmarkStart w:id="98" w:name="_Toc418912667"/>
      <w:bookmarkStart w:id="99" w:name="_Toc418912779"/>
      <w:bookmarkStart w:id="100" w:name="_Toc419394360"/>
      <w:bookmarkStart w:id="101" w:name="_Toc419394582"/>
      <w:bookmarkStart w:id="102" w:name="_Toc419394695"/>
      <w:bookmarkStart w:id="103" w:name="_Toc419469659"/>
      <w:bookmarkStart w:id="104" w:name="_Toc419470126"/>
      <w:bookmarkStart w:id="105" w:name="_Toc423359688"/>
      <w:bookmarkStart w:id="106" w:name="_Toc423360964"/>
      <w:bookmarkStart w:id="107" w:name="_Toc429490226"/>
      <w:bookmarkStart w:id="108" w:name="_Toc429497883"/>
      <w:bookmarkStart w:id="109" w:name="_Toc429498226"/>
      <w:bookmarkStart w:id="110" w:name="_Toc429503738"/>
      <w:bookmarkStart w:id="111" w:name="_Toc429503846"/>
      <w:bookmarkStart w:id="112" w:name="_Toc429504244"/>
      <w:bookmarkStart w:id="113" w:name="_Toc429504346"/>
      <w:bookmarkStart w:id="114" w:name="_Toc429677957"/>
      <w:bookmarkStart w:id="115" w:name="_Toc429678065"/>
      <w:bookmarkStart w:id="116" w:name="_Toc430017120"/>
      <w:bookmarkStart w:id="117" w:name="_Toc430017228"/>
      <w:bookmarkStart w:id="118" w:name="_Toc430017349"/>
      <w:bookmarkStart w:id="119" w:name="_Toc430017654"/>
      <w:bookmarkStart w:id="120" w:name="_Toc430018631"/>
      <w:bookmarkStart w:id="121" w:name="_Toc430018733"/>
      <w:bookmarkStart w:id="122" w:name="_Toc430125229"/>
      <w:bookmarkStart w:id="123" w:name="_Toc430125337"/>
      <w:r w:rsidRPr="008A1DB4">
        <w:rPr>
          <w:i/>
          <w:snapToGrid w:val="0"/>
          <w:spacing w:val="-2"/>
          <w:lang w:val="en-US"/>
        </w:rPr>
        <w:t>(</w:t>
      </w:r>
      <w:r w:rsidR="00F36400" w:rsidRPr="008A1DB4">
        <w:rPr>
          <w:i/>
          <w:snapToGrid w:val="0"/>
          <w:spacing w:val="-2"/>
          <w:lang w:val="en-US"/>
        </w:rPr>
        <w:t>Preliminary objection, merits, reparations and costs</w:t>
      </w:r>
      <w:r w:rsidR="009D230F" w:rsidRPr="008A1DB4">
        <w:rPr>
          <w:i/>
          <w:snapToGrid w:val="0"/>
          <w:spacing w:val="-2"/>
          <w:lang w:val="en-US"/>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49828B3" w14:textId="77777777" w:rsidR="009D230F" w:rsidRPr="008A1DB4" w:rsidRDefault="009D230F" w:rsidP="00956E97">
      <w:pPr>
        <w:rPr>
          <w:spacing w:val="-2"/>
          <w:lang w:val="en-US" w:eastAsia="es-CR"/>
        </w:rPr>
      </w:pPr>
    </w:p>
    <w:p w14:paraId="0C5E4C9F" w14:textId="77777777" w:rsidR="008B7E73" w:rsidRDefault="008B7E73" w:rsidP="00956E97">
      <w:pPr>
        <w:rPr>
          <w:spacing w:val="-2"/>
          <w:lang w:val="en-US" w:eastAsia="es-CR"/>
        </w:rPr>
      </w:pPr>
    </w:p>
    <w:p w14:paraId="4F3ACC81" w14:textId="77777777" w:rsidR="002F702F" w:rsidRDefault="002F702F" w:rsidP="00956E97">
      <w:pPr>
        <w:rPr>
          <w:spacing w:val="-2"/>
          <w:lang w:val="en-US" w:eastAsia="es-CR"/>
        </w:rPr>
      </w:pPr>
    </w:p>
    <w:p w14:paraId="1DC43D71" w14:textId="77777777" w:rsidR="002F702F" w:rsidRPr="008A1DB4" w:rsidRDefault="002F702F" w:rsidP="00956E97">
      <w:pPr>
        <w:rPr>
          <w:spacing w:val="-2"/>
          <w:lang w:val="en-US" w:eastAsia="es-CR"/>
        </w:rPr>
      </w:pPr>
    </w:p>
    <w:p w14:paraId="18AE3154" w14:textId="77777777" w:rsidR="009D230F" w:rsidRPr="008A1DB4" w:rsidRDefault="009D230F" w:rsidP="00956E97">
      <w:pPr>
        <w:rPr>
          <w:spacing w:val="-2"/>
          <w:lang w:val="en-US" w:eastAsia="es-CR"/>
        </w:rPr>
      </w:pPr>
    </w:p>
    <w:p w14:paraId="6DA71484" w14:textId="61CFC513" w:rsidR="009D230F" w:rsidRPr="008A1DB4" w:rsidRDefault="00F36400" w:rsidP="00956E97">
      <w:pPr>
        <w:rPr>
          <w:spacing w:val="-2"/>
          <w:lang w:val="en-US" w:eastAsia="es-CR"/>
        </w:rPr>
      </w:pPr>
      <w:r w:rsidRPr="008A1DB4">
        <w:rPr>
          <w:spacing w:val="-2"/>
          <w:lang w:val="en-US" w:eastAsia="es-CR"/>
        </w:rPr>
        <w:t>In the case of</w:t>
      </w:r>
      <w:r w:rsidR="009D230F" w:rsidRPr="008A1DB4">
        <w:rPr>
          <w:spacing w:val="-2"/>
          <w:lang w:val="en-US" w:eastAsia="es-CR"/>
        </w:rPr>
        <w:t xml:space="preserve"> </w:t>
      </w:r>
      <w:r w:rsidR="00442420" w:rsidRPr="008A1DB4">
        <w:rPr>
          <w:i/>
          <w:spacing w:val="-2"/>
          <w:lang w:val="en-US" w:eastAsia="es-CR"/>
        </w:rPr>
        <w:t>Wong Ho Wing</w:t>
      </w:r>
      <w:r w:rsidR="009D230F" w:rsidRPr="008A1DB4">
        <w:rPr>
          <w:spacing w:val="-2"/>
          <w:lang w:val="en-US" w:eastAsia="es-CR"/>
        </w:rPr>
        <w:t xml:space="preserve">, </w:t>
      </w:r>
    </w:p>
    <w:p w14:paraId="3DCB0437" w14:textId="77777777" w:rsidR="009D230F" w:rsidRPr="008A1DB4" w:rsidRDefault="009D230F" w:rsidP="00956E97">
      <w:pPr>
        <w:rPr>
          <w:spacing w:val="-2"/>
          <w:lang w:val="en-US" w:eastAsia="es-CR"/>
        </w:rPr>
      </w:pPr>
    </w:p>
    <w:p w14:paraId="306D79FD" w14:textId="72937A89" w:rsidR="009D230F" w:rsidRPr="008A1DB4" w:rsidRDefault="00F36400" w:rsidP="00956E97">
      <w:pPr>
        <w:rPr>
          <w:spacing w:val="-2"/>
          <w:lang w:val="en-US" w:eastAsia="es-CR"/>
        </w:rPr>
      </w:pPr>
      <w:proofErr w:type="gramStart"/>
      <w:r w:rsidRPr="008A1DB4">
        <w:rPr>
          <w:spacing w:val="-2"/>
          <w:lang w:val="en-US" w:eastAsia="es-CR"/>
        </w:rPr>
        <w:t>the</w:t>
      </w:r>
      <w:proofErr w:type="gramEnd"/>
      <w:r w:rsidRPr="008A1DB4">
        <w:rPr>
          <w:spacing w:val="-2"/>
          <w:lang w:val="en-US" w:eastAsia="es-CR"/>
        </w:rPr>
        <w:t xml:space="preserve"> Inter-American Court of Human Rights</w:t>
      </w:r>
      <w:r w:rsidR="009D230F" w:rsidRPr="008A1DB4">
        <w:rPr>
          <w:spacing w:val="-2"/>
          <w:lang w:val="en-US" w:eastAsia="es-CR"/>
        </w:rPr>
        <w:t xml:space="preserve"> (</w:t>
      </w:r>
      <w:r w:rsidRPr="008A1DB4">
        <w:rPr>
          <w:spacing w:val="-2"/>
          <w:lang w:val="en-US" w:eastAsia="es-CR"/>
        </w:rPr>
        <w:t>hereinafter</w:t>
      </w:r>
      <w:r w:rsidR="009D230F" w:rsidRPr="008A1DB4">
        <w:rPr>
          <w:spacing w:val="-2"/>
          <w:lang w:val="en-US" w:eastAsia="es-CR"/>
        </w:rPr>
        <w:t xml:space="preserve"> “</w:t>
      </w:r>
      <w:r w:rsidRPr="008A1DB4">
        <w:rPr>
          <w:spacing w:val="-2"/>
          <w:lang w:val="en-US" w:eastAsia="es-CR"/>
        </w:rPr>
        <w:t>the Inter-American Court,</w:t>
      </w:r>
      <w:r w:rsidR="009D230F" w:rsidRPr="008A1DB4">
        <w:rPr>
          <w:spacing w:val="-2"/>
          <w:lang w:val="en-US" w:eastAsia="es-CR"/>
        </w:rPr>
        <w:t>”</w:t>
      </w:r>
      <w:r w:rsidR="00A47845" w:rsidRPr="008A1DB4">
        <w:rPr>
          <w:spacing w:val="-2"/>
          <w:lang w:val="en-US" w:eastAsia="es-CR"/>
        </w:rPr>
        <w:t xml:space="preserve"> </w:t>
      </w:r>
      <w:r w:rsidR="00012D98" w:rsidRPr="008A1DB4">
        <w:rPr>
          <w:spacing w:val="-2"/>
          <w:lang w:val="en-US" w:eastAsia="es-CR"/>
        </w:rPr>
        <w:t>or</w:t>
      </w:r>
      <w:r w:rsidR="009D230F" w:rsidRPr="008A1DB4">
        <w:rPr>
          <w:spacing w:val="-2"/>
          <w:lang w:val="en-US" w:eastAsia="es-CR"/>
        </w:rPr>
        <w:t xml:space="preserve"> “</w:t>
      </w:r>
      <w:r w:rsidRPr="008A1DB4">
        <w:rPr>
          <w:spacing w:val="-2"/>
          <w:lang w:val="en-US" w:eastAsia="es-CR"/>
        </w:rPr>
        <w:t>the Court</w:t>
      </w:r>
      <w:r w:rsidR="009D230F" w:rsidRPr="008A1DB4">
        <w:rPr>
          <w:spacing w:val="-2"/>
          <w:lang w:val="en-US" w:eastAsia="es-CR"/>
        </w:rPr>
        <w:t xml:space="preserve">”), </w:t>
      </w:r>
      <w:r w:rsidRPr="008A1DB4">
        <w:rPr>
          <w:spacing w:val="-2"/>
          <w:lang w:val="en-US" w:eastAsia="es-CR"/>
        </w:rPr>
        <w:t>composed of the following judges</w:t>
      </w:r>
      <w:r w:rsidR="009D230F" w:rsidRPr="008A1DB4">
        <w:rPr>
          <w:spacing w:val="-2"/>
          <w:lang w:val="en-US" w:eastAsia="es-CR"/>
        </w:rPr>
        <w:t>:</w:t>
      </w:r>
    </w:p>
    <w:p w14:paraId="72EDA7BD" w14:textId="77777777" w:rsidR="009D230F" w:rsidRPr="008A1DB4" w:rsidRDefault="009D230F" w:rsidP="00956E97">
      <w:pPr>
        <w:rPr>
          <w:spacing w:val="-2"/>
          <w:lang w:val="en-US" w:eastAsia="es-CR"/>
        </w:rPr>
      </w:pPr>
    </w:p>
    <w:p w14:paraId="2248ECC8" w14:textId="5D86DAC1" w:rsidR="00442420" w:rsidRPr="0039093A" w:rsidRDefault="00442420" w:rsidP="00956E97">
      <w:pPr>
        <w:rPr>
          <w:spacing w:val="-2"/>
          <w:lang w:eastAsia="es-CR"/>
        </w:rPr>
      </w:pPr>
      <w:r w:rsidRPr="0039093A">
        <w:rPr>
          <w:spacing w:val="-2"/>
          <w:lang w:eastAsia="es-CR"/>
        </w:rPr>
        <w:t xml:space="preserve">Humberto </w:t>
      </w:r>
      <w:r w:rsidR="00F36400" w:rsidRPr="0039093A">
        <w:rPr>
          <w:spacing w:val="-2"/>
          <w:lang w:eastAsia="es-CR"/>
        </w:rPr>
        <w:t xml:space="preserve">Antonio Sierra Porto, </w:t>
      </w:r>
      <w:proofErr w:type="spellStart"/>
      <w:r w:rsidR="00F36400" w:rsidRPr="0039093A">
        <w:rPr>
          <w:spacing w:val="-2"/>
          <w:lang w:eastAsia="es-CR"/>
        </w:rPr>
        <w:t>President</w:t>
      </w:r>
      <w:proofErr w:type="spellEnd"/>
    </w:p>
    <w:p w14:paraId="62B07684" w14:textId="76CC9BE9" w:rsidR="009D230F" w:rsidRPr="0039093A" w:rsidRDefault="009D230F" w:rsidP="00956E97">
      <w:pPr>
        <w:rPr>
          <w:spacing w:val="-2"/>
          <w:lang w:eastAsia="es-CR"/>
        </w:rPr>
      </w:pPr>
      <w:r w:rsidRPr="0039093A">
        <w:rPr>
          <w:color w:val="000000"/>
          <w:spacing w:val="-2"/>
          <w:lang w:eastAsia="es-CR"/>
        </w:rPr>
        <w:t>Roberto F. Caldas</w:t>
      </w:r>
      <w:r w:rsidR="00442420" w:rsidRPr="0039093A">
        <w:rPr>
          <w:spacing w:val="-2"/>
          <w:lang w:eastAsia="es-CR"/>
        </w:rPr>
        <w:t>, Vice</w:t>
      </w:r>
      <w:r w:rsidR="00F36400" w:rsidRPr="0039093A">
        <w:rPr>
          <w:spacing w:val="-2"/>
          <w:lang w:eastAsia="es-CR"/>
        </w:rPr>
        <w:t xml:space="preserve"> </w:t>
      </w:r>
      <w:proofErr w:type="spellStart"/>
      <w:r w:rsidR="00F36400" w:rsidRPr="0039093A">
        <w:rPr>
          <w:spacing w:val="-2"/>
          <w:lang w:eastAsia="es-CR"/>
        </w:rPr>
        <w:t>President</w:t>
      </w:r>
      <w:proofErr w:type="spellEnd"/>
    </w:p>
    <w:p w14:paraId="26BF9932" w14:textId="22863FC5" w:rsidR="009D230F" w:rsidRPr="0039093A" w:rsidRDefault="009D230F" w:rsidP="00956E97">
      <w:pPr>
        <w:rPr>
          <w:spacing w:val="-2"/>
          <w:lang w:eastAsia="es-CR"/>
        </w:rPr>
      </w:pPr>
      <w:r w:rsidRPr="0039093A">
        <w:rPr>
          <w:spacing w:val="-2"/>
          <w:lang w:eastAsia="es-CR"/>
        </w:rPr>
        <w:t xml:space="preserve">Manuel E. Ventura Robles, </w:t>
      </w:r>
      <w:proofErr w:type="spellStart"/>
      <w:r w:rsidR="00F36400" w:rsidRPr="0039093A">
        <w:rPr>
          <w:spacing w:val="-2"/>
          <w:lang w:eastAsia="es-CR"/>
        </w:rPr>
        <w:t>Judge</w:t>
      </w:r>
      <w:proofErr w:type="spellEnd"/>
    </w:p>
    <w:p w14:paraId="1F64D494" w14:textId="13492171" w:rsidR="009D230F" w:rsidRPr="0039093A" w:rsidRDefault="009D230F" w:rsidP="00956E97">
      <w:pPr>
        <w:rPr>
          <w:spacing w:val="-2"/>
          <w:lang w:eastAsia="es-CR"/>
        </w:rPr>
      </w:pPr>
      <w:r w:rsidRPr="0039093A">
        <w:rPr>
          <w:spacing w:val="-2"/>
          <w:lang w:eastAsia="es-CR"/>
        </w:rPr>
        <w:t xml:space="preserve">Alberto Pérez </w:t>
      </w:r>
      <w:proofErr w:type="spellStart"/>
      <w:r w:rsidRPr="0039093A">
        <w:rPr>
          <w:spacing w:val="-2"/>
          <w:lang w:eastAsia="es-CR"/>
        </w:rPr>
        <w:t>Pérez</w:t>
      </w:r>
      <w:proofErr w:type="spellEnd"/>
      <w:r w:rsidRPr="0039093A">
        <w:rPr>
          <w:spacing w:val="-2"/>
          <w:lang w:eastAsia="es-CR"/>
        </w:rPr>
        <w:t xml:space="preserve">, </w:t>
      </w:r>
      <w:proofErr w:type="spellStart"/>
      <w:r w:rsidR="00F36400" w:rsidRPr="0039093A">
        <w:rPr>
          <w:spacing w:val="-2"/>
          <w:lang w:eastAsia="es-CR"/>
        </w:rPr>
        <w:t>Judge</w:t>
      </w:r>
      <w:proofErr w:type="spellEnd"/>
    </w:p>
    <w:p w14:paraId="7A3BFB31" w14:textId="630AEE7D" w:rsidR="009D230F" w:rsidRPr="008A1DB4" w:rsidRDefault="009D230F" w:rsidP="00956E97">
      <w:pPr>
        <w:rPr>
          <w:spacing w:val="-2"/>
          <w:lang w:val="en-US" w:eastAsia="es-CR"/>
        </w:rPr>
      </w:pPr>
      <w:r w:rsidRPr="008A1DB4">
        <w:rPr>
          <w:spacing w:val="-2"/>
          <w:lang w:val="en-US" w:eastAsia="es-CR"/>
        </w:rPr>
        <w:t xml:space="preserve">Eduardo </w:t>
      </w:r>
      <w:proofErr w:type="spellStart"/>
      <w:r w:rsidRPr="008A1DB4">
        <w:rPr>
          <w:spacing w:val="-2"/>
          <w:lang w:val="en-US" w:eastAsia="es-CR"/>
        </w:rPr>
        <w:t>Vio</w:t>
      </w:r>
      <w:proofErr w:type="spellEnd"/>
      <w:r w:rsidRPr="008A1DB4">
        <w:rPr>
          <w:spacing w:val="-2"/>
          <w:lang w:val="en-US" w:eastAsia="es-CR"/>
        </w:rPr>
        <w:t xml:space="preserve"> </w:t>
      </w:r>
      <w:proofErr w:type="spellStart"/>
      <w:r w:rsidRPr="008A1DB4">
        <w:rPr>
          <w:spacing w:val="-2"/>
          <w:lang w:val="en-US" w:eastAsia="es-CR"/>
        </w:rPr>
        <w:t>Grossi</w:t>
      </w:r>
      <w:proofErr w:type="spellEnd"/>
      <w:r w:rsidRPr="008A1DB4">
        <w:rPr>
          <w:spacing w:val="-2"/>
          <w:lang w:val="en-US" w:eastAsia="es-CR"/>
        </w:rPr>
        <w:t xml:space="preserve">, </w:t>
      </w:r>
      <w:r w:rsidR="00F36400" w:rsidRPr="008A1DB4">
        <w:rPr>
          <w:spacing w:val="-2"/>
          <w:lang w:val="en-US" w:eastAsia="es-CR"/>
        </w:rPr>
        <w:t>Judge</w:t>
      </w:r>
      <w:r w:rsidRPr="008A1DB4">
        <w:rPr>
          <w:spacing w:val="-2"/>
          <w:lang w:val="en-US" w:eastAsia="es-CR"/>
        </w:rPr>
        <w:t>,</w:t>
      </w:r>
      <w:r w:rsidR="00F36400" w:rsidRPr="008A1DB4">
        <w:rPr>
          <w:color w:val="000000"/>
          <w:spacing w:val="-2"/>
          <w:lang w:val="en-US" w:eastAsia="es-CR"/>
        </w:rPr>
        <w:t xml:space="preserve"> and</w:t>
      </w:r>
      <w:r w:rsidRPr="008A1DB4">
        <w:rPr>
          <w:color w:val="000000"/>
          <w:spacing w:val="-2"/>
          <w:lang w:val="en-US" w:eastAsia="es-CR"/>
        </w:rPr>
        <w:t xml:space="preserve"> </w:t>
      </w:r>
    </w:p>
    <w:p w14:paraId="6A20874D" w14:textId="30A40553" w:rsidR="009D230F" w:rsidRPr="008A1DB4" w:rsidRDefault="009D230F" w:rsidP="00956E97">
      <w:pPr>
        <w:rPr>
          <w:spacing w:val="-2"/>
          <w:lang w:val="en-US" w:eastAsia="es-CR"/>
        </w:rPr>
      </w:pPr>
      <w:r w:rsidRPr="008A1DB4">
        <w:rPr>
          <w:spacing w:val="-2"/>
          <w:lang w:val="en-US" w:eastAsia="es-CR"/>
        </w:rPr>
        <w:t>Eduardo Ferrer Mac-</w:t>
      </w:r>
      <w:proofErr w:type="spellStart"/>
      <w:r w:rsidRPr="008A1DB4">
        <w:rPr>
          <w:spacing w:val="-2"/>
          <w:lang w:val="en-US" w:eastAsia="es-CR"/>
        </w:rPr>
        <w:t>Gregor</w:t>
      </w:r>
      <w:proofErr w:type="spellEnd"/>
      <w:r w:rsidRPr="008A1DB4">
        <w:rPr>
          <w:spacing w:val="-2"/>
          <w:lang w:val="en-US" w:eastAsia="es-CR"/>
        </w:rPr>
        <w:t xml:space="preserve"> </w:t>
      </w:r>
      <w:proofErr w:type="spellStart"/>
      <w:r w:rsidRPr="008A1DB4">
        <w:rPr>
          <w:spacing w:val="-2"/>
          <w:lang w:val="en-US" w:eastAsia="es-CR"/>
        </w:rPr>
        <w:t>Poisot</w:t>
      </w:r>
      <w:proofErr w:type="spellEnd"/>
      <w:r w:rsidRPr="008A1DB4">
        <w:rPr>
          <w:spacing w:val="-2"/>
          <w:lang w:val="en-US" w:eastAsia="es-CR"/>
        </w:rPr>
        <w:t xml:space="preserve">, </w:t>
      </w:r>
      <w:r w:rsidR="00F36400" w:rsidRPr="008A1DB4">
        <w:rPr>
          <w:spacing w:val="-2"/>
          <w:lang w:val="en-US" w:eastAsia="es-CR"/>
        </w:rPr>
        <w:t>Judge</w:t>
      </w:r>
      <w:r w:rsidRPr="008A1DB4">
        <w:rPr>
          <w:spacing w:val="-2"/>
          <w:lang w:val="en-US" w:eastAsia="es-CR"/>
        </w:rPr>
        <w:t>;</w:t>
      </w:r>
    </w:p>
    <w:p w14:paraId="7CF38297" w14:textId="77777777" w:rsidR="009D230F" w:rsidRPr="008A1DB4" w:rsidRDefault="009D230F" w:rsidP="00956E97">
      <w:pPr>
        <w:rPr>
          <w:spacing w:val="-2"/>
          <w:lang w:val="en-US" w:eastAsia="es-CR"/>
        </w:rPr>
      </w:pPr>
    </w:p>
    <w:p w14:paraId="24E5D118" w14:textId="400016C9" w:rsidR="009D230F" w:rsidRPr="008A1DB4" w:rsidRDefault="00F36400" w:rsidP="00956E97">
      <w:pPr>
        <w:rPr>
          <w:spacing w:val="-2"/>
          <w:lang w:val="en-US" w:eastAsia="es-CR"/>
        </w:rPr>
      </w:pPr>
      <w:proofErr w:type="gramStart"/>
      <w:r w:rsidRPr="008A1DB4">
        <w:rPr>
          <w:spacing w:val="-2"/>
          <w:lang w:val="en-US" w:eastAsia="es-CR"/>
        </w:rPr>
        <w:t>also</w:t>
      </w:r>
      <w:proofErr w:type="gramEnd"/>
      <w:r w:rsidRPr="008A1DB4">
        <w:rPr>
          <w:spacing w:val="-2"/>
          <w:lang w:val="en-US" w:eastAsia="es-CR"/>
        </w:rPr>
        <w:t xml:space="preserve"> present</w:t>
      </w:r>
      <w:r w:rsidR="009D230F" w:rsidRPr="008A1DB4">
        <w:rPr>
          <w:spacing w:val="-2"/>
          <w:lang w:val="en-US" w:eastAsia="es-CR"/>
        </w:rPr>
        <w:t>,</w:t>
      </w:r>
    </w:p>
    <w:p w14:paraId="1F935179" w14:textId="77777777" w:rsidR="009D230F" w:rsidRPr="008A1DB4" w:rsidRDefault="009D230F" w:rsidP="00956E97">
      <w:pPr>
        <w:rPr>
          <w:spacing w:val="-2"/>
          <w:lang w:val="en-US" w:eastAsia="es-CR"/>
        </w:rPr>
      </w:pPr>
    </w:p>
    <w:p w14:paraId="71A95AEE" w14:textId="199101C0" w:rsidR="009D230F" w:rsidRPr="008A1DB4" w:rsidRDefault="009D230F" w:rsidP="00956E97">
      <w:pPr>
        <w:rPr>
          <w:spacing w:val="-2"/>
          <w:lang w:val="en-US" w:eastAsia="es-CR"/>
        </w:rPr>
      </w:pPr>
      <w:r w:rsidRPr="008A1DB4">
        <w:rPr>
          <w:spacing w:val="-2"/>
          <w:lang w:val="en-US" w:eastAsia="es-CR"/>
        </w:rPr>
        <w:t>Pablo</w:t>
      </w:r>
      <w:r w:rsidR="00F36400" w:rsidRPr="008A1DB4">
        <w:rPr>
          <w:spacing w:val="-2"/>
          <w:lang w:val="en-US" w:eastAsia="es-CR"/>
        </w:rPr>
        <w:t xml:space="preserve"> Saavedra </w:t>
      </w:r>
      <w:proofErr w:type="spellStart"/>
      <w:r w:rsidR="00F36400" w:rsidRPr="008A1DB4">
        <w:rPr>
          <w:spacing w:val="-2"/>
          <w:lang w:val="en-US" w:eastAsia="es-CR"/>
        </w:rPr>
        <w:t>Alessandri</w:t>
      </w:r>
      <w:proofErr w:type="spellEnd"/>
      <w:r w:rsidR="00F36400" w:rsidRPr="008A1DB4">
        <w:rPr>
          <w:spacing w:val="-2"/>
          <w:lang w:val="en-US" w:eastAsia="es-CR"/>
        </w:rPr>
        <w:t>, Secretary, and</w:t>
      </w:r>
      <w:r w:rsidRPr="008A1DB4">
        <w:rPr>
          <w:spacing w:val="-2"/>
          <w:lang w:val="en-US" w:eastAsia="es-CR"/>
        </w:rPr>
        <w:t xml:space="preserve"> </w:t>
      </w:r>
    </w:p>
    <w:p w14:paraId="091263B6" w14:textId="62DAD585" w:rsidR="009D230F" w:rsidRPr="008A1DB4" w:rsidRDefault="009D230F" w:rsidP="00956E97">
      <w:pPr>
        <w:rPr>
          <w:spacing w:val="-2"/>
          <w:lang w:val="en-US" w:eastAsia="es-CR"/>
        </w:rPr>
      </w:pPr>
      <w:r w:rsidRPr="008A1DB4">
        <w:rPr>
          <w:spacing w:val="-2"/>
          <w:lang w:val="en-US" w:eastAsia="es-MX"/>
        </w:rPr>
        <w:t xml:space="preserve">Emilia </w:t>
      </w:r>
      <w:proofErr w:type="spellStart"/>
      <w:r w:rsidRPr="008A1DB4">
        <w:rPr>
          <w:spacing w:val="-2"/>
          <w:lang w:val="en-US" w:eastAsia="es-MX"/>
        </w:rPr>
        <w:t>Segares</w:t>
      </w:r>
      <w:proofErr w:type="spellEnd"/>
      <w:r w:rsidRPr="008A1DB4">
        <w:rPr>
          <w:spacing w:val="-2"/>
          <w:lang w:val="en-US" w:eastAsia="es-MX"/>
        </w:rPr>
        <w:t xml:space="preserve"> Rodríguez, </w:t>
      </w:r>
      <w:r w:rsidR="00F36400" w:rsidRPr="008A1DB4">
        <w:rPr>
          <w:spacing w:val="-2"/>
          <w:lang w:val="en-US" w:eastAsia="es-MX"/>
        </w:rPr>
        <w:t>Deputy Secretary</w:t>
      </w:r>
    </w:p>
    <w:p w14:paraId="2187EB5A" w14:textId="77777777" w:rsidR="009D230F" w:rsidRPr="008A1DB4" w:rsidRDefault="009D230F" w:rsidP="00956E97">
      <w:pPr>
        <w:rPr>
          <w:spacing w:val="-2"/>
          <w:lang w:val="en-US" w:eastAsia="es-CR"/>
        </w:rPr>
      </w:pPr>
    </w:p>
    <w:p w14:paraId="765C91F1" w14:textId="0A0EFD70" w:rsidR="008B7E73" w:rsidRPr="008A1DB4" w:rsidRDefault="00F36400" w:rsidP="00956E97">
      <w:pPr>
        <w:rPr>
          <w:spacing w:val="-2"/>
          <w:lang w:val="en-US" w:eastAsia="es-CR"/>
        </w:rPr>
      </w:pPr>
      <w:proofErr w:type="gramStart"/>
      <w:r w:rsidRPr="008A1DB4">
        <w:rPr>
          <w:spacing w:val="-2"/>
          <w:lang w:val="en-US" w:eastAsia="es-CR"/>
        </w:rPr>
        <w:t>pursuant</w:t>
      </w:r>
      <w:proofErr w:type="gramEnd"/>
      <w:r w:rsidRPr="008A1DB4">
        <w:rPr>
          <w:spacing w:val="-2"/>
          <w:lang w:val="en-US" w:eastAsia="es-CR"/>
        </w:rPr>
        <w:t xml:space="preserve"> to Article</w:t>
      </w:r>
      <w:r w:rsidR="009D230F" w:rsidRPr="008A1DB4">
        <w:rPr>
          <w:spacing w:val="-2"/>
          <w:lang w:val="en-US" w:eastAsia="es-CR"/>
        </w:rPr>
        <w:t xml:space="preserve">s </w:t>
      </w:r>
      <w:r w:rsidRPr="008A1DB4">
        <w:rPr>
          <w:spacing w:val="-2"/>
          <w:lang w:val="en-US" w:eastAsia="es-CR"/>
        </w:rPr>
        <w:t>62(3) and 63(1) of the American Convention on Human Rights</w:t>
      </w:r>
      <w:r w:rsidR="009D230F" w:rsidRPr="008A1DB4">
        <w:rPr>
          <w:spacing w:val="-2"/>
          <w:lang w:val="en-US" w:eastAsia="es-CR"/>
        </w:rPr>
        <w:t xml:space="preserve"> (</w:t>
      </w:r>
      <w:r w:rsidRPr="008A1DB4">
        <w:rPr>
          <w:spacing w:val="-2"/>
          <w:lang w:val="en-US" w:eastAsia="es-CR"/>
        </w:rPr>
        <w:t>hereinafter</w:t>
      </w:r>
      <w:r w:rsidR="009D230F" w:rsidRPr="008A1DB4">
        <w:rPr>
          <w:spacing w:val="-2"/>
          <w:lang w:val="en-US" w:eastAsia="es-CR"/>
        </w:rPr>
        <w:t xml:space="preserve"> “</w:t>
      </w:r>
      <w:r w:rsidRPr="008A1DB4">
        <w:rPr>
          <w:spacing w:val="-2"/>
          <w:lang w:val="en-US" w:eastAsia="es-CR"/>
        </w:rPr>
        <w:t>the American Convention</w:t>
      </w:r>
      <w:r w:rsidR="009D230F" w:rsidRPr="008A1DB4">
        <w:rPr>
          <w:spacing w:val="-2"/>
          <w:lang w:val="en-US" w:eastAsia="es-CR"/>
        </w:rPr>
        <w:t>” o</w:t>
      </w:r>
      <w:r w:rsidRPr="008A1DB4">
        <w:rPr>
          <w:spacing w:val="-2"/>
          <w:lang w:val="en-US" w:eastAsia="es-CR"/>
        </w:rPr>
        <w:t>r</w:t>
      </w:r>
      <w:r w:rsidR="009D230F" w:rsidRPr="008A1DB4">
        <w:rPr>
          <w:spacing w:val="-2"/>
          <w:lang w:val="en-US" w:eastAsia="es-CR"/>
        </w:rPr>
        <w:t xml:space="preserve"> “</w:t>
      </w:r>
      <w:r w:rsidRPr="008A1DB4">
        <w:rPr>
          <w:spacing w:val="-2"/>
          <w:lang w:val="en-US" w:eastAsia="es-CR"/>
        </w:rPr>
        <w:t>the Convention</w:t>
      </w:r>
      <w:r w:rsidR="009D230F" w:rsidRPr="008A1DB4">
        <w:rPr>
          <w:spacing w:val="-2"/>
          <w:lang w:val="en-US" w:eastAsia="es-CR"/>
        </w:rPr>
        <w:t>”)</w:t>
      </w:r>
      <w:r w:rsidRPr="008A1DB4">
        <w:rPr>
          <w:spacing w:val="-2"/>
          <w:lang w:val="en-US" w:eastAsia="es-CR"/>
        </w:rPr>
        <w:t xml:space="preserve"> and</w:t>
      </w:r>
      <w:r w:rsidR="009D230F" w:rsidRPr="008A1DB4">
        <w:rPr>
          <w:spacing w:val="-2"/>
          <w:lang w:val="en-US" w:eastAsia="es-CR"/>
        </w:rPr>
        <w:t xml:space="preserve"> </w:t>
      </w:r>
      <w:r w:rsidRPr="008A1DB4">
        <w:rPr>
          <w:spacing w:val="-2"/>
          <w:lang w:val="en-US" w:eastAsia="es-CR"/>
        </w:rPr>
        <w:t>Article</w:t>
      </w:r>
      <w:r w:rsidR="009D230F" w:rsidRPr="008A1DB4">
        <w:rPr>
          <w:spacing w:val="-2"/>
          <w:lang w:val="en-US" w:eastAsia="es-CR"/>
        </w:rPr>
        <w:t>s 31, 32, 42, 65</w:t>
      </w:r>
      <w:r w:rsidRPr="008A1DB4">
        <w:rPr>
          <w:spacing w:val="-2"/>
          <w:lang w:val="en-US" w:eastAsia="es-CR"/>
        </w:rPr>
        <w:t xml:space="preserve"> and </w:t>
      </w:r>
      <w:r w:rsidR="009D230F" w:rsidRPr="008A1DB4">
        <w:rPr>
          <w:spacing w:val="-2"/>
          <w:lang w:val="en-US" w:eastAsia="es-CR"/>
        </w:rPr>
        <w:t xml:space="preserve">67 </w:t>
      </w:r>
      <w:r w:rsidRPr="008A1DB4">
        <w:rPr>
          <w:spacing w:val="-2"/>
          <w:lang w:val="en-US" w:eastAsia="es-CR"/>
        </w:rPr>
        <w:t>of the Court’s Rules of Procedure</w:t>
      </w:r>
      <w:r w:rsidR="009D230F" w:rsidRPr="008A1DB4">
        <w:rPr>
          <w:spacing w:val="-2"/>
          <w:lang w:val="en-US" w:eastAsia="es-CR"/>
        </w:rPr>
        <w:t xml:space="preserve"> (</w:t>
      </w:r>
      <w:r w:rsidRPr="008A1DB4">
        <w:rPr>
          <w:spacing w:val="-2"/>
          <w:lang w:val="en-US" w:eastAsia="es-CR"/>
        </w:rPr>
        <w:t>hereinafter</w:t>
      </w:r>
      <w:r w:rsidR="009D230F" w:rsidRPr="008A1DB4">
        <w:rPr>
          <w:spacing w:val="-2"/>
          <w:lang w:val="en-US" w:eastAsia="es-CR"/>
        </w:rPr>
        <w:t xml:space="preserve"> “</w:t>
      </w:r>
      <w:r w:rsidRPr="008A1DB4">
        <w:rPr>
          <w:spacing w:val="-2"/>
          <w:lang w:val="en-US" w:eastAsia="es-CR"/>
        </w:rPr>
        <w:t>the Rules of Procedure</w:t>
      </w:r>
      <w:r w:rsidR="009D230F" w:rsidRPr="008A1DB4">
        <w:rPr>
          <w:spacing w:val="-2"/>
          <w:lang w:val="en-US" w:eastAsia="es-CR"/>
        </w:rPr>
        <w:t>” o</w:t>
      </w:r>
      <w:r w:rsidRPr="008A1DB4">
        <w:rPr>
          <w:spacing w:val="-2"/>
          <w:lang w:val="en-US" w:eastAsia="es-CR"/>
        </w:rPr>
        <w:t>r</w:t>
      </w:r>
      <w:r w:rsidR="009D230F" w:rsidRPr="008A1DB4">
        <w:rPr>
          <w:spacing w:val="-2"/>
          <w:lang w:val="en-US" w:eastAsia="es-CR"/>
        </w:rPr>
        <w:t xml:space="preserve"> “</w:t>
      </w:r>
      <w:r w:rsidRPr="008A1DB4">
        <w:rPr>
          <w:spacing w:val="-2"/>
          <w:lang w:val="en-US" w:eastAsia="es-CR"/>
        </w:rPr>
        <w:t>the Court’s Rules of Procedure</w:t>
      </w:r>
      <w:r w:rsidR="009D230F" w:rsidRPr="008A1DB4">
        <w:rPr>
          <w:spacing w:val="-2"/>
          <w:lang w:val="en-US" w:eastAsia="es-CR"/>
        </w:rPr>
        <w:t>”), d</w:t>
      </w:r>
      <w:r w:rsidRPr="008A1DB4">
        <w:rPr>
          <w:spacing w:val="-2"/>
          <w:lang w:val="en-US" w:eastAsia="es-CR"/>
        </w:rPr>
        <w:t xml:space="preserve">elivers this Judgment structured as follows: </w:t>
      </w:r>
      <w:bookmarkStart w:id="124" w:name="_Toc395213474"/>
      <w:bookmarkStart w:id="125" w:name="_Toc396514833"/>
      <w:bookmarkStart w:id="126" w:name="_Toc396515102"/>
      <w:bookmarkStart w:id="127" w:name="_Toc373093233"/>
      <w:bookmarkStart w:id="128" w:name="_Toc373350045"/>
      <w:bookmarkStart w:id="129" w:name="_Toc375560891"/>
      <w:bookmarkStart w:id="130" w:name="_Ref305145750"/>
    </w:p>
    <w:p w14:paraId="127E936F" w14:textId="4DA5A1D4" w:rsidR="00E22E43" w:rsidRPr="008A1DB4" w:rsidRDefault="00E22E43" w:rsidP="00956E97">
      <w:pPr>
        <w:spacing w:line="276" w:lineRule="auto"/>
        <w:jc w:val="left"/>
        <w:rPr>
          <w:b/>
          <w:spacing w:val="-2"/>
          <w:sz w:val="18"/>
          <w:szCs w:val="18"/>
          <w:lang w:val="en-US"/>
        </w:rPr>
      </w:pPr>
      <w:bookmarkStart w:id="131" w:name="_Toc418074050"/>
      <w:bookmarkStart w:id="132" w:name="_Toc418503855"/>
      <w:bookmarkStart w:id="133" w:name="_Toc418912496"/>
      <w:bookmarkStart w:id="134" w:name="_Toc418912579"/>
      <w:bookmarkStart w:id="135" w:name="_Toc418912668"/>
      <w:bookmarkStart w:id="136" w:name="_Toc418912780"/>
      <w:bookmarkStart w:id="137" w:name="_Toc419394361"/>
      <w:bookmarkStart w:id="138" w:name="_Toc419394583"/>
      <w:bookmarkStart w:id="139" w:name="_Toc419394696"/>
      <w:bookmarkStart w:id="140" w:name="_Toc419469660"/>
      <w:bookmarkStart w:id="141" w:name="_Toc419470127"/>
      <w:bookmarkStart w:id="142" w:name="_Toc423359689"/>
      <w:bookmarkStart w:id="143" w:name="_Toc423360965"/>
    </w:p>
    <w:p w14:paraId="21141A1F" w14:textId="77777777" w:rsidR="00E510CF" w:rsidRPr="008A1DB4" w:rsidRDefault="00E510CF" w:rsidP="00956E97">
      <w:pPr>
        <w:spacing w:line="276" w:lineRule="auto"/>
        <w:jc w:val="left"/>
        <w:rPr>
          <w:b/>
          <w:spacing w:val="-2"/>
          <w:sz w:val="18"/>
          <w:szCs w:val="18"/>
          <w:lang w:val="en-US"/>
        </w:rPr>
      </w:pPr>
      <w:bookmarkStart w:id="144" w:name="_Toc429490227"/>
      <w:bookmarkStart w:id="145" w:name="_Toc429497884"/>
      <w:bookmarkStart w:id="146" w:name="_Toc429498227"/>
      <w:bookmarkStart w:id="147" w:name="_Toc429503739"/>
      <w:bookmarkStart w:id="148" w:name="_Toc429503847"/>
      <w:bookmarkStart w:id="149" w:name="_Toc429504245"/>
      <w:bookmarkStart w:id="150" w:name="_Toc429504347"/>
      <w:r w:rsidRPr="008A1DB4">
        <w:rPr>
          <w:spacing w:val="-2"/>
          <w:sz w:val="18"/>
          <w:szCs w:val="18"/>
          <w:lang w:val="en-US"/>
        </w:rPr>
        <w:br w:type="page"/>
      </w:r>
    </w:p>
    <w:p w14:paraId="2016E023" w14:textId="1F4A7CC1" w:rsidR="00C6417B" w:rsidRPr="008A1DB4" w:rsidRDefault="00F36400" w:rsidP="00C6417B">
      <w:pPr>
        <w:pStyle w:val="Title"/>
        <w:spacing w:before="60" w:after="60"/>
        <w:rPr>
          <w:spacing w:val="-2"/>
          <w:sz w:val="18"/>
          <w:szCs w:val="18"/>
          <w:lang w:val="en-US"/>
        </w:rPr>
      </w:pPr>
      <w:bookmarkStart w:id="151" w:name="_Toc418912580"/>
      <w:bookmarkStart w:id="152" w:name="_Toc419394362"/>
      <w:bookmarkStart w:id="153" w:name="_Toc419394584"/>
      <w:bookmarkStart w:id="154" w:name="_Toc429490228"/>
      <w:bookmarkStart w:id="155" w:name="_Toc429503740"/>
      <w:bookmarkStart w:id="156" w:name="_Toc429504246"/>
      <w:bookmarkStart w:id="157" w:name="_Toc429677959"/>
      <w:bookmarkStart w:id="158" w:name="_Toc43001712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8A1DB4">
        <w:rPr>
          <w:spacing w:val="-2"/>
          <w:sz w:val="18"/>
          <w:szCs w:val="18"/>
          <w:lang w:val="en-US"/>
        </w:rPr>
        <w:lastRenderedPageBreak/>
        <w:t>TABLE OF CONTENTS</w:t>
      </w:r>
    </w:p>
    <w:p w14:paraId="15C0A5F0" w14:textId="60663480" w:rsidR="00265680" w:rsidRPr="008A1DB4" w:rsidRDefault="00265680" w:rsidP="00265680">
      <w:pPr>
        <w:pStyle w:val="TOC1"/>
        <w:rPr>
          <w:rFonts w:eastAsiaTheme="minorEastAsia"/>
          <w:noProof/>
          <w:sz w:val="18"/>
          <w:szCs w:val="18"/>
          <w:lang w:val="en-US" w:eastAsia="es-CR"/>
        </w:rPr>
      </w:pPr>
      <w:r w:rsidRPr="008A1DB4">
        <w:rPr>
          <w:spacing w:val="-2"/>
          <w:sz w:val="18"/>
          <w:szCs w:val="18"/>
          <w:lang w:val="en-US"/>
        </w:rPr>
        <w:fldChar w:fldCharType="begin"/>
      </w:r>
      <w:r w:rsidRPr="008A1DB4">
        <w:rPr>
          <w:spacing w:val="-2"/>
          <w:sz w:val="18"/>
          <w:szCs w:val="18"/>
          <w:lang w:val="en-US"/>
        </w:rPr>
        <w:instrText xml:space="preserve"> TOC \o "1-4" \h \z \u </w:instrText>
      </w:r>
      <w:r w:rsidRPr="008A1DB4">
        <w:rPr>
          <w:spacing w:val="-2"/>
          <w:sz w:val="18"/>
          <w:szCs w:val="18"/>
          <w:lang w:val="en-US"/>
        </w:rPr>
        <w:fldChar w:fldCharType="separate"/>
      </w:r>
    </w:p>
    <w:p w14:paraId="1AAAB7EA" w14:textId="149AE526" w:rsidR="00265680" w:rsidRPr="008A1DB4" w:rsidRDefault="00397BB4" w:rsidP="00265680">
      <w:pPr>
        <w:pStyle w:val="TOC1"/>
        <w:rPr>
          <w:rFonts w:eastAsiaTheme="minorEastAsia"/>
          <w:b/>
          <w:noProof/>
          <w:sz w:val="18"/>
          <w:szCs w:val="18"/>
          <w:lang w:val="en-US" w:eastAsia="es-CR"/>
        </w:rPr>
      </w:pPr>
      <w:hyperlink w:anchor="_Toc430125339" w:history="1">
        <w:r w:rsidR="00265680" w:rsidRPr="008A1DB4">
          <w:rPr>
            <w:rStyle w:val="Hyperlink"/>
            <w:b/>
            <w:noProof/>
            <w:spacing w:val="-2"/>
            <w:sz w:val="18"/>
            <w:szCs w:val="18"/>
            <w:lang w:val="en-US"/>
          </w:rPr>
          <w:t>I.</w:t>
        </w:r>
        <w:r w:rsidR="00F36400" w:rsidRPr="008A1DB4">
          <w:rPr>
            <w:b/>
            <w:noProof/>
            <w:lang w:val="en-US"/>
          </w:rPr>
          <w:t>INTRODUCTION OF THE CASE AND PURPOSE OF THE DISPUTE</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_Toc430125339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4</w:t>
        </w:r>
        <w:r w:rsidR="00265680" w:rsidRPr="008A1DB4">
          <w:rPr>
            <w:b/>
            <w:noProof/>
            <w:webHidden/>
            <w:sz w:val="18"/>
            <w:szCs w:val="18"/>
            <w:lang w:val="en-US"/>
          </w:rPr>
          <w:fldChar w:fldCharType="end"/>
        </w:r>
      </w:hyperlink>
    </w:p>
    <w:p w14:paraId="163D3822" w14:textId="1DD09D70" w:rsidR="00265680" w:rsidRPr="008A1DB4" w:rsidRDefault="00397BB4" w:rsidP="00265680">
      <w:pPr>
        <w:pStyle w:val="TOC1"/>
        <w:rPr>
          <w:rFonts w:eastAsiaTheme="minorEastAsia"/>
          <w:b/>
          <w:noProof/>
          <w:sz w:val="18"/>
          <w:szCs w:val="18"/>
          <w:lang w:val="en-US" w:eastAsia="es-CR"/>
        </w:rPr>
      </w:pPr>
      <w:hyperlink w:anchor="_Toc430125341" w:history="1">
        <w:r w:rsidR="00265680" w:rsidRPr="008A1DB4">
          <w:rPr>
            <w:rStyle w:val="Hyperlink"/>
            <w:b/>
            <w:noProof/>
            <w:spacing w:val="-2"/>
            <w:sz w:val="18"/>
            <w:szCs w:val="18"/>
            <w:lang w:val="en-US"/>
          </w:rPr>
          <w:t>II.</w:t>
        </w:r>
        <w:r w:rsidR="00265680" w:rsidRPr="008A1DB4">
          <w:rPr>
            <w:b/>
            <w:noProof/>
            <w:lang w:val="en-US"/>
          </w:rPr>
          <w:t xml:space="preserve"> </w:t>
        </w:r>
        <w:r w:rsidR="00C45946" w:rsidRPr="008A1DB4">
          <w:rPr>
            <w:rStyle w:val="Hyperlink"/>
            <w:b/>
            <w:noProof/>
            <w:spacing w:val="-2"/>
            <w:sz w:val="18"/>
            <w:szCs w:val="18"/>
            <w:lang w:val="en-US"/>
          </w:rPr>
          <w:t>PROCEEDINGS BEFORE THE COURT</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_Toc430125341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5</w:t>
        </w:r>
        <w:r w:rsidR="00265680" w:rsidRPr="008A1DB4">
          <w:rPr>
            <w:b/>
            <w:noProof/>
            <w:webHidden/>
            <w:sz w:val="18"/>
            <w:szCs w:val="18"/>
            <w:lang w:val="en-US"/>
          </w:rPr>
          <w:fldChar w:fldCharType="end"/>
        </w:r>
      </w:hyperlink>
    </w:p>
    <w:p w14:paraId="075BF49A" w14:textId="2E9A83FB" w:rsidR="00265680" w:rsidRPr="008A1DB4" w:rsidRDefault="00397BB4" w:rsidP="00265680">
      <w:pPr>
        <w:pStyle w:val="TOC1"/>
        <w:rPr>
          <w:rFonts w:eastAsiaTheme="minorEastAsia"/>
          <w:b/>
          <w:noProof/>
          <w:sz w:val="18"/>
          <w:szCs w:val="18"/>
          <w:lang w:val="en-US" w:eastAsia="es-CR"/>
        </w:rPr>
      </w:pPr>
      <w:hyperlink w:anchor="_Toc430125343" w:history="1">
        <w:r w:rsidR="00265680" w:rsidRPr="008A1DB4">
          <w:rPr>
            <w:rStyle w:val="Hyperlink"/>
            <w:b/>
            <w:noProof/>
            <w:spacing w:val="-2"/>
            <w:sz w:val="18"/>
            <w:szCs w:val="18"/>
            <w:lang w:val="en-US"/>
          </w:rPr>
          <w:t>III.</w:t>
        </w:r>
        <w:r w:rsidR="00265680" w:rsidRPr="008A1DB4">
          <w:rPr>
            <w:b/>
            <w:noProof/>
            <w:lang w:val="en-US"/>
          </w:rPr>
          <w:t xml:space="preserve"> </w:t>
        </w:r>
        <w:r w:rsidR="0039093A">
          <w:rPr>
            <w:rStyle w:val="Hyperlink"/>
            <w:b/>
            <w:noProof/>
            <w:spacing w:val="-2"/>
            <w:sz w:val="18"/>
            <w:szCs w:val="18"/>
            <w:lang w:val="en-US"/>
          </w:rPr>
          <w:t>JURISDICTION</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_Toc430125343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7</w:t>
        </w:r>
        <w:r w:rsidR="00265680" w:rsidRPr="008A1DB4">
          <w:rPr>
            <w:b/>
            <w:noProof/>
            <w:webHidden/>
            <w:sz w:val="18"/>
            <w:szCs w:val="18"/>
            <w:lang w:val="en-US"/>
          </w:rPr>
          <w:fldChar w:fldCharType="end"/>
        </w:r>
      </w:hyperlink>
    </w:p>
    <w:p w14:paraId="7DD75613" w14:textId="78B6000D" w:rsidR="00265680" w:rsidRPr="008A1DB4" w:rsidRDefault="00397BB4" w:rsidP="00265680">
      <w:pPr>
        <w:pStyle w:val="TOC1"/>
        <w:rPr>
          <w:rFonts w:eastAsiaTheme="minorEastAsia"/>
          <w:b/>
          <w:noProof/>
          <w:sz w:val="18"/>
          <w:szCs w:val="18"/>
          <w:lang w:val="en-US" w:eastAsia="es-CR"/>
        </w:rPr>
      </w:pPr>
      <w:hyperlink w:anchor="_Toc430125345" w:history="1">
        <w:r w:rsidR="00265680" w:rsidRPr="008A1DB4">
          <w:rPr>
            <w:rStyle w:val="Hyperlink"/>
            <w:b/>
            <w:noProof/>
            <w:spacing w:val="-2"/>
            <w:sz w:val="18"/>
            <w:szCs w:val="18"/>
            <w:lang w:val="en-US"/>
          </w:rPr>
          <w:t>IV.</w:t>
        </w:r>
        <w:r w:rsidR="00265680" w:rsidRPr="008A1DB4">
          <w:rPr>
            <w:b/>
            <w:noProof/>
            <w:lang w:val="en-US"/>
          </w:rPr>
          <w:t xml:space="preserve"> </w:t>
        </w:r>
        <w:r w:rsidR="00C45946" w:rsidRPr="008A1DB4">
          <w:rPr>
            <w:rStyle w:val="Hyperlink"/>
            <w:b/>
            <w:noProof/>
            <w:spacing w:val="-2"/>
            <w:sz w:val="18"/>
            <w:szCs w:val="18"/>
            <w:lang w:val="en-US"/>
          </w:rPr>
          <w:t>PRELIMINARY OBJECTION</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_Toc430125345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7</w:t>
        </w:r>
        <w:r w:rsidR="00265680" w:rsidRPr="008A1DB4">
          <w:rPr>
            <w:b/>
            <w:noProof/>
            <w:webHidden/>
            <w:sz w:val="18"/>
            <w:szCs w:val="18"/>
            <w:lang w:val="en-US"/>
          </w:rPr>
          <w:fldChar w:fldCharType="end"/>
        </w:r>
      </w:hyperlink>
    </w:p>
    <w:p w14:paraId="3B968432" w14:textId="076FD931" w:rsidR="00265680" w:rsidRPr="008A1DB4" w:rsidRDefault="00397BB4" w:rsidP="00265680">
      <w:pPr>
        <w:pStyle w:val="TOC1"/>
        <w:rPr>
          <w:rFonts w:eastAsiaTheme="minorEastAsia"/>
          <w:noProof/>
          <w:sz w:val="18"/>
          <w:szCs w:val="18"/>
          <w:lang w:val="en-US" w:eastAsia="es-CR"/>
        </w:rPr>
      </w:pPr>
      <w:hyperlink w:anchor="_Toc430125347" w:history="1">
        <w:r w:rsidR="00265680" w:rsidRPr="008A1DB4">
          <w:rPr>
            <w:rStyle w:val="Hyperlink"/>
            <w:noProof/>
            <w:spacing w:val="-2"/>
            <w:sz w:val="18"/>
            <w:szCs w:val="18"/>
            <w:lang w:val="en-US"/>
          </w:rPr>
          <w:t xml:space="preserve">A. </w:t>
        </w:r>
        <w:r w:rsidR="0058668C" w:rsidRPr="008A1DB4">
          <w:rPr>
            <w:rStyle w:val="Hyperlink"/>
            <w:noProof/>
            <w:spacing w:val="-2"/>
            <w:sz w:val="18"/>
            <w:szCs w:val="18"/>
            <w:lang w:val="en-US"/>
          </w:rPr>
          <w:t>Arguments</w:t>
        </w:r>
        <w:r w:rsidR="00C45946" w:rsidRPr="008A1DB4">
          <w:rPr>
            <w:rStyle w:val="Hyperlink"/>
            <w:noProof/>
            <w:spacing w:val="-2"/>
            <w:sz w:val="18"/>
            <w:szCs w:val="18"/>
            <w:lang w:val="en-US"/>
          </w:rPr>
          <w:t xml:space="preserve"> of the </w:t>
        </w:r>
        <w:r w:rsidR="00F36400" w:rsidRPr="008A1DB4">
          <w:rPr>
            <w:rStyle w:val="Hyperlink"/>
            <w:noProof/>
            <w:spacing w:val="-2"/>
            <w:sz w:val="18"/>
            <w:szCs w:val="18"/>
            <w:lang w:val="en-US"/>
          </w:rPr>
          <w:t xml:space="preserve">State and </w:t>
        </w:r>
        <w:r w:rsidR="0058668C" w:rsidRPr="008A1DB4">
          <w:rPr>
            <w:rStyle w:val="Hyperlink"/>
            <w:noProof/>
            <w:spacing w:val="-2"/>
            <w:sz w:val="18"/>
            <w:szCs w:val="18"/>
            <w:lang w:val="en-US"/>
          </w:rPr>
          <w:t>observations</w:t>
        </w:r>
        <w:r w:rsidR="00C45946" w:rsidRPr="008A1DB4">
          <w:rPr>
            <w:rStyle w:val="Hyperlink"/>
            <w:noProof/>
            <w:spacing w:val="-2"/>
            <w:sz w:val="18"/>
            <w:szCs w:val="18"/>
            <w:lang w:val="en-US"/>
          </w:rPr>
          <w:t xml:space="preserve"> of the representative</w:t>
        </w:r>
        <w:r w:rsidR="00F36400" w:rsidRPr="008A1DB4">
          <w:rPr>
            <w:rStyle w:val="Hyperlink"/>
            <w:noProof/>
            <w:spacing w:val="-2"/>
            <w:sz w:val="18"/>
            <w:szCs w:val="18"/>
            <w:lang w:val="en-US"/>
          </w:rPr>
          <w:t xml:space="preserve"> and</w:t>
        </w:r>
        <w:r w:rsidR="00C45946" w:rsidRPr="008A1DB4">
          <w:rPr>
            <w:rStyle w:val="Hyperlink"/>
            <w:noProof/>
            <w:spacing w:val="-2"/>
            <w:sz w:val="18"/>
            <w:szCs w:val="18"/>
            <w:lang w:val="en-US"/>
          </w:rPr>
          <w:t xml:space="preserve"> of the </w:t>
        </w:r>
        <w:r w:rsidR="00F36400" w:rsidRPr="008A1DB4">
          <w:rPr>
            <w:rStyle w:val="Hyperlink"/>
            <w:noProof/>
            <w:spacing w:val="-2"/>
            <w:sz w:val="18"/>
            <w:szCs w:val="18"/>
            <w:lang w:val="en-US"/>
          </w:rPr>
          <w:t>Commission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_Toc430125347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w:t>
        </w:r>
        <w:r w:rsidR="00265680" w:rsidRPr="008A1DB4">
          <w:rPr>
            <w:noProof/>
            <w:webHidden/>
            <w:sz w:val="18"/>
            <w:szCs w:val="18"/>
            <w:lang w:val="en-US"/>
          </w:rPr>
          <w:fldChar w:fldCharType="end"/>
        </w:r>
      </w:hyperlink>
    </w:p>
    <w:p w14:paraId="185A45C9" w14:textId="24468264" w:rsidR="00265680" w:rsidRPr="008A1DB4" w:rsidRDefault="00397BB4" w:rsidP="00265680">
      <w:pPr>
        <w:pStyle w:val="TOC1"/>
        <w:rPr>
          <w:rFonts w:eastAsiaTheme="minorEastAsia"/>
          <w:noProof/>
          <w:sz w:val="18"/>
          <w:szCs w:val="18"/>
          <w:lang w:val="en-US" w:eastAsia="es-CR"/>
        </w:rPr>
      </w:pPr>
      <w:hyperlink w:anchor="_Toc430125348" w:history="1">
        <w:r w:rsidR="00265680" w:rsidRPr="008A1DB4">
          <w:rPr>
            <w:rStyle w:val="Hyperlink"/>
            <w:noProof/>
            <w:spacing w:val="-2"/>
            <w:sz w:val="18"/>
            <w:szCs w:val="18"/>
            <w:lang w:val="en-US"/>
          </w:rPr>
          <w:t xml:space="preserve">B. </w:t>
        </w:r>
        <w:r w:rsidR="00A836C4" w:rsidRPr="008A1DB4">
          <w:rPr>
            <w:rStyle w:val="Hyperlink"/>
            <w:noProof/>
            <w:spacing w:val="-2"/>
            <w:sz w:val="18"/>
            <w:szCs w:val="18"/>
            <w:lang w:val="en-US"/>
          </w:rPr>
          <w:t>Considerations</w:t>
        </w:r>
        <w:r w:rsidR="00F36400" w:rsidRPr="008A1DB4">
          <w:rPr>
            <w:rStyle w:val="Hyperlink"/>
            <w:noProof/>
            <w:spacing w:val="-2"/>
            <w:sz w:val="18"/>
            <w:szCs w:val="18"/>
            <w:lang w:val="en-US"/>
          </w:rPr>
          <w:t xml:space="preserve"> of the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_Toc430125348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w:t>
        </w:r>
        <w:r w:rsidR="00265680" w:rsidRPr="008A1DB4">
          <w:rPr>
            <w:noProof/>
            <w:webHidden/>
            <w:sz w:val="18"/>
            <w:szCs w:val="18"/>
            <w:lang w:val="en-US"/>
          </w:rPr>
          <w:fldChar w:fldCharType="end"/>
        </w:r>
      </w:hyperlink>
    </w:p>
    <w:p w14:paraId="5A33FEC5" w14:textId="3DF1757C" w:rsidR="00265680" w:rsidRPr="008A1DB4" w:rsidRDefault="00397BB4" w:rsidP="00265680">
      <w:pPr>
        <w:pStyle w:val="TOC1"/>
        <w:rPr>
          <w:rFonts w:eastAsiaTheme="minorEastAsia"/>
          <w:b/>
          <w:noProof/>
          <w:sz w:val="18"/>
          <w:szCs w:val="18"/>
          <w:lang w:val="en-US" w:eastAsia="es-CR"/>
        </w:rPr>
      </w:pPr>
      <w:hyperlink w:anchor="_Toc430125349" w:history="1">
        <w:r w:rsidR="00265680" w:rsidRPr="008A1DB4">
          <w:rPr>
            <w:rStyle w:val="Hyperlink"/>
            <w:b/>
            <w:noProof/>
            <w:spacing w:val="-2"/>
            <w:sz w:val="18"/>
            <w:szCs w:val="18"/>
            <w:lang w:val="en-US"/>
          </w:rPr>
          <w:t>V.</w:t>
        </w:r>
        <w:r w:rsidR="00265680" w:rsidRPr="008A1DB4">
          <w:rPr>
            <w:b/>
            <w:noProof/>
            <w:lang w:val="en-US"/>
          </w:rPr>
          <w:t xml:space="preserve"> </w:t>
        </w:r>
        <w:r w:rsidR="00C45946" w:rsidRPr="008A1DB4">
          <w:rPr>
            <w:rStyle w:val="Hyperlink"/>
            <w:b/>
            <w:noProof/>
            <w:spacing w:val="-2"/>
            <w:sz w:val="18"/>
            <w:szCs w:val="18"/>
            <w:lang w:val="en-US"/>
          </w:rPr>
          <w:t>PROVISIONAL MEASURES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_Toc430125349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11</w:t>
        </w:r>
        <w:r w:rsidR="00265680" w:rsidRPr="008A1DB4">
          <w:rPr>
            <w:b/>
            <w:noProof/>
            <w:webHidden/>
            <w:sz w:val="18"/>
            <w:szCs w:val="18"/>
            <w:lang w:val="en-US"/>
          </w:rPr>
          <w:fldChar w:fldCharType="end"/>
        </w:r>
      </w:hyperlink>
    </w:p>
    <w:p w14:paraId="7A667EC9" w14:textId="4C36A218" w:rsidR="00265680" w:rsidRPr="008A1DB4" w:rsidRDefault="00397BB4" w:rsidP="00265680">
      <w:pPr>
        <w:pStyle w:val="TOC1"/>
        <w:rPr>
          <w:rFonts w:eastAsiaTheme="minorEastAsia"/>
          <w:b/>
          <w:noProof/>
          <w:sz w:val="18"/>
          <w:szCs w:val="18"/>
          <w:lang w:val="en-US" w:eastAsia="es-CR"/>
        </w:rPr>
      </w:pPr>
      <w:hyperlink w:anchor="_Toc430125351" w:history="1">
        <w:r w:rsidR="00265680" w:rsidRPr="008A1DB4">
          <w:rPr>
            <w:rStyle w:val="Hyperlink"/>
            <w:b/>
            <w:noProof/>
            <w:spacing w:val="-2"/>
            <w:sz w:val="18"/>
            <w:szCs w:val="18"/>
            <w:lang w:val="en-US"/>
          </w:rPr>
          <w:t>VI.</w:t>
        </w:r>
        <w:r w:rsidR="00265680" w:rsidRPr="008A1DB4">
          <w:rPr>
            <w:b/>
            <w:noProof/>
            <w:lang w:val="en-US"/>
          </w:rPr>
          <w:t xml:space="preserve"> </w:t>
        </w:r>
        <w:r w:rsidR="00E00746" w:rsidRPr="008A1DB4">
          <w:rPr>
            <w:rStyle w:val="Hyperlink"/>
            <w:b/>
            <w:noProof/>
            <w:spacing w:val="-2"/>
            <w:sz w:val="18"/>
            <w:szCs w:val="18"/>
            <w:lang w:val="en-US"/>
          </w:rPr>
          <w:t>PRELIMINARY CONSIDERATIONS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_Toc430125351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12</w:t>
        </w:r>
        <w:r w:rsidR="00265680" w:rsidRPr="008A1DB4">
          <w:rPr>
            <w:b/>
            <w:noProof/>
            <w:webHidden/>
            <w:sz w:val="18"/>
            <w:szCs w:val="18"/>
            <w:lang w:val="en-US"/>
          </w:rPr>
          <w:fldChar w:fldCharType="end"/>
        </w:r>
      </w:hyperlink>
    </w:p>
    <w:p w14:paraId="294B5CB3" w14:textId="6896EC21" w:rsidR="00265680" w:rsidRPr="008A1DB4" w:rsidRDefault="00397BB4" w:rsidP="00265680">
      <w:pPr>
        <w:pStyle w:val="TOC1"/>
        <w:rPr>
          <w:rFonts w:eastAsiaTheme="minorEastAsia"/>
          <w:noProof/>
          <w:sz w:val="18"/>
          <w:szCs w:val="18"/>
          <w:lang w:val="en-US" w:eastAsia="es-CR"/>
        </w:rPr>
      </w:pPr>
      <w:hyperlink w:anchor="_Toc430125353" w:history="1">
        <w:r w:rsidR="00265680" w:rsidRPr="008A1DB4">
          <w:rPr>
            <w:rStyle w:val="Hyperlink"/>
            <w:noProof/>
            <w:spacing w:val="-2"/>
            <w:sz w:val="18"/>
            <w:szCs w:val="18"/>
            <w:lang w:val="en-US"/>
          </w:rPr>
          <w:t xml:space="preserve">A. </w:t>
        </w:r>
        <w:r w:rsidR="00D72E3B" w:rsidRPr="008A1DB4">
          <w:rPr>
            <w:rStyle w:val="Hyperlink"/>
            <w:noProof/>
            <w:spacing w:val="-2"/>
            <w:sz w:val="18"/>
            <w:szCs w:val="18"/>
            <w:lang w:val="en-US"/>
          </w:rPr>
          <w:t>The factual framework of the case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_Toc430125353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12</w:t>
        </w:r>
        <w:r w:rsidR="00265680" w:rsidRPr="008A1DB4">
          <w:rPr>
            <w:noProof/>
            <w:webHidden/>
            <w:sz w:val="18"/>
            <w:szCs w:val="18"/>
            <w:lang w:val="en-US"/>
          </w:rPr>
          <w:fldChar w:fldCharType="end"/>
        </w:r>
      </w:hyperlink>
    </w:p>
    <w:p w14:paraId="4B2FF786" w14:textId="3CB72D94" w:rsidR="00265680" w:rsidRPr="008A1DB4" w:rsidRDefault="00397BB4" w:rsidP="00265680">
      <w:pPr>
        <w:pStyle w:val="TOC2"/>
        <w:rPr>
          <w:rFonts w:eastAsiaTheme="minorEastAsia"/>
          <w:bCs w:val="0"/>
          <w:iCs w:val="0"/>
          <w:spacing w:val="0"/>
          <w:sz w:val="18"/>
          <w:szCs w:val="18"/>
          <w:lang w:val="en-US" w:eastAsia="es-CR"/>
        </w:rPr>
      </w:pPr>
      <w:hyperlink w:anchor="_Toc430125354" w:history="1">
        <w:r w:rsidR="00265680" w:rsidRPr="008A1DB4">
          <w:rPr>
            <w:rStyle w:val="Hyperlink"/>
            <w:spacing w:val="-2"/>
            <w:sz w:val="18"/>
            <w:szCs w:val="18"/>
            <w:lang w:val="en-US"/>
          </w:rPr>
          <w:t xml:space="preserve">A.1) </w:t>
        </w:r>
        <w:r w:rsidR="0058668C" w:rsidRPr="008A1DB4">
          <w:rPr>
            <w:rStyle w:val="Hyperlink"/>
            <w:spacing w:val="-2"/>
            <w:sz w:val="18"/>
            <w:szCs w:val="18"/>
            <w:lang w:val="en-US"/>
          </w:rPr>
          <w:t>Arguments</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 xml:space="preserve">State and </w:t>
        </w:r>
        <w:r w:rsidR="0058668C" w:rsidRPr="008A1DB4">
          <w:rPr>
            <w:rStyle w:val="Hyperlink"/>
            <w:spacing w:val="-2"/>
            <w:sz w:val="18"/>
            <w:szCs w:val="18"/>
            <w:lang w:val="en-US"/>
          </w:rPr>
          <w:t>observations</w:t>
        </w:r>
        <w:r w:rsidR="00C45946" w:rsidRPr="008A1DB4">
          <w:rPr>
            <w:rStyle w:val="Hyperlink"/>
            <w:spacing w:val="-2"/>
            <w:sz w:val="18"/>
            <w:szCs w:val="18"/>
            <w:lang w:val="en-US"/>
          </w:rPr>
          <w:t xml:space="preserve"> of the representative</w:t>
        </w:r>
        <w:r w:rsidR="00F36400" w:rsidRPr="008A1DB4">
          <w:rPr>
            <w:rStyle w:val="Hyperlink"/>
            <w:spacing w:val="-2"/>
            <w:sz w:val="18"/>
            <w:szCs w:val="18"/>
            <w:lang w:val="en-US"/>
          </w:rPr>
          <w:t xml:space="preserve"> and</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Commission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_Toc430125354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12</w:t>
        </w:r>
        <w:r w:rsidR="00265680" w:rsidRPr="008A1DB4">
          <w:rPr>
            <w:webHidden/>
            <w:sz w:val="18"/>
            <w:szCs w:val="18"/>
            <w:lang w:val="en-US"/>
          </w:rPr>
          <w:fldChar w:fldCharType="end"/>
        </w:r>
      </w:hyperlink>
    </w:p>
    <w:p w14:paraId="0A37A7E0" w14:textId="3342C31D" w:rsidR="00265680" w:rsidRPr="008A1DB4" w:rsidRDefault="00397BB4" w:rsidP="00265680">
      <w:pPr>
        <w:pStyle w:val="TOC2"/>
        <w:rPr>
          <w:rFonts w:eastAsiaTheme="minorEastAsia"/>
          <w:bCs w:val="0"/>
          <w:iCs w:val="0"/>
          <w:spacing w:val="0"/>
          <w:sz w:val="18"/>
          <w:szCs w:val="18"/>
          <w:lang w:val="en-US" w:eastAsia="es-CR"/>
        </w:rPr>
      </w:pPr>
      <w:hyperlink w:anchor="_Toc430125355" w:history="1">
        <w:r w:rsidR="00265680" w:rsidRPr="008A1DB4">
          <w:rPr>
            <w:rStyle w:val="Hyperlink"/>
            <w:spacing w:val="-2"/>
            <w:sz w:val="18"/>
            <w:szCs w:val="18"/>
            <w:lang w:val="en-US"/>
          </w:rPr>
          <w:t xml:space="preserve">A.2) </w:t>
        </w:r>
        <w:r w:rsidR="00A836C4" w:rsidRPr="008A1DB4">
          <w:rPr>
            <w:rStyle w:val="Hyperlink"/>
            <w:spacing w:val="-2"/>
            <w:sz w:val="18"/>
            <w:szCs w:val="18"/>
            <w:lang w:val="en-US"/>
          </w:rPr>
          <w:t>Considerations</w:t>
        </w:r>
        <w:r w:rsidR="00F36400" w:rsidRPr="008A1DB4">
          <w:rPr>
            <w:rStyle w:val="Hyperlink"/>
            <w:spacing w:val="-2"/>
            <w:sz w:val="18"/>
            <w:szCs w:val="18"/>
            <w:lang w:val="en-US"/>
          </w:rPr>
          <w:t xml:space="preserve"> of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_Toc430125355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12</w:t>
        </w:r>
        <w:r w:rsidR="00265680" w:rsidRPr="008A1DB4">
          <w:rPr>
            <w:webHidden/>
            <w:sz w:val="18"/>
            <w:szCs w:val="18"/>
            <w:lang w:val="en-US"/>
          </w:rPr>
          <w:fldChar w:fldCharType="end"/>
        </w:r>
      </w:hyperlink>
    </w:p>
    <w:p w14:paraId="142FE7D6" w14:textId="1C441D24" w:rsidR="00265680" w:rsidRPr="008A1DB4" w:rsidRDefault="00397BB4" w:rsidP="00265680">
      <w:pPr>
        <w:pStyle w:val="TOC1"/>
        <w:rPr>
          <w:rFonts w:eastAsiaTheme="minorEastAsia"/>
          <w:b/>
          <w:noProof/>
          <w:sz w:val="18"/>
          <w:szCs w:val="18"/>
          <w:lang w:val="en-US" w:eastAsia="es-CR"/>
        </w:rPr>
      </w:pPr>
      <w:hyperlink w:anchor="_Toc430125356" w:history="1">
        <w:r w:rsidR="00265680" w:rsidRPr="008A1DB4">
          <w:rPr>
            <w:rStyle w:val="Hyperlink"/>
            <w:b/>
            <w:noProof/>
            <w:spacing w:val="-2"/>
            <w:sz w:val="18"/>
            <w:szCs w:val="18"/>
            <w:lang w:val="en-US"/>
          </w:rPr>
          <w:t>VII.</w:t>
        </w:r>
        <w:r w:rsidR="00265680" w:rsidRPr="008A1DB4">
          <w:rPr>
            <w:b/>
            <w:noProof/>
            <w:lang w:val="en-US"/>
          </w:rPr>
          <w:t xml:space="preserve"> </w:t>
        </w:r>
        <w:r w:rsidR="003911B6" w:rsidRPr="008A1DB4">
          <w:rPr>
            <w:rStyle w:val="Hyperlink"/>
            <w:b/>
            <w:noProof/>
            <w:spacing w:val="-2"/>
            <w:sz w:val="18"/>
            <w:szCs w:val="18"/>
            <w:lang w:val="en-US"/>
          </w:rPr>
          <w:t>EVIDENCE</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_Toc430125356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13</w:t>
        </w:r>
        <w:r w:rsidR="00265680" w:rsidRPr="008A1DB4">
          <w:rPr>
            <w:b/>
            <w:noProof/>
            <w:webHidden/>
            <w:sz w:val="18"/>
            <w:szCs w:val="18"/>
            <w:lang w:val="en-US"/>
          </w:rPr>
          <w:fldChar w:fldCharType="end"/>
        </w:r>
      </w:hyperlink>
    </w:p>
    <w:p w14:paraId="31C38EBD" w14:textId="51245AEA" w:rsidR="00265680" w:rsidRPr="008A1DB4" w:rsidRDefault="00397BB4" w:rsidP="00265680">
      <w:pPr>
        <w:pStyle w:val="TOC1"/>
        <w:rPr>
          <w:rFonts w:eastAsiaTheme="minorEastAsia"/>
          <w:noProof/>
          <w:sz w:val="18"/>
          <w:szCs w:val="18"/>
          <w:lang w:val="en-US" w:eastAsia="es-CR"/>
        </w:rPr>
      </w:pPr>
      <w:hyperlink w:anchor="_Toc430125358" w:history="1">
        <w:r w:rsidR="00265680" w:rsidRPr="008A1DB4">
          <w:rPr>
            <w:rStyle w:val="Hyperlink"/>
            <w:iCs/>
            <w:noProof/>
            <w:spacing w:val="-2"/>
            <w:sz w:val="18"/>
            <w:szCs w:val="18"/>
            <w:lang w:val="en-US" w:eastAsia="es-MX"/>
          </w:rPr>
          <w:t>A.</w:t>
        </w:r>
        <w:r w:rsidR="00265680" w:rsidRPr="008A1DB4">
          <w:rPr>
            <w:rStyle w:val="Hyperlink"/>
            <w:noProof/>
            <w:spacing w:val="-2"/>
            <w:sz w:val="18"/>
            <w:szCs w:val="18"/>
            <w:lang w:val="en-US" w:eastAsia="es-MX"/>
          </w:rPr>
          <w:t xml:space="preserve"> </w:t>
        </w:r>
        <w:r w:rsidR="003911B6" w:rsidRPr="008A1DB4">
          <w:rPr>
            <w:rStyle w:val="Hyperlink"/>
            <w:noProof/>
            <w:spacing w:val="-2"/>
            <w:sz w:val="18"/>
            <w:szCs w:val="18"/>
            <w:lang w:val="en-US" w:eastAsia="es-MX"/>
          </w:rPr>
          <w:t>Documentary, testimonial and expert evidence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_Toc430125358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13</w:t>
        </w:r>
        <w:r w:rsidR="00265680" w:rsidRPr="008A1DB4">
          <w:rPr>
            <w:noProof/>
            <w:webHidden/>
            <w:sz w:val="18"/>
            <w:szCs w:val="18"/>
            <w:lang w:val="en-US"/>
          </w:rPr>
          <w:fldChar w:fldCharType="end"/>
        </w:r>
      </w:hyperlink>
    </w:p>
    <w:p w14:paraId="3647B52A" w14:textId="3153DC57" w:rsidR="00265680" w:rsidRPr="008A1DB4" w:rsidRDefault="00397BB4" w:rsidP="00265680">
      <w:pPr>
        <w:pStyle w:val="TOC1"/>
        <w:rPr>
          <w:rFonts w:eastAsiaTheme="minorEastAsia"/>
          <w:noProof/>
          <w:sz w:val="18"/>
          <w:szCs w:val="18"/>
          <w:lang w:val="en-US" w:eastAsia="es-CR"/>
        </w:rPr>
      </w:pPr>
      <w:hyperlink w:anchor="_Toc430125359" w:history="1">
        <w:r w:rsidR="00265680" w:rsidRPr="008A1DB4">
          <w:rPr>
            <w:rStyle w:val="Hyperlink"/>
            <w:noProof/>
            <w:spacing w:val="-2"/>
            <w:sz w:val="18"/>
            <w:szCs w:val="18"/>
            <w:lang w:val="en-US" w:eastAsia="es-MX"/>
          </w:rPr>
          <w:t xml:space="preserve">B. </w:t>
        </w:r>
        <w:r w:rsidR="003911B6" w:rsidRPr="008A1DB4">
          <w:rPr>
            <w:rStyle w:val="Hyperlink"/>
            <w:noProof/>
            <w:spacing w:val="-2"/>
            <w:sz w:val="18"/>
            <w:szCs w:val="18"/>
            <w:lang w:val="en-US" w:eastAsia="es-MX"/>
          </w:rPr>
          <w:t>Admission of the evidence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_Toc430125359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13</w:t>
        </w:r>
        <w:r w:rsidR="00265680" w:rsidRPr="008A1DB4">
          <w:rPr>
            <w:noProof/>
            <w:webHidden/>
            <w:sz w:val="18"/>
            <w:szCs w:val="18"/>
            <w:lang w:val="en-US"/>
          </w:rPr>
          <w:fldChar w:fldCharType="end"/>
        </w:r>
      </w:hyperlink>
    </w:p>
    <w:p w14:paraId="77FDD130" w14:textId="3B4AA919" w:rsidR="00265680" w:rsidRPr="008A1DB4" w:rsidRDefault="00397BB4" w:rsidP="00265680">
      <w:pPr>
        <w:pStyle w:val="TOC2"/>
        <w:rPr>
          <w:rFonts w:eastAsiaTheme="minorEastAsia"/>
          <w:bCs w:val="0"/>
          <w:iCs w:val="0"/>
          <w:spacing w:val="0"/>
          <w:sz w:val="18"/>
          <w:szCs w:val="18"/>
          <w:lang w:val="en-US" w:eastAsia="es-CR"/>
        </w:rPr>
      </w:pPr>
      <w:hyperlink w:anchor="_Toc430125360" w:history="1">
        <w:r w:rsidR="00265680" w:rsidRPr="008A1DB4">
          <w:rPr>
            <w:rStyle w:val="Hyperlink"/>
            <w:spacing w:val="-2"/>
            <w:sz w:val="18"/>
            <w:szCs w:val="18"/>
            <w:lang w:val="en-US"/>
          </w:rPr>
          <w:t xml:space="preserve">B.1) </w:t>
        </w:r>
        <w:r w:rsidR="003911B6" w:rsidRPr="008A1DB4">
          <w:rPr>
            <w:rStyle w:val="Hyperlink"/>
            <w:spacing w:val="-2"/>
            <w:sz w:val="18"/>
            <w:szCs w:val="18"/>
            <w:lang w:val="en-US"/>
          </w:rPr>
          <w:t>Admission of the documentary evidence</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_Toc430125360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13</w:t>
        </w:r>
        <w:r w:rsidR="00265680" w:rsidRPr="008A1DB4">
          <w:rPr>
            <w:webHidden/>
            <w:sz w:val="18"/>
            <w:szCs w:val="18"/>
            <w:lang w:val="en-US"/>
          </w:rPr>
          <w:fldChar w:fldCharType="end"/>
        </w:r>
      </w:hyperlink>
    </w:p>
    <w:p w14:paraId="5F4F22D6" w14:textId="3FF8C300" w:rsidR="00265680" w:rsidRPr="008A1DB4" w:rsidRDefault="00397BB4" w:rsidP="00265680">
      <w:pPr>
        <w:pStyle w:val="TOC2"/>
        <w:rPr>
          <w:rFonts w:eastAsiaTheme="minorEastAsia"/>
          <w:bCs w:val="0"/>
          <w:iCs w:val="0"/>
          <w:spacing w:val="0"/>
          <w:sz w:val="18"/>
          <w:szCs w:val="18"/>
          <w:lang w:val="en-US" w:eastAsia="es-CR"/>
        </w:rPr>
      </w:pPr>
      <w:hyperlink w:anchor="_Toc430125361" w:history="1">
        <w:r w:rsidR="00265680" w:rsidRPr="008A1DB4">
          <w:rPr>
            <w:rStyle w:val="Hyperlink"/>
            <w:spacing w:val="-2"/>
            <w:sz w:val="18"/>
            <w:szCs w:val="18"/>
            <w:lang w:val="en-US"/>
          </w:rPr>
          <w:t xml:space="preserve">B.2) </w:t>
        </w:r>
        <w:r w:rsidR="003911B6" w:rsidRPr="008A1DB4">
          <w:rPr>
            <w:rStyle w:val="Hyperlink"/>
            <w:spacing w:val="-2"/>
            <w:sz w:val="18"/>
            <w:szCs w:val="18"/>
            <w:lang w:val="en-US"/>
          </w:rPr>
          <w:t xml:space="preserve">Admission of the </w:t>
        </w:r>
        <w:r w:rsidR="0027284C" w:rsidRPr="008A1DB4">
          <w:rPr>
            <w:rStyle w:val="Hyperlink"/>
            <w:spacing w:val="-2"/>
            <w:sz w:val="18"/>
            <w:szCs w:val="18"/>
            <w:lang w:val="en-US"/>
          </w:rPr>
          <w:t>testimonial and expert evidence</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_Toc430125361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16</w:t>
        </w:r>
        <w:r w:rsidR="00265680" w:rsidRPr="008A1DB4">
          <w:rPr>
            <w:webHidden/>
            <w:sz w:val="18"/>
            <w:szCs w:val="18"/>
            <w:lang w:val="en-US"/>
          </w:rPr>
          <w:fldChar w:fldCharType="end"/>
        </w:r>
      </w:hyperlink>
    </w:p>
    <w:p w14:paraId="79F84414" w14:textId="241F4754" w:rsidR="00265680" w:rsidRPr="008A1DB4" w:rsidRDefault="00397BB4" w:rsidP="00265680">
      <w:pPr>
        <w:pStyle w:val="TOC1"/>
        <w:rPr>
          <w:rFonts w:eastAsiaTheme="minorEastAsia"/>
          <w:noProof/>
          <w:sz w:val="18"/>
          <w:szCs w:val="18"/>
          <w:lang w:val="en-US" w:eastAsia="es-CR"/>
        </w:rPr>
      </w:pPr>
      <w:hyperlink w:anchor="_Toc430125362" w:history="1">
        <w:r w:rsidR="00265680" w:rsidRPr="008A1DB4">
          <w:rPr>
            <w:rStyle w:val="Hyperlink"/>
            <w:noProof/>
            <w:spacing w:val="-2"/>
            <w:sz w:val="18"/>
            <w:szCs w:val="18"/>
            <w:lang w:val="en-US" w:eastAsia="es-CR"/>
          </w:rPr>
          <w:t xml:space="preserve">C. </w:t>
        </w:r>
        <w:r w:rsidR="00BC7BEA" w:rsidRPr="008A1DB4">
          <w:rPr>
            <w:rStyle w:val="Hyperlink"/>
            <w:noProof/>
            <w:spacing w:val="-2"/>
            <w:sz w:val="18"/>
            <w:szCs w:val="18"/>
            <w:lang w:val="en-US"/>
          </w:rPr>
          <w:t>Assessment of the evidence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_Toc430125362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17</w:t>
        </w:r>
        <w:r w:rsidR="00265680" w:rsidRPr="008A1DB4">
          <w:rPr>
            <w:noProof/>
            <w:webHidden/>
            <w:sz w:val="18"/>
            <w:szCs w:val="18"/>
            <w:lang w:val="en-US"/>
          </w:rPr>
          <w:fldChar w:fldCharType="end"/>
        </w:r>
      </w:hyperlink>
    </w:p>
    <w:p w14:paraId="4458B963" w14:textId="6E3F218A" w:rsidR="00265680" w:rsidRPr="008A1DB4" w:rsidRDefault="00397BB4" w:rsidP="00265680">
      <w:pPr>
        <w:pStyle w:val="TOC1"/>
        <w:rPr>
          <w:rFonts w:eastAsiaTheme="minorEastAsia"/>
          <w:b/>
          <w:noProof/>
          <w:sz w:val="18"/>
          <w:szCs w:val="18"/>
          <w:lang w:val="en-US" w:eastAsia="es-CR"/>
        </w:rPr>
      </w:pPr>
      <w:hyperlink w:anchor="_Toc430125363" w:history="1">
        <w:r w:rsidR="00265680" w:rsidRPr="008A1DB4">
          <w:rPr>
            <w:rStyle w:val="Hyperlink"/>
            <w:b/>
            <w:noProof/>
            <w:spacing w:val="-2"/>
            <w:sz w:val="18"/>
            <w:szCs w:val="18"/>
            <w:lang w:val="en-US"/>
          </w:rPr>
          <w:t>VIII.</w:t>
        </w:r>
        <w:r w:rsidR="00265680" w:rsidRPr="008A1DB4">
          <w:rPr>
            <w:b/>
            <w:noProof/>
            <w:lang w:val="en-US"/>
          </w:rPr>
          <w:t xml:space="preserve"> </w:t>
        </w:r>
        <w:r w:rsidR="00BC7BEA" w:rsidRPr="008A1DB4">
          <w:rPr>
            <w:rStyle w:val="Hyperlink"/>
            <w:b/>
            <w:noProof/>
            <w:spacing w:val="-2"/>
            <w:sz w:val="18"/>
            <w:szCs w:val="18"/>
            <w:lang w:val="en-US"/>
          </w:rPr>
          <w:t>PROVEN FACTS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_Toc430125363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17</w:t>
        </w:r>
        <w:r w:rsidR="00265680" w:rsidRPr="008A1DB4">
          <w:rPr>
            <w:b/>
            <w:noProof/>
            <w:webHidden/>
            <w:sz w:val="18"/>
            <w:szCs w:val="18"/>
            <w:lang w:val="en-US"/>
          </w:rPr>
          <w:fldChar w:fldCharType="end"/>
        </w:r>
      </w:hyperlink>
    </w:p>
    <w:p w14:paraId="423BBB75" w14:textId="7F8543AF" w:rsidR="00265680" w:rsidRPr="008A1DB4" w:rsidRDefault="00397BB4" w:rsidP="00265680">
      <w:pPr>
        <w:pStyle w:val="TOC1"/>
        <w:rPr>
          <w:rFonts w:eastAsiaTheme="minorEastAsia"/>
          <w:noProof/>
          <w:sz w:val="18"/>
          <w:szCs w:val="18"/>
          <w:lang w:val="en-US" w:eastAsia="es-CR"/>
        </w:rPr>
      </w:pPr>
      <w:hyperlink w:anchor="_Toc430125365" w:history="1">
        <w:r w:rsidR="00265680" w:rsidRPr="008A1DB4">
          <w:rPr>
            <w:rStyle w:val="Hyperlink"/>
            <w:noProof/>
            <w:spacing w:val="-2"/>
            <w:sz w:val="18"/>
            <w:szCs w:val="18"/>
            <w:lang w:val="en-US"/>
          </w:rPr>
          <w:t xml:space="preserve">A. </w:t>
        </w:r>
        <w:r w:rsidR="004257EF" w:rsidRPr="008A1DB4">
          <w:rPr>
            <w:rStyle w:val="Hyperlink"/>
            <w:noProof/>
            <w:spacing w:val="-2"/>
            <w:sz w:val="18"/>
            <w:szCs w:val="18"/>
            <w:lang w:val="en-US"/>
          </w:rPr>
          <w:t>Extradition Treaty</w:t>
        </w:r>
        <w:r w:rsidR="00FE5E87" w:rsidRPr="008A1DB4">
          <w:rPr>
            <w:rStyle w:val="Hyperlink"/>
            <w:noProof/>
            <w:spacing w:val="-2"/>
            <w:sz w:val="18"/>
            <w:szCs w:val="18"/>
            <w:lang w:val="en-US"/>
          </w:rPr>
          <w:t xml:space="preserve"> between</w:t>
        </w:r>
        <w:r w:rsidR="00265680" w:rsidRPr="008A1DB4">
          <w:rPr>
            <w:rStyle w:val="Hyperlink"/>
            <w:noProof/>
            <w:spacing w:val="-2"/>
            <w:sz w:val="18"/>
            <w:szCs w:val="18"/>
            <w:lang w:val="en-US"/>
          </w:rPr>
          <w:t xml:space="preserve"> China</w:t>
        </w:r>
        <w:r w:rsidR="00F36400" w:rsidRPr="008A1DB4">
          <w:rPr>
            <w:rStyle w:val="Hyperlink"/>
            <w:noProof/>
            <w:spacing w:val="-2"/>
            <w:sz w:val="18"/>
            <w:szCs w:val="18"/>
            <w:lang w:val="en-US"/>
          </w:rPr>
          <w:t xml:space="preserve"> and </w:t>
        </w:r>
        <w:r w:rsidR="00FE5E87" w:rsidRPr="008A1DB4">
          <w:rPr>
            <w:rStyle w:val="Hyperlink"/>
            <w:noProof/>
            <w:spacing w:val="-2"/>
            <w:sz w:val="18"/>
            <w:szCs w:val="18"/>
            <w:lang w:val="en-US"/>
          </w:rPr>
          <w:t>Peru</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_Toc430125365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18</w:t>
        </w:r>
        <w:r w:rsidR="00265680" w:rsidRPr="008A1DB4">
          <w:rPr>
            <w:noProof/>
            <w:webHidden/>
            <w:sz w:val="18"/>
            <w:szCs w:val="18"/>
            <w:lang w:val="en-US"/>
          </w:rPr>
          <w:fldChar w:fldCharType="end"/>
        </w:r>
      </w:hyperlink>
    </w:p>
    <w:p w14:paraId="08933CF7" w14:textId="2627C1E8" w:rsidR="00265680" w:rsidRPr="008A1DB4" w:rsidRDefault="00397BB4" w:rsidP="00265680">
      <w:pPr>
        <w:pStyle w:val="TOC1"/>
        <w:rPr>
          <w:rFonts w:eastAsiaTheme="minorEastAsia"/>
          <w:noProof/>
          <w:sz w:val="18"/>
          <w:szCs w:val="18"/>
          <w:lang w:val="en-US" w:eastAsia="es-CR"/>
        </w:rPr>
      </w:pPr>
      <w:hyperlink w:anchor="_Toc430125366" w:history="1">
        <w:r w:rsidR="00265680" w:rsidRPr="008A1DB4">
          <w:rPr>
            <w:rStyle w:val="Hyperlink"/>
            <w:noProof/>
            <w:spacing w:val="-2"/>
            <w:sz w:val="18"/>
            <w:szCs w:val="18"/>
            <w:lang w:val="en-US"/>
          </w:rPr>
          <w:t xml:space="preserve">B. </w:t>
        </w:r>
        <w:r w:rsidR="002D1CFC" w:rsidRPr="008A1DB4">
          <w:rPr>
            <w:rStyle w:val="Hyperlink"/>
            <w:noProof/>
            <w:spacing w:val="-2"/>
            <w:sz w:val="18"/>
            <w:szCs w:val="18"/>
            <w:lang w:val="en-US"/>
          </w:rPr>
          <w:t xml:space="preserve">The </w:t>
        </w:r>
        <w:r w:rsidR="00FC5891" w:rsidRPr="008A1DB4">
          <w:rPr>
            <w:rStyle w:val="Hyperlink"/>
            <w:noProof/>
            <w:spacing w:val="-2"/>
            <w:sz w:val="18"/>
            <w:szCs w:val="18"/>
            <w:lang w:val="en-US"/>
          </w:rPr>
          <w:t>extradition process</w:t>
        </w:r>
        <w:r w:rsidR="002D1CFC" w:rsidRPr="008A1DB4">
          <w:rPr>
            <w:rStyle w:val="Hyperlink"/>
            <w:noProof/>
            <w:spacing w:val="-2"/>
            <w:sz w:val="18"/>
            <w:szCs w:val="18"/>
            <w:lang w:val="en-US"/>
          </w:rPr>
          <w:t xml:space="preserve"> in Peru</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_Toc430125366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18</w:t>
        </w:r>
        <w:r w:rsidR="00265680" w:rsidRPr="008A1DB4">
          <w:rPr>
            <w:noProof/>
            <w:webHidden/>
            <w:sz w:val="18"/>
            <w:szCs w:val="18"/>
            <w:lang w:val="en-US"/>
          </w:rPr>
          <w:fldChar w:fldCharType="end"/>
        </w:r>
      </w:hyperlink>
    </w:p>
    <w:p w14:paraId="139691D2" w14:textId="77331FD3" w:rsidR="00265680" w:rsidRPr="008A1DB4" w:rsidRDefault="00397BB4" w:rsidP="00265680">
      <w:pPr>
        <w:pStyle w:val="TOC1"/>
        <w:rPr>
          <w:rFonts w:eastAsiaTheme="minorEastAsia"/>
          <w:noProof/>
          <w:sz w:val="18"/>
          <w:szCs w:val="18"/>
          <w:lang w:val="en-US" w:eastAsia="es-CR"/>
        </w:rPr>
      </w:pPr>
      <w:hyperlink w:anchor="_Toc430125367" w:history="1">
        <w:r w:rsidR="00265680" w:rsidRPr="008A1DB4">
          <w:rPr>
            <w:rStyle w:val="Hyperlink"/>
            <w:noProof/>
            <w:spacing w:val="-2"/>
            <w:sz w:val="18"/>
            <w:szCs w:val="18"/>
            <w:lang w:val="en-US"/>
          </w:rPr>
          <w:t xml:space="preserve">C. </w:t>
        </w:r>
        <w:r w:rsidR="00FC5891" w:rsidRPr="008A1DB4">
          <w:rPr>
            <w:rStyle w:val="Hyperlink"/>
            <w:noProof/>
            <w:spacing w:val="-2"/>
            <w:sz w:val="18"/>
            <w:szCs w:val="18"/>
            <w:lang w:val="en-US"/>
          </w:rPr>
          <w:t>The extradition process</w:t>
        </w:r>
        <w:r w:rsidR="00265680" w:rsidRPr="008A1DB4">
          <w:rPr>
            <w:rStyle w:val="Hyperlink"/>
            <w:noProof/>
            <w:spacing w:val="-2"/>
            <w:sz w:val="18"/>
            <w:szCs w:val="18"/>
            <w:lang w:val="en-US"/>
          </w:rPr>
          <w:t xml:space="preserve"> </w:t>
        </w:r>
        <w:r w:rsidR="00D870E1">
          <w:rPr>
            <w:rStyle w:val="Hyperlink"/>
            <w:noProof/>
            <w:spacing w:val="-2"/>
            <w:sz w:val="18"/>
            <w:szCs w:val="18"/>
            <w:lang w:val="en-US"/>
          </w:rPr>
          <w:t xml:space="preserve">in the case </w:t>
        </w:r>
        <w:r w:rsidR="00B43F84" w:rsidRPr="008A1DB4">
          <w:rPr>
            <w:rStyle w:val="Hyperlink"/>
            <w:noProof/>
            <w:spacing w:val="-2"/>
            <w:sz w:val="18"/>
            <w:szCs w:val="18"/>
            <w:lang w:val="en-US"/>
          </w:rPr>
          <w:t>of Wong</w:t>
        </w:r>
        <w:r w:rsidR="00265680" w:rsidRPr="008A1DB4">
          <w:rPr>
            <w:rStyle w:val="Hyperlink"/>
            <w:noProof/>
            <w:spacing w:val="-2"/>
            <w:sz w:val="18"/>
            <w:szCs w:val="18"/>
            <w:lang w:val="en-US"/>
          </w:rPr>
          <w:t xml:space="preserve"> Ho Wing</w:t>
        </w:r>
        <w:r w:rsidR="00F31F43">
          <w:rPr>
            <w:rStyle w:val="Hyperlink"/>
            <w:noProof/>
            <w:spacing w:val="-2"/>
            <w:sz w:val="18"/>
            <w:szCs w:val="18"/>
            <w:lang w:val="en-US"/>
          </w:rPr>
          <w: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_Toc430125367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19</w:t>
        </w:r>
        <w:r w:rsidR="00265680" w:rsidRPr="008A1DB4">
          <w:rPr>
            <w:noProof/>
            <w:webHidden/>
            <w:sz w:val="18"/>
            <w:szCs w:val="18"/>
            <w:lang w:val="en-US"/>
          </w:rPr>
          <w:fldChar w:fldCharType="end"/>
        </w:r>
      </w:hyperlink>
    </w:p>
    <w:p w14:paraId="1264E0B6" w14:textId="627A4655" w:rsidR="00265680" w:rsidRPr="008A1DB4" w:rsidRDefault="00397BB4" w:rsidP="00265680">
      <w:pPr>
        <w:pStyle w:val="TOC2"/>
        <w:rPr>
          <w:rFonts w:eastAsiaTheme="minorEastAsia"/>
          <w:bCs w:val="0"/>
          <w:iCs w:val="0"/>
          <w:spacing w:val="0"/>
          <w:sz w:val="18"/>
          <w:szCs w:val="18"/>
          <w:lang w:val="en-US" w:eastAsia="es-CR"/>
        </w:rPr>
      </w:pPr>
      <w:hyperlink w:anchor="_Toc430125368" w:history="1">
        <w:r w:rsidR="00265680" w:rsidRPr="008A1DB4">
          <w:rPr>
            <w:rStyle w:val="Hyperlink"/>
            <w:spacing w:val="-2"/>
            <w:sz w:val="18"/>
            <w:szCs w:val="18"/>
            <w:lang w:val="en-US"/>
          </w:rPr>
          <w:t xml:space="preserve">C.1) </w:t>
        </w:r>
        <w:r w:rsidR="001E7113" w:rsidRPr="008A1DB4">
          <w:rPr>
            <w:rStyle w:val="Hyperlink"/>
            <w:spacing w:val="-2"/>
            <w:sz w:val="18"/>
            <w:szCs w:val="18"/>
            <w:lang w:val="en-US"/>
          </w:rPr>
          <w:t>First stage of the process</w:t>
        </w:r>
        <w:r w:rsidR="00265680" w:rsidRPr="008A1DB4">
          <w:rPr>
            <w:rStyle w:val="Hyperlink"/>
            <w:spacing w:val="-2"/>
            <w:sz w:val="18"/>
            <w:szCs w:val="18"/>
            <w:lang w:val="en-US"/>
          </w:rPr>
          <w:t xml:space="preserve"> (</w:t>
        </w:r>
        <w:r w:rsidR="001E7113" w:rsidRPr="008A1DB4">
          <w:rPr>
            <w:rStyle w:val="Hyperlink"/>
            <w:spacing w:val="-2"/>
            <w:sz w:val="18"/>
            <w:szCs w:val="18"/>
            <w:lang w:val="en-US"/>
          </w:rPr>
          <w:t>from the arrest of</w:t>
        </w:r>
        <w:r w:rsidR="00B43F84" w:rsidRPr="008A1DB4">
          <w:rPr>
            <w:rStyle w:val="Hyperlink"/>
            <w:spacing w:val="-2"/>
            <w:sz w:val="18"/>
            <w:szCs w:val="18"/>
            <w:lang w:val="en-US"/>
          </w:rPr>
          <w:t xml:space="preserve"> Wong</w:t>
        </w:r>
        <w:r w:rsidR="00265680" w:rsidRPr="008A1DB4">
          <w:rPr>
            <w:rStyle w:val="Hyperlink"/>
            <w:spacing w:val="-2"/>
            <w:sz w:val="18"/>
            <w:szCs w:val="18"/>
            <w:lang w:val="en-US"/>
          </w:rPr>
          <w:t xml:space="preserve"> Ho Wing </w:t>
        </w:r>
        <w:r w:rsidR="001E7113" w:rsidRPr="008A1DB4">
          <w:rPr>
            <w:rStyle w:val="Hyperlink"/>
            <w:spacing w:val="-2"/>
            <w:sz w:val="18"/>
            <w:szCs w:val="18"/>
            <w:lang w:val="en-US"/>
          </w:rPr>
          <w:t>until the second</w:t>
        </w:r>
        <w:r w:rsidR="00265680" w:rsidRPr="008A1DB4">
          <w:rPr>
            <w:rStyle w:val="Hyperlink"/>
            <w:spacing w:val="-2"/>
            <w:sz w:val="18"/>
            <w:szCs w:val="18"/>
            <w:lang w:val="en-US"/>
          </w:rPr>
          <w:t xml:space="preserve"> </w:t>
        </w:r>
        <w:r w:rsidR="002D1CFC" w:rsidRPr="008A1DB4">
          <w:rPr>
            <w:rStyle w:val="Hyperlink"/>
            <w:spacing w:val="-2"/>
            <w:sz w:val="18"/>
            <w:szCs w:val="18"/>
            <w:lang w:val="en-US"/>
          </w:rPr>
          <w:t>advisory decision</w:t>
        </w:r>
        <w:r w:rsidR="00265680" w:rsidRPr="008A1DB4">
          <w:rPr>
            <w:rStyle w:val="Hyperlink"/>
            <w:spacing w:val="-2"/>
            <w:sz w:val="18"/>
            <w:szCs w:val="18"/>
            <w:lang w:val="en-US"/>
          </w:rPr>
          <w: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_Toc430125368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19</w:t>
        </w:r>
        <w:r w:rsidR="00265680" w:rsidRPr="008A1DB4">
          <w:rPr>
            <w:webHidden/>
            <w:sz w:val="18"/>
            <w:szCs w:val="18"/>
            <w:lang w:val="en-US"/>
          </w:rPr>
          <w:fldChar w:fldCharType="end"/>
        </w:r>
      </w:hyperlink>
    </w:p>
    <w:p w14:paraId="430D5B2B" w14:textId="644DCDA7" w:rsidR="00265680" w:rsidRPr="008A1DB4" w:rsidRDefault="00397BB4" w:rsidP="00265680">
      <w:pPr>
        <w:pStyle w:val="TOC2"/>
        <w:rPr>
          <w:rFonts w:eastAsiaTheme="minorEastAsia"/>
          <w:bCs w:val="0"/>
          <w:iCs w:val="0"/>
          <w:spacing w:val="0"/>
          <w:sz w:val="18"/>
          <w:szCs w:val="18"/>
          <w:lang w:val="en-US" w:eastAsia="es-CR"/>
        </w:rPr>
      </w:pPr>
      <w:hyperlink w:anchor="_Toc430125369" w:history="1">
        <w:r w:rsidR="00265680" w:rsidRPr="008A1DB4">
          <w:rPr>
            <w:rStyle w:val="Hyperlink"/>
            <w:spacing w:val="-2"/>
            <w:sz w:val="18"/>
            <w:szCs w:val="18"/>
            <w:lang w:val="en-US"/>
          </w:rPr>
          <w:t xml:space="preserve">C.2) </w:t>
        </w:r>
        <w:r w:rsidR="003C49A4" w:rsidRPr="008A1DB4">
          <w:rPr>
            <w:rStyle w:val="Hyperlink"/>
            <w:spacing w:val="-2"/>
            <w:sz w:val="18"/>
            <w:szCs w:val="18"/>
            <w:lang w:val="en-US"/>
          </w:rPr>
          <w:t>Second stage of the process</w:t>
        </w:r>
        <w:r w:rsidR="00265680" w:rsidRPr="008A1DB4">
          <w:rPr>
            <w:rStyle w:val="Hyperlink"/>
            <w:spacing w:val="-2"/>
            <w:sz w:val="18"/>
            <w:szCs w:val="18"/>
            <w:lang w:val="en-US"/>
          </w:rPr>
          <w:t xml:space="preserve"> (</w:t>
        </w:r>
        <w:r w:rsidR="003C49A4" w:rsidRPr="008A1DB4">
          <w:rPr>
            <w:rStyle w:val="Hyperlink"/>
            <w:spacing w:val="-2"/>
            <w:sz w:val="18"/>
            <w:szCs w:val="18"/>
            <w:lang w:val="en-US"/>
          </w:rPr>
          <w:t>from the second advisory</w:t>
        </w:r>
        <w:r w:rsidR="002D1CFC" w:rsidRPr="008A1DB4">
          <w:rPr>
            <w:rStyle w:val="Hyperlink"/>
            <w:spacing w:val="-2"/>
            <w:sz w:val="18"/>
            <w:szCs w:val="18"/>
            <w:lang w:val="en-US"/>
          </w:rPr>
          <w:t xml:space="preserve"> decision</w:t>
        </w:r>
        <w:r w:rsidR="00265680" w:rsidRPr="008A1DB4">
          <w:rPr>
            <w:rStyle w:val="Hyperlink"/>
            <w:spacing w:val="-2"/>
            <w:sz w:val="18"/>
            <w:szCs w:val="18"/>
            <w:lang w:val="en-US"/>
          </w:rPr>
          <w:t xml:space="preserve"> </w:t>
        </w:r>
        <w:r w:rsidR="003C49A4" w:rsidRPr="008A1DB4">
          <w:rPr>
            <w:rStyle w:val="Hyperlink"/>
            <w:spacing w:val="-2"/>
            <w:sz w:val="18"/>
            <w:szCs w:val="18"/>
            <w:lang w:val="en-US"/>
          </w:rPr>
          <w:t>to date</w:t>
        </w:r>
        <w:r w:rsidR="00265680" w:rsidRPr="008A1DB4">
          <w:rPr>
            <w:rStyle w:val="Hyperlink"/>
            <w:spacing w:val="-2"/>
            <w:sz w:val="18"/>
            <w:szCs w:val="18"/>
            <w:lang w:val="en-US"/>
          </w:rPr>
          <w: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_Toc430125369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24</w:t>
        </w:r>
        <w:r w:rsidR="00265680" w:rsidRPr="008A1DB4">
          <w:rPr>
            <w:webHidden/>
            <w:sz w:val="18"/>
            <w:szCs w:val="18"/>
            <w:lang w:val="en-US"/>
          </w:rPr>
          <w:fldChar w:fldCharType="end"/>
        </w:r>
      </w:hyperlink>
    </w:p>
    <w:p w14:paraId="726F4B2C" w14:textId="5F7FE2E5"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70" w:history="1">
        <w:r w:rsidR="00265680" w:rsidRPr="008A1DB4">
          <w:rPr>
            <w:rStyle w:val="Hyperlink"/>
            <w:noProof/>
            <w:spacing w:val="-2"/>
            <w:sz w:val="18"/>
            <w:szCs w:val="18"/>
            <w:lang w:val="en-US"/>
          </w:rPr>
          <w:t xml:space="preserve">C.2.a) </w:t>
        </w:r>
        <w:r w:rsidR="00860B3A" w:rsidRPr="008A1DB4">
          <w:rPr>
            <w:rStyle w:val="Hyperlink"/>
            <w:noProof/>
            <w:spacing w:val="-2"/>
            <w:sz w:val="18"/>
            <w:szCs w:val="18"/>
            <w:lang w:val="en-US"/>
          </w:rPr>
          <w:t>Subsequent requests made by</w:t>
        </w:r>
        <w:r w:rsidR="00B43F84" w:rsidRPr="008A1DB4">
          <w:rPr>
            <w:rStyle w:val="Hyperlink"/>
            <w:noProof/>
            <w:spacing w:val="-2"/>
            <w:sz w:val="18"/>
            <w:szCs w:val="18"/>
            <w:lang w:val="en-US"/>
          </w:rPr>
          <w:t xml:space="preserve"> Executive Branch</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_Toc430125370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26</w:t>
        </w:r>
        <w:r w:rsidR="00265680" w:rsidRPr="008A1DB4">
          <w:rPr>
            <w:noProof/>
            <w:webHidden/>
            <w:sz w:val="18"/>
            <w:szCs w:val="18"/>
            <w:lang w:val="en-US"/>
          </w:rPr>
          <w:fldChar w:fldCharType="end"/>
        </w:r>
      </w:hyperlink>
    </w:p>
    <w:p w14:paraId="32A3CCEC" w14:textId="790FBAC7"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71" w:history="1">
        <w:r w:rsidR="00265680" w:rsidRPr="008A1DB4">
          <w:rPr>
            <w:rStyle w:val="Hyperlink"/>
            <w:noProof/>
            <w:spacing w:val="-2"/>
            <w:sz w:val="18"/>
            <w:szCs w:val="18"/>
            <w:lang w:val="en-US"/>
          </w:rPr>
          <w:t xml:space="preserve">C.2.b) </w:t>
        </w:r>
        <w:r w:rsidR="00860B3A" w:rsidRPr="008A1DB4">
          <w:rPr>
            <w:rStyle w:val="Hyperlink"/>
            <w:noProof/>
            <w:spacing w:val="-2"/>
            <w:sz w:val="18"/>
            <w:szCs w:val="18"/>
            <w:lang w:val="en-US"/>
          </w:rPr>
          <w:t>The actual situation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_Toc430125371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28</w:t>
        </w:r>
        <w:r w:rsidR="00265680" w:rsidRPr="008A1DB4">
          <w:rPr>
            <w:noProof/>
            <w:webHidden/>
            <w:sz w:val="18"/>
            <w:szCs w:val="18"/>
            <w:lang w:val="en-US"/>
          </w:rPr>
          <w:fldChar w:fldCharType="end"/>
        </w:r>
      </w:hyperlink>
    </w:p>
    <w:p w14:paraId="50F94FD4" w14:textId="30C2E49C" w:rsidR="00265680" w:rsidRPr="008A1DB4" w:rsidRDefault="00397BB4" w:rsidP="00265680">
      <w:pPr>
        <w:pStyle w:val="TOC2"/>
        <w:rPr>
          <w:rFonts w:eastAsiaTheme="minorEastAsia"/>
          <w:bCs w:val="0"/>
          <w:iCs w:val="0"/>
          <w:spacing w:val="0"/>
          <w:sz w:val="18"/>
          <w:szCs w:val="18"/>
          <w:lang w:val="en-US" w:eastAsia="es-CR"/>
        </w:rPr>
      </w:pPr>
      <w:hyperlink w:anchor="_Toc430125372" w:history="1">
        <w:r w:rsidR="00265680" w:rsidRPr="008A1DB4">
          <w:rPr>
            <w:rStyle w:val="Hyperlink"/>
            <w:spacing w:val="-2"/>
            <w:sz w:val="18"/>
            <w:szCs w:val="18"/>
            <w:lang w:val="en-US"/>
          </w:rPr>
          <w:t xml:space="preserve">C.3) </w:t>
        </w:r>
        <w:r w:rsidR="00945E57" w:rsidRPr="008A1DB4">
          <w:rPr>
            <w:rStyle w:val="Hyperlink"/>
            <w:spacing w:val="-2"/>
            <w:sz w:val="18"/>
            <w:szCs w:val="18"/>
            <w:lang w:val="en-US"/>
          </w:rPr>
          <w:t>Diplomatic assurances</w:t>
        </w:r>
        <w:r w:rsidR="00860B3A" w:rsidRPr="008A1DB4">
          <w:rPr>
            <w:rStyle w:val="Hyperlink"/>
            <w:spacing w:val="-2"/>
            <w:sz w:val="18"/>
            <w:szCs w:val="18"/>
            <w:lang w:val="en-US"/>
          </w:rPr>
          <w:t xml:space="preserve"> granted by</w:t>
        </w:r>
        <w:r w:rsidR="00265680" w:rsidRPr="008A1DB4">
          <w:rPr>
            <w:rStyle w:val="Hyperlink"/>
            <w:spacing w:val="-2"/>
            <w:sz w:val="18"/>
            <w:szCs w:val="18"/>
            <w:lang w:val="en-US"/>
          </w:rPr>
          <w:t xml:space="preserve"> </w:t>
        </w:r>
        <w:r w:rsidR="00FE5E87" w:rsidRPr="008A1DB4">
          <w:rPr>
            <w:rStyle w:val="Hyperlink"/>
            <w:spacing w:val="-2"/>
            <w:sz w:val="18"/>
            <w:szCs w:val="18"/>
            <w:lang w:val="en-US"/>
          </w:rPr>
          <w:t>the People’s Republic of China</w:t>
        </w:r>
        <w:r w:rsidR="00265680" w:rsidRPr="008A1DB4">
          <w:rPr>
            <w:rStyle w:val="Hyperlink"/>
            <w:spacing w:val="-2"/>
            <w:sz w:val="18"/>
            <w:szCs w:val="18"/>
            <w:lang w:val="en-US"/>
          </w:rPr>
          <w:t xml:space="preserve"> </w:t>
        </w:r>
        <w:r w:rsidR="00860B3A" w:rsidRPr="008A1DB4">
          <w:rPr>
            <w:rStyle w:val="Hyperlink"/>
            <w:spacing w:val="-2"/>
            <w:sz w:val="18"/>
            <w:szCs w:val="18"/>
            <w:lang w:val="en-US"/>
          </w:rPr>
          <w:t>in relation to the extradition</w:t>
        </w:r>
        <w:r w:rsidR="00265680" w:rsidRPr="008A1DB4">
          <w:rPr>
            <w:rStyle w:val="Hyperlink"/>
            <w:spacing w:val="-2"/>
            <w:sz w:val="18"/>
            <w:szCs w:val="18"/>
            <w:lang w:val="en-US"/>
          </w:rPr>
          <w:t xml:space="preserve"> </w:t>
        </w:r>
        <w:r w:rsidR="00B43F84" w:rsidRPr="008A1DB4">
          <w:rPr>
            <w:rStyle w:val="Hyperlink"/>
            <w:spacing w:val="-2"/>
            <w:sz w:val="18"/>
            <w:szCs w:val="18"/>
            <w:lang w:val="en-US"/>
          </w:rPr>
          <w:t>of Wong</w:t>
        </w:r>
        <w:r w:rsidR="00265680" w:rsidRPr="008A1DB4">
          <w:rPr>
            <w:rStyle w:val="Hyperlink"/>
            <w:spacing w:val="-2"/>
            <w:sz w:val="18"/>
            <w:szCs w:val="18"/>
            <w:lang w:val="en-US"/>
          </w:rPr>
          <w:t xml:space="preserve"> Ho Wing</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_Toc430125372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29</w:t>
        </w:r>
        <w:r w:rsidR="00265680" w:rsidRPr="008A1DB4">
          <w:rPr>
            <w:webHidden/>
            <w:sz w:val="18"/>
            <w:szCs w:val="18"/>
            <w:lang w:val="en-US"/>
          </w:rPr>
          <w:fldChar w:fldCharType="end"/>
        </w:r>
      </w:hyperlink>
    </w:p>
    <w:p w14:paraId="0778468B" w14:textId="4E2CECDB" w:rsidR="00265680" w:rsidRPr="008A1DB4" w:rsidRDefault="00397BB4" w:rsidP="00265680">
      <w:pPr>
        <w:pStyle w:val="TOC1"/>
        <w:rPr>
          <w:rFonts w:eastAsiaTheme="minorEastAsia"/>
          <w:noProof/>
          <w:sz w:val="18"/>
          <w:szCs w:val="18"/>
          <w:lang w:val="en-US" w:eastAsia="es-CR"/>
        </w:rPr>
      </w:pPr>
      <w:hyperlink w:anchor="_Toc430125373" w:history="1">
        <w:r w:rsidR="00265680" w:rsidRPr="008A1DB4">
          <w:rPr>
            <w:rStyle w:val="Hyperlink"/>
            <w:noProof/>
            <w:spacing w:val="-2"/>
            <w:sz w:val="18"/>
            <w:szCs w:val="18"/>
            <w:lang w:val="en-US"/>
          </w:rPr>
          <w:t xml:space="preserve">D. </w:t>
        </w:r>
        <w:r w:rsidR="00012D98" w:rsidRPr="008A1DB4">
          <w:rPr>
            <w:rStyle w:val="Hyperlink"/>
            <w:noProof/>
            <w:spacing w:val="-2"/>
            <w:sz w:val="18"/>
            <w:szCs w:val="18"/>
            <w:lang w:val="en-US"/>
          </w:rPr>
          <w:t>The detention of Wong Ho</w:t>
        </w:r>
        <w:r w:rsidR="00860B3A" w:rsidRPr="008A1DB4">
          <w:rPr>
            <w:rStyle w:val="Hyperlink"/>
            <w:noProof/>
            <w:spacing w:val="-2"/>
            <w:sz w:val="18"/>
            <w:szCs w:val="18"/>
            <w:lang w:val="en-US"/>
          </w:rPr>
          <w:t xml:space="preserve"> Wing and the remedies filed in this regard</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_Toc430125373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31</w:t>
        </w:r>
        <w:r w:rsidR="00265680" w:rsidRPr="008A1DB4">
          <w:rPr>
            <w:noProof/>
            <w:webHidden/>
            <w:sz w:val="18"/>
            <w:szCs w:val="18"/>
            <w:lang w:val="en-US"/>
          </w:rPr>
          <w:fldChar w:fldCharType="end"/>
        </w:r>
      </w:hyperlink>
    </w:p>
    <w:p w14:paraId="2C3703C3" w14:textId="74750E40" w:rsidR="00265680" w:rsidRPr="008A1DB4" w:rsidRDefault="00397BB4" w:rsidP="00265680">
      <w:pPr>
        <w:pStyle w:val="TOC1"/>
        <w:rPr>
          <w:rFonts w:eastAsiaTheme="minorEastAsia"/>
          <w:b/>
          <w:noProof/>
          <w:sz w:val="18"/>
          <w:szCs w:val="18"/>
          <w:lang w:val="en-US" w:eastAsia="es-CR"/>
        </w:rPr>
      </w:pPr>
      <w:hyperlink w:anchor="_Toc430125374" w:history="1">
        <w:r w:rsidR="00265680" w:rsidRPr="008A1DB4">
          <w:rPr>
            <w:rStyle w:val="Hyperlink"/>
            <w:b/>
            <w:noProof/>
            <w:spacing w:val="-2"/>
            <w:sz w:val="18"/>
            <w:szCs w:val="18"/>
            <w:lang w:val="en-US"/>
          </w:rPr>
          <w:t>IX.</w:t>
        </w:r>
        <w:r w:rsidR="00265680" w:rsidRPr="008A1DB4">
          <w:rPr>
            <w:b/>
            <w:noProof/>
            <w:lang w:val="en-US"/>
          </w:rPr>
          <w:t xml:space="preserve"> </w:t>
        </w:r>
        <w:r w:rsidR="00860B3A" w:rsidRPr="008A1DB4">
          <w:rPr>
            <w:rStyle w:val="Hyperlink"/>
            <w:b/>
            <w:noProof/>
            <w:spacing w:val="-2"/>
            <w:sz w:val="18"/>
            <w:szCs w:val="18"/>
            <w:lang w:val="en-US"/>
          </w:rPr>
          <w:t>RIGHTS TO LIFE AND PERSONAL INTEGRITY AND PRINCIPLE OF NON-REFOULEMENT</w:t>
        </w:r>
        <w:r w:rsidR="00265680" w:rsidRPr="008A1DB4">
          <w:rPr>
            <w:rStyle w:val="Hyperlink"/>
            <w:b/>
            <w:noProof/>
            <w:spacing w:val="-2"/>
            <w:sz w:val="18"/>
            <w:szCs w:val="18"/>
            <w:lang w:val="en-US"/>
          </w:rPr>
          <w:t xml:space="preserve">, </w:t>
        </w:r>
        <w:r w:rsidR="00860B3A" w:rsidRPr="008A1DB4">
          <w:rPr>
            <w:rStyle w:val="Hyperlink"/>
            <w:b/>
            <w:noProof/>
            <w:spacing w:val="-2"/>
            <w:sz w:val="18"/>
            <w:szCs w:val="18"/>
            <w:lang w:val="en-US"/>
          </w:rPr>
          <w:t>IN RELATION TO THE OBLIGATION TO ENSURE RIGHTS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_Toc430125374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36</w:t>
        </w:r>
        <w:r w:rsidR="00265680" w:rsidRPr="008A1DB4">
          <w:rPr>
            <w:b/>
            <w:noProof/>
            <w:webHidden/>
            <w:sz w:val="18"/>
            <w:szCs w:val="18"/>
            <w:lang w:val="en-US"/>
          </w:rPr>
          <w:fldChar w:fldCharType="end"/>
        </w:r>
      </w:hyperlink>
    </w:p>
    <w:p w14:paraId="44F79E43" w14:textId="36855BFA" w:rsidR="00265680" w:rsidRPr="008A1DB4" w:rsidRDefault="00397BB4" w:rsidP="00265680">
      <w:pPr>
        <w:pStyle w:val="TOC1"/>
        <w:rPr>
          <w:rFonts w:eastAsiaTheme="minorEastAsia"/>
          <w:noProof/>
          <w:sz w:val="18"/>
          <w:szCs w:val="18"/>
          <w:lang w:val="en-US" w:eastAsia="es-CR"/>
        </w:rPr>
      </w:pPr>
      <w:hyperlink w:anchor="_Toc430125376" w:history="1">
        <w:r w:rsidR="00265680" w:rsidRPr="008A1DB4">
          <w:rPr>
            <w:rStyle w:val="Hyperlink"/>
            <w:noProof/>
            <w:spacing w:val="-2"/>
            <w:sz w:val="18"/>
            <w:szCs w:val="18"/>
            <w:lang w:val="en-US"/>
          </w:rPr>
          <w:t xml:space="preserve">A. </w:t>
        </w:r>
        <w:r w:rsidR="0058668C" w:rsidRPr="008A1DB4">
          <w:rPr>
            <w:rStyle w:val="Hyperlink"/>
            <w:noProof/>
            <w:spacing w:val="-2"/>
            <w:sz w:val="18"/>
            <w:szCs w:val="18"/>
            <w:lang w:val="en-US"/>
          </w:rPr>
          <w:t>Arguments</w:t>
        </w:r>
        <w:r w:rsidR="00265680" w:rsidRPr="008A1DB4">
          <w:rPr>
            <w:rStyle w:val="Hyperlink"/>
            <w:noProof/>
            <w:spacing w:val="-2"/>
            <w:sz w:val="18"/>
            <w:szCs w:val="18"/>
            <w:lang w:val="en-US"/>
          </w:rPr>
          <w:t xml:space="preserve"> </w:t>
        </w:r>
        <w:r w:rsidR="00860B3A" w:rsidRPr="008A1DB4">
          <w:rPr>
            <w:rStyle w:val="Hyperlink"/>
            <w:noProof/>
            <w:spacing w:val="-2"/>
            <w:sz w:val="18"/>
            <w:szCs w:val="18"/>
            <w:lang w:val="en-US"/>
          </w:rPr>
          <w:t>of the parties</w:t>
        </w:r>
        <w:r w:rsidR="00F36400" w:rsidRPr="008A1DB4">
          <w:rPr>
            <w:rStyle w:val="Hyperlink"/>
            <w:noProof/>
            <w:spacing w:val="-2"/>
            <w:sz w:val="18"/>
            <w:szCs w:val="18"/>
            <w:lang w:val="en-US"/>
          </w:rPr>
          <w:t xml:space="preserve"> and</w:t>
        </w:r>
        <w:r w:rsidR="00C45946" w:rsidRPr="008A1DB4">
          <w:rPr>
            <w:rStyle w:val="Hyperlink"/>
            <w:noProof/>
            <w:spacing w:val="-2"/>
            <w:sz w:val="18"/>
            <w:szCs w:val="18"/>
            <w:lang w:val="en-US"/>
          </w:rPr>
          <w:t xml:space="preserve"> of the </w:t>
        </w:r>
        <w:r w:rsidR="00F36400" w:rsidRPr="008A1DB4">
          <w:rPr>
            <w:rStyle w:val="Hyperlink"/>
            <w:noProof/>
            <w:spacing w:val="-2"/>
            <w:sz w:val="18"/>
            <w:szCs w:val="18"/>
            <w:lang w:val="en-US"/>
          </w:rPr>
          <w:t>Commission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_Toc430125376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37</w:t>
        </w:r>
        <w:r w:rsidR="00265680" w:rsidRPr="008A1DB4">
          <w:rPr>
            <w:noProof/>
            <w:webHidden/>
            <w:sz w:val="18"/>
            <w:szCs w:val="18"/>
            <w:lang w:val="en-US"/>
          </w:rPr>
          <w:fldChar w:fldCharType="end"/>
        </w:r>
      </w:hyperlink>
    </w:p>
    <w:p w14:paraId="6A7F36C5" w14:textId="02680DBA" w:rsidR="00265680" w:rsidRPr="008A1DB4" w:rsidRDefault="00397BB4" w:rsidP="00265680">
      <w:pPr>
        <w:pStyle w:val="TOC1"/>
        <w:rPr>
          <w:rFonts w:eastAsiaTheme="minorEastAsia"/>
          <w:noProof/>
          <w:sz w:val="18"/>
          <w:szCs w:val="18"/>
          <w:lang w:val="en-US" w:eastAsia="es-CR"/>
        </w:rPr>
      </w:pPr>
      <w:hyperlink w:anchor="_Toc430125377" w:history="1">
        <w:r w:rsidR="00265680" w:rsidRPr="008A1DB4">
          <w:rPr>
            <w:rStyle w:val="Hyperlink"/>
            <w:noProof/>
            <w:spacing w:val="-2"/>
            <w:sz w:val="18"/>
            <w:szCs w:val="18"/>
            <w:lang w:val="en-US"/>
          </w:rPr>
          <w:t xml:space="preserve">B. </w:t>
        </w:r>
        <w:r w:rsidR="00A836C4" w:rsidRPr="008A1DB4">
          <w:rPr>
            <w:rStyle w:val="Hyperlink"/>
            <w:noProof/>
            <w:spacing w:val="-2"/>
            <w:sz w:val="18"/>
            <w:szCs w:val="18"/>
            <w:lang w:val="en-US"/>
          </w:rPr>
          <w:t>Considerations</w:t>
        </w:r>
        <w:r w:rsidR="00F36400" w:rsidRPr="008A1DB4">
          <w:rPr>
            <w:rStyle w:val="Hyperlink"/>
            <w:noProof/>
            <w:spacing w:val="-2"/>
            <w:sz w:val="18"/>
            <w:szCs w:val="18"/>
            <w:lang w:val="en-US"/>
          </w:rPr>
          <w:t xml:space="preserve"> of the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_Toc430125377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38</w:t>
        </w:r>
        <w:r w:rsidR="00265680" w:rsidRPr="008A1DB4">
          <w:rPr>
            <w:noProof/>
            <w:webHidden/>
            <w:sz w:val="18"/>
            <w:szCs w:val="18"/>
            <w:lang w:val="en-US"/>
          </w:rPr>
          <w:fldChar w:fldCharType="end"/>
        </w:r>
      </w:hyperlink>
    </w:p>
    <w:p w14:paraId="2D6519E1" w14:textId="2C877D81" w:rsidR="00265680" w:rsidRPr="008A1DB4" w:rsidRDefault="00397BB4" w:rsidP="00265680">
      <w:pPr>
        <w:pStyle w:val="TOC2"/>
        <w:rPr>
          <w:rFonts w:eastAsiaTheme="minorEastAsia"/>
          <w:bCs w:val="0"/>
          <w:iCs w:val="0"/>
          <w:spacing w:val="0"/>
          <w:sz w:val="18"/>
          <w:szCs w:val="18"/>
          <w:lang w:val="en-US" w:eastAsia="es-CR"/>
        </w:rPr>
      </w:pPr>
      <w:hyperlink w:anchor="_Toc430125378" w:history="1">
        <w:r w:rsidR="00265680" w:rsidRPr="008A1DB4">
          <w:rPr>
            <w:rStyle w:val="Hyperlink"/>
            <w:spacing w:val="-2"/>
            <w:sz w:val="18"/>
            <w:szCs w:val="18"/>
            <w:lang w:val="en-US"/>
          </w:rPr>
          <w:t xml:space="preserve">B.1) </w:t>
        </w:r>
        <w:r w:rsidR="00860B3A" w:rsidRPr="008A1DB4">
          <w:rPr>
            <w:rStyle w:val="Hyperlink"/>
            <w:spacing w:val="-2"/>
            <w:sz w:val="18"/>
            <w:szCs w:val="18"/>
            <w:lang w:val="en-US"/>
          </w:rPr>
          <w:t>General considerations on the obligation to ensure rights and the principle of non-refoulement</w:t>
        </w:r>
        <w:r w:rsidR="00265680" w:rsidRPr="008A1DB4">
          <w:rPr>
            <w:rStyle w:val="Hyperlink"/>
            <w:spacing w:val="-2"/>
            <w:sz w:val="18"/>
            <w:szCs w:val="18"/>
            <w:lang w:val="en-US"/>
          </w:rPr>
          <w:t xml:space="preserve"> </w:t>
        </w:r>
        <w:r w:rsidR="00860B3A" w:rsidRPr="008A1DB4">
          <w:rPr>
            <w:rStyle w:val="Hyperlink"/>
            <w:spacing w:val="-2"/>
            <w:sz w:val="18"/>
            <w:szCs w:val="18"/>
            <w:lang w:val="en-US"/>
          </w:rPr>
          <w:t>in the face of possible risks to the rights to life, to personal integrity</w:t>
        </w:r>
        <w:r w:rsidR="00012D98" w:rsidRPr="008A1DB4">
          <w:rPr>
            <w:rStyle w:val="Hyperlink"/>
            <w:spacing w:val="-2"/>
            <w:sz w:val="18"/>
            <w:szCs w:val="18"/>
            <w:lang w:val="en-US"/>
          </w:rPr>
          <w:t>,</w:t>
        </w:r>
        <w:r w:rsidR="00860B3A" w:rsidRPr="008A1DB4">
          <w:rPr>
            <w:rStyle w:val="Hyperlink"/>
            <w:spacing w:val="-2"/>
            <w:sz w:val="18"/>
            <w:szCs w:val="18"/>
            <w:lang w:val="en-US"/>
          </w:rPr>
          <w:t xml:space="preserve"> and to due process in extradition proceedings</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_Toc430125378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38</w:t>
        </w:r>
        <w:r w:rsidR="00265680" w:rsidRPr="008A1DB4">
          <w:rPr>
            <w:webHidden/>
            <w:sz w:val="18"/>
            <w:szCs w:val="18"/>
            <w:lang w:val="en-US"/>
          </w:rPr>
          <w:fldChar w:fldCharType="end"/>
        </w:r>
      </w:hyperlink>
    </w:p>
    <w:p w14:paraId="1A9E9F50" w14:textId="7F508DC6" w:rsidR="00265680" w:rsidRPr="008A1DB4" w:rsidRDefault="00397BB4" w:rsidP="00265680">
      <w:pPr>
        <w:pStyle w:val="TOC2"/>
        <w:rPr>
          <w:rFonts w:eastAsiaTheme="minorEastAsia"/>
          <w:bCs w:val="0"/>
          <w:iCs w:val="0"/>
          <w:spacing w:val="0"/>
          <w:sz w:val="18"/>
          <w:szCs w:val="18"/>
          <w:lang w:val="en-US" w:eastAsia="es-CR"/>
        </w:rPr>
      </w:pPr>
      <w:hyperlink w:anchor="_Toc430125379" w:history="1">
        <w:r w:rsidR="00265680" w:rsidRPr="008A1DB4">
          <w:rPr>
            <w:rStyle w:val="Hyperlink"/>
            <w:spacing w:val="-2"/>
            <w:sz w:val="18"/>
            <w:szCs w:val="18"/>
            <w:lang w:val="en-US"/>
          </w:rPr>
          <w:t xml:space="preserve">B.2) </w:t>
        </w:r>
        <w:r w:rsidR="00860B3A" w:rsidRPr="008A1DB4">
          <w:rPr>
            <w:rStyle w:val="Hyperlink"/>
            <w:spacing w:val="-2"/>
            <w:sz w:val="18"/>
            <w:szCs w:val="18"/>
            <w:lang w:val="en-US"/>
          </w:rPr>
          <w:t>Nature of the State's international responsibility in this case and information to be considered by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_Toc430125379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43</w:t>
        </w:r>
        <w:r w:rsidR="00265680" w:rsidRPr="008A1DB4">
          <w:rPr>
            <w:webHidden/>
            <w:sz w:val="18"/>
            <w:szCs w:val="18"/>
            <w:lang w:val="en-US"/>
          </w:rPr>
          <w:fldChar w:fldCharType="end"/>
        </w:r>
      </w:hyperlink>
    </w:p>
    <w:p w14:paraId="525279FB" w14:textId="1DE1D253" w:rsidR="00265680" w:rsidRPr="008A1DB4" w:rsidRDefault="00397BB4" w:rsidP="00265680">
      <w:pPr>
        <w:pStyle w:val="TOC2"/>
        <w:rPr>
          <w:rFonts w:eastAsiaTheme="minorEastAsia"/>
          <w:bCs w:val="0"/>
          <w:iCs w:val="0"/>
          <w:spacing w:val="0"/>
          <w:sz w:val="18"/>
          <w:szCs w:val="18"/>
          <w:lang w:val="en-US" w:eastAsia="es-CR"/>
        </w:rPr>
      </w:pPr>
      <w:hyperlink w:anchor="_Toc430125380" w:history="1">
        <w:r w:rsidR="00265680" w:rsidRPr="008A1DB4">
          <w:rPr>
            <w:rStyle w:val="Hyperlink"/>
            <w:spacing w:val="-2"/>
            <w:sz w:val="18"/>
            <w:szCs w:val="18"/>
            <w:lang w:val="en-US"/>
          </w:rPr>
          <w:t xml:space="preserve">B.3) </w:t>
        </w:r>
        <w:r w:rsidR="00860B3A" w:rsidRPr="008A1DB4">
          <w:rPr>
            <w:rStyle w:val="Hyperlink"/>
            <w:spacing w:val="-2"/>
            <w:sz w:val="18"/>
            <w:szCs w:val="18"/>
            <w:lang w:val="en-US"/>
          </w:rPr>
          <w:t>Alleged risk of the application of the death penalty in this case</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_Toc430125380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45</w:t>
        </w:r>
        <w:r w:rsidR="00265680" w:rsidRPr="008A1DB4">
          <w:rPr>
            <w:webHidden/>
            <w:sz w:val="18"/>
            <w:szCs w:val="18"/>
            <w:lang w:val="en-US"/>
          </w:rPr>
          <w:fldChar w:fldCharType="end"/>
        </w:r>
      </w:hyperlink>
    </w:p>
    <w:p w14:paraId="411E7BAF" w14:textId="4F61DA96" w:rsidR="00265680" w:rsidRPr="008A1DB4" w:rsidRDefault="00397BB4" w:rsidP="00265680">
      <w:pPr>
        <w:pStyle w:val="TOC2"/>
        <w:rPr>
          <w:rFonts w:eastAsiaTheme="minorEastAsia"/>
          <w:bCs w:val="0"/>
          <w:iCs w:val="0"/>
          <w:spacing w:val="0"/>
          <w:sz w:val="18"/>
          <w:szCs w:val="18"/>
          <w:lang w:val="en-US" w:eastAsia="es-CR"/>
        </w:rPr>
      </w:pPr>
      <w:hyperlink w:anchor="_Toc430125381" w:history="1">
        <w:r w:rsidR="00265680" w:rsidRPr="008A1DB4">
          <w:rPr>
            <w:rStyle w:val="Hyperlink"/>
            <w:spacing w:val="-2"/>
            <w:sz w:val="18"/>
            <w:szCs w:val="18"/>
            <w:lang w:val="en-US"/>
          </w:rPr>
          <w:t xml:space="preserve">B.4) </w:t>
        </w:r>
        <w:r w:rsidR="00127339" w:rsidRPr="008A1DB4">
          <w:rPr>
            <w:rStyle w:val="Hyperlink"/>
            <w:spacing w:val="-2"/>
            <w:sz w:val="18"/>
            <w:szCs w:val="18"/>
            <w:lang w:val="en-US"/>
          </w:rPr>
          <w:t>Alleged risk of torture and other forms of cruel, inhuman or degrading treatment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_Toc430125381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48</w:t>
        </w:r>
        <w:r w:rsidR="00265680" w:rsidRPr="008A1DB4">
          <w:rPr>
            <w:webHidden/>
            <w:sz w:val="18"/>
            <w:szCs w:val="18"/>
            <w:lang w:val="en-US"/>
          </w:rPr>
          <w:fldChar w:fldCharType="end"/>
        </w:r>
      </w:hyperlink>
    </w:p>
    <w:p w14:paraId="497BB8D2" w14:textId="5D1AD959"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82" w:history="1">
        <w:r w:rsidR="00265680" w:rsidRPr="008A1DB4">
          <w:rPr>
            <w:rStyle w:val="Hyperlink"/>
            <w:noProof/>
            <w:spacing w:val="-2"/>
            <w:sz w:val="18"/>
            <w:szCs w:val="18"/>
            <w:lang w:val="en-US"/>
          </w:rPr>
          <w:t xml:space="preserve">B.4.a) </w:t>
        </w:r>
        <w:r w:rsidR="00127339" w:rsidRPr="008A1DB4">
          <w:rPr>
            <w:rStyle w:val="Hyperlink"/>
            <w:noProof/>
            <w:spacing w:val="-2"/>
            <w:sz w:val="18"/>
            <w:szCs w:val="18"/>
            <w:lang w:val="en-US"/>
          </w:rPr>
          <w:t xml:space="preserve">Obligation to consider the arguments concerning the risk of </w:t>
        </w:r>
        <w:r w:rsidR="0041751B" w:rsidRPr="008A1DB4">
          <w:rPr>
            <w:rStyle w:val="Hyperlink"/>
            <w:noProof/>
            <w:spacing w:val="-2"/>
            <w:sz w:val="18"/>
            <w:szCs w:val="18"/>
            <w:lang w:val="en-US"/>
          </w:rPr>
          <w:t xml:space="preserve">a </w:t>
        </w:r>
        <w:r w:rsidR="00127339" w:rsidRPr="008A1DB4">
          <w:rPr>
            <w:rStyle w:val="Hyperlink"/>
            <w:noProof/>
            <w:spacing w:val="-2"/>
            <w:sz w:val="18"/>
            <w:szCs w:val="18"/>
            <w:lang w:val="en-US"/>
          </w:rPr>
          <w:t>violation of</w:t>
        </w:r>
        <w:r w:rsidR="00265680" w:rsidRPr="008A1DB4">
          <w:rPr>
            <w:rStyle w:val="Hyperlink"/>
            <w:noProof/>
            <w:spacing w:val="-2"/>
            <w:sz w:val="18"/>
            <w:szCs w:val="18"/>
            <w:lang w:val="en-US"/>
          </w:rPr>
          <w:t xml:space="preserve"> </w:t>
        </w:r>
        <w:r w:rsidR="00776D24" w:rsidRPr="008A1DB4">
          <w:rPr>
            <w:rStyle w:val="Hyperlink"/>
            <w:noProof/>
            <w:spacing w:val="-2"/>
            <w:sz w:val="18"/>
            <w:szCs w:val="18"/>
            <w:lang w:val="en-US"/>
          </w:rPr>
          <w:t>personal integrity</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_Toc430125382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49</w:t>
        </w:r>
        <w:r w:rsidR="00265680" w:rsidRPr="008A1DB4">
          <w:rPr>
            <w:noProof/>
            <w:webHidden/>
            <w:sz w:val="18"/>
            <w:szCs w:val="18"/>
            <w:lang w:val="en-US"/>
          </w:rPr>
          <w:fldChar w:fldCharType="end"/>
        </w:r>
      </w:hyperlink>
    </w:p>
    <w:p w14:paraId="2A6E3EBC" w14:textId="11D63F3E"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83" w:history="1">
        <w:r w:rsidR="00265680" w:rsidRPr="008A1DB4">
          <w:rPr>
            <w:rStyle w:val="Hyperlink"/>
            <w:noProof/>
            <w:spacing w:val="-2"/>
            <w:sz w:val="18"/>
            <w:szCs w:val="18"/>
            <w:lang w:val="en-US"/>
          </w:rPr>
          <w:t xml:space="preserve">B.4.b) </w:t>
        </w:r>
        <w:r w:rsidR="00BC0345" w:rsidRPr="008A1DB4">
          <w:rPr>
            <w:rStyle w:val="Hyperlink"/>
            <w:noProof/>
            <w:spacing w:val="-2"/>
            <w:sz w:val="18"/>
            <w:szCs w:val="18"/>
            <w:lang w:val="en-US"/>
          </w:rPr>
          <w:t>Alleged risk to Wong Ho Wing in the requesting</w:t>
        </w:r>
        <w:r w:rsidR="00653211" w:rsidRPr="008A1DB4">
          <w:rPr>
            <w:rStyle w:val="Hyperlink"/>
            <w:noProof/>
            <w:spacing w:val="-2"/>
            <w:sz w:val="18"/>
            <w:szCs w:val="18"/>
            <w:lang w:val="en-US"/>
          </w:rPr>
          <w:t xml:space="preserve"> State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_Toc430125383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52</w:t>
        </w:r>
        <w:r w:rsidR="00265680" w:rsidRPr="008A1DB4">
          <w:rPr>
            <w:noProof/>
            <w:webHidden/>
            <w:sz w:val="18"/>
            <w:szCs w:val="18"/>
            <w:lang w:val="en-US"/>
          </w:rPr>
          <w:fldChar w:fldCharType="end"/>
        </w:r>
      </w:hyperlink>
    </w:p>
    <w:p w14:paraId="62698218" w14:textId="23C2EC9B" w:rsidR="00265680" w:rsidRPr="008A1DB4" w:rsidRDefault="00397BB4" w:rsidP="00265680">
      <w:pPr>
        <w:pStyle w:val="TOC4"/>
        <w:rPr>
          <w:rFonts w:ascii="Verdana" w:hAnsi="Verdana"/>
          <w:noProof/>
          <w:sz w:val="18"/>
          <w:szCs w:val="18"/>
          <w:lang w:val="en-US"/>
        </w:rPr>
      </w:pPr>
      <w:hyperlink w:anchor="_Toc430125384" w:history="1">
        <w:r w:rsidR="00265680" w:rsidRPr="008A1DB4">
          <w:rPr>
            <w:rStyle w:val="Hyperlink"/>
            <w:rFonts w:ascii="Verdana" w:hAnsi="Verdana"/>
            <w:noProof/>
            <w:spacing w:val="-2"/>
            <w:sz w:val="18"/>
            <w:szCs w:val="18"/>
            <w:lang w:val="en-US"/>
          </w:rPr>
          <w:t xml:space="preserve">i) </w:t>
        </w:r>
        <w:r w:rsidR="00945E57" w:rsidRPr="008A1DB4">
          <w:rPr>
            <w:rStyle w:val="Hyperlink"/>
            <w:rFonts w:ascii="Verdana" w:hAnsi="Verdana"/>
            <w:noProof/>
            <w:spacing w:val="-2"/>
            <w:sz w:val="18"/>
            <w:szCs w:val="18"/>
            <w:lang w:val="en-US"/>
          </w:rPr>
          <w:t>Alleged situation of risk in</w:t>
        </w:r>
        <w:r w:rsidR="00265680" w:rsidRPr="008A1DB4">
          <w:rPr>
            <w:rStyle w:val="Hyperlink"/>
            <w:rFonts w:ascii="Verdana" w:hAnsi="Verdana"/>
            <w:noProof/>
            <w:spacing w:val="-2"/>
            <w:sz w:val="18"/>
            <w:szCs w:val="18"/>
            <w:lang w:val="en-US"/>
          </w:rPr>
          <w:t xml:space="preserve"> </w:t>
        </w:r>
        <w:r w:rsidR="00653211" w:rsidRPr="008A1DB4">
          <w:rPr>
            <w:rStyle w:val="Hyperlink"/>
            <w:rFonts w:ascii="Verdana" w:hAnsi="Verdana"/>
            <w:noProof/>
            <w:spacing w:val="-2"/>
            <w:sz w:val="18"/>
            <w:szCs w:val="18"/>
            <w:lang w:val="en-US"/>
          </w:rPr>
          <w:t>the requesting State</w:t>
        </w:r>
        <w:r w:rsidR="00265680" w:rsidRPr="008A1DB4">
          <w:rPr>
            <w:rFonts w:ascii="Verdana" w:hAnsi="Verdana"/>
            <w:noProof/>
            <w:webHidden/>
            <w:sz w:val="18"/>
            <w:szCs w:val="18"/>
            <w:lang w:val="en-US"/>
          </w:rPr>
          <w:tab/>
        </w:r>
        <w:r w:rsidR="00265680" w:rsidRPr="008A1DB4">
          <w:rPr>
            <w:rFonts w:ascii="Verdana" w:hAnsi="Verdana"/>
            <w:noProof/>
            <w:webHidden/>
            <w:sz w:val="18"/>
            <w:szCs w:val="18"/>
            <w:lang w:val="en-US"/>
          </w:rPr>
          <w:fldChar w:fldCharType="begin"/>
        </w:r>
        <w:r w:rsidR="00265680" w:rsidRPr="008A1DB4">
          <w:rPr>
            <w:rFonts w:ascii="Verdana" w:hAnsi="Verdana"/>
            <w:noProof/>
            <w:webHidden/>
            <w:sz w:val="18"/>
            <w:szCs w:val="18"/>
            <w:lang w:val="en-US"/>
          </w:rPr>
          <w:instrText xml:space="preserve"> PAGEREF _Toc430125384 \h </w:instrText>
        </w:r>
        <w:r w:rsidR="00265680" w:rsidRPr="008A1DB4">
          <w:rPr>
            <w:rFonts w:ascii="Verdana" w:hAnsi="Verdana"/>
            <w:noProof/>
            <w:webHidden/>
            <w:sz w:val="18"/>
            <w:szCs w:val="18"/>
            <w:lang w:val="en-US"/>
          </w:rPr>
        </w:r>
        <w:r w:rsidR="00265680" w:rsidRPr="008A1DB4">
          <w:rPr>
            <w:rFonts w:ascii="Verdana" w:hAnsi="Verdana"/>
            <w:noProof/>
            <w:webHidden/>
            <w:sz w:val="18"/>
            <w:szCs w:val="18"/>
            <w:lang w:val="en-US"/>
          </w:rPr>
          <w:fldChar w:fldCharType="separate"/>
        </w:r>
        <w:r w:rsidR="00F31F43">
          <w:rPr>
            <w:rFonts w:ascii="Verdana" w:hAnsi="Verdana"/>
            <w:noProof/>
            <w:webHidden/>
            <w:sz w:val="18"/>
            <w:szCs w:val="18"/>
            <w:lang w:val="en-US"/>
          </w:rPr>
          <w:t>52</w:t>
        </w:r>
        <w:r w:rsidR="00265680" w:rsidRPr="008A1DB4">
          <w:rPr>
            <w:rFonts w:ascii="Verdana" w:hAnsi="Verdana"/>
            <w:noProof/>
            <w:webHidden/>
            <w:sz w:val="18"/>
            <w:szCs w:val="18"/>
            <w:lang w:val="en-US"/>
          </w:rPr>
          <w:fldChar w:fldCharType="end"/>
        </w:r>
      </w:hyperlink>
    </w:p>
    <w:p w14:paraId="04B0BDB8" w14:textId="7C03F928" w:rsidR="00265680" w:rsidRPr="008A1DB4" w:rsidRDefault="00397BB4" w:rsidP="00265680">
      <w:pPr>
        <w:pStyle w:val="TOC4"/>
        <w:rPr>
          <w:rFonts w:ascii="Verdana" w:hAnsi="Verdana"/>
          <w:noProof/>
          <w:sz w:val="18"/>
          <w:szCs w:val="18"/>
          <w:lang w:val="en-US"/>
        </w:rPr>
      </w:pPr>
      <w:hyperlink w:anchor="_Toc430125385" w:history="1">
        <w:r w:rsidR="00265680" w:rsidRPr="008A1DB4">
          <w:rPr>
            <w:rStyle w:val="Hyperlink"/>
            <w:rFonts w:ascii="Verdana" w:hAnsi="Verdana"/>
            <w:noProof/>
            <w:spacing w:val="-2"/>
            <w:sz w:val="18"/>
            <w:szCs w:val="18"/>
            <w:lang w:val="en-US"/>
          </w:rPr>
          <w:t xml:space="preserve">ii) </w:t>
        </w:r>
        <w:r w:rsidR="00C202FD" w:rsidRPr="008A1DB4">
          <w:rPr>
            <w:rStyle w:val="Hyperlink"/>
            <w:rFonts w:ascii="Verdana" w:hAnsi="Verdana"/>
            <w:noProof/>
            <w:spacing w:val="-2"/>
            <w:sz w:val="18"/>
            <w:szCs w:val="18"/>
            <w:lang w:val="en-US"/>
          </w:rPr>
          <w:t xml:space="preserve">Diplomatic notes and assurances provided by </w:t>
        </w:r>
        <w:r w:rsidR="00FE5E87" w:rsidRPr="008A1DB4">
          <w:rPr>
            <w:rStyle w:val="Hyperlink"/>
            <w:rFonts w:ascii="Verdana" w:hAnsi="Verdana"/>
            <w:noProof/>
            <w:spacing w:val="-2"/>
            <w:sz w:val="18"/>
            <w:szCs w:val="18"/>
            <w:lang w:val="en-US"/>
          </w:rPr>
          <w:t>the People’s Republic of China</w:t>
        </w:r>
        <w:r w:rsidR="00265680" w:rsidRPr="008A1DB4">
          <w:rPr>
            <w:rFonts w:ascii="Verdana" w:hAnsi="Verdana"/>
            <w:noProof/>
            <w:webHidden/>
            <w:sz w:val="18"/>
            <w:szCs w:val="18"/>
            <w:lang w:val="en-US"/>
          </w:rPr>
          <w:tab/>
        </w:r>
        <w:r w:rsidR="00265680" w:rsidRPr="008A1DB4">
          <w:rPr>
            <w:rFonts w:ascii="Verdana" w:hAnsi="Verdana"/>
            <w:noProof/>
            <w:webHidden/>
            <w:sz w:val="18"/>
            <w:szCs w:val="18"/>
            <w:lang w:val="en-US"/>
          </w:rPr>
          <w:fldChar w:fldCharType="begin"/>
        </w:r>
        <w:r w:rsidR="00265680" w:rsidRPr="008A1DB4">
          <w:rPr>
            <w:rFonts w:ascii="Verdana" w:hAnsi="Verdana"/>
            <w:noProof/>
            <w:webHidden/>
            <w:sz w:val="18"/>
            <w:szCs w:val="18"/>
            <w:lang w:val="en-US"/>
          </w:rPr>
          <w:instrText xml:space="preserve"> PAGEREF _Toc430125385 \h </w:instrText>
        </w:r>
        <w:r w:rsidR="00265680" w:rsidRPr="008A1DB4">
          <w:rPr>
            <w:rFonts w:ascii="Verdana" w:hAnsi="Verdana"/>
            <w:noProof/>
            <w:webHidden/>
            <w:sz w:val="18"/>
            <w:szCs w:val="18"/>
            <w:lang w:val="en-US"/>
          </w:rPr>
        </w:r>
        <w:r w:rsidR="00265680" w:rsidRPr="008A1DB4">
          <w:rPr>
            <w:rFonts w:ascii="Verdana" w:hAnsi="Verdana"/>
            <w:noProof/>
            <w:webHidden/>
            <w:sz w:val="18"/>
            <w:szCs w:val="18"/>
            <w:lang w:val="en-US"/>
          </w:rPr>
          <w:fldChar w:fldCharType="separate"/>
        </w:r>
        <w:r w:rsidR="00F31F43">
          <w:rPr>
            <w:rFonts w:ascii="Verdana" w:hAnsi="Verdana"/>
            <w:noProof/>
            <w:webHidden/>
            <w:sz w:val="18"/>
            <w:szCs w:val="18"/>
            <w:lang w:val="en-US"/>
          </w:rPr>
          <w:t>56</w:t>
        </w:r>
        <w:r w:rsidR="00265680" w:rsidRPr="008A1DB4">
          <w:rPr>
            <w:rFonts w:ascii="Verdana" w:hAnsi="Verdana"/>
            <w:noProof/>
            <w:webHidden/>
            <w:sz w:val="18"/>
            <w:szCs w:val="18"/>
            <w:lang w:val="en-US"/>
          </w:rPr>
          <w:fldChar w:fldCharType="end"/>
        </w:r>
      </w:hyperlink>
    </w:p>
    <w:p w14:paraId="0B6AFE02" w14:textId="64E67F93" w:rsidR="00265680" w:rsidRPr="008A1DB4" w:rsidRDefault="00397BB4" w:rsidP="00265680">
      <w:pPr>
        <w:pStyle w:val="TOC2"/>
        <w:rPr>
          <w:rFonts w:eastAsiaTheme="minorEastAsia"/>
          <w:bCs w:val="0"/>
          <w:iCs w:val="0"/>
          <w:spacing w:val="0"/>
          <w:sz w:val="18"/>
          <w:szCs w:val="18"/>
          <w:lang w:val="en-US" w:eastAsia="es-CR"/>
        </w:rPr>
      </w:pPr>
      <w:hyperlink w:anchor="_Toc430125386" w:history="1">
        <w:r w:rsidR="00265680" w:rsidRPr="008A1DB4">
          <w:rPr>
            <w:rStyle w:val="Hyperlink"/>
            <w:spacing w:val="-2"/>
            <w:sz w:val="18"/>
            <w:szCs w:val="18"/>
            <w:lang w:val="en-US"/>
          </w:rPr>
          <w:t xml:space="preserve">B.5) </w:t>
        </w:r>
        <w:r w:rsidR="00893DA0" w:rsidRPr="008A1DB4">
          <w:rPr>
            <w:rStyle w:val="Hyperlink"/>
            <w:spacing w:val="-2"/>
            <w:sz w:val="18"/>
            <w:szCs w:val="18"/>
            <w:lang w:val="en-US"/>
          </w:rPr>
          <w:t>General conclusion on the alleged risk of violation of the</w:t>
        </w:r>
        <w:r w:rsidR="00265680" w:rsidRPr="008A1DB4">
          <w:rPr>
            <w:rStyle w:val="Hyperlink"/>
            <w:spacing w:val="-2"/>
            <w:sz w:val="18"/>
            <w:szCs w:val="18"/>
            <w:lang w:val="en-US"/>
          </w:rPr>
          <w:t xml:space="preserve"> </w:t>
        </w:r>
        <w:r w:rsidR="00775124" w:rsidRPr="008A1DB4">
          <w:rPr>
            <w:rStyle w:val="Hyperlink"/>
            <w:spacing w:val="-2"/>
            <w:sz w:val="18"/>
            <w:szCs w:val="18"/>
            <w:lang w:val="en-US"/>
          </w:rPr>
          <w:t>right</w:t>
        </w:r>
        <w:r w:rsidR="00012D98" w:rsidRPr="008A1DB4">
          <w:rPr>
            <w:rStyle w:val="Hyperlink"/>
            <w:spacing w:val="-2"/>
            <w:sz w:val="18"/>
            <w:szCs w:val="18"/>
            <w:lang w:val="en-US"/>
          </w:rPr>
          <w:t>s</w:t>
        </w:r>
        <w:r w:rsidR="00775124" w:rsidRPr="008A1DB4">
          <w:rPr>
            <w:rStyle w:val="Hyperlink"/>
            <w:spacing w:val="-2"/>
            <w:sz w:val="18"/>
            <w:szCs w:val="18"/>
            <w:lang w:val="en-US"/>
          </w:rPr>
          <w:t xml:space="preserve"> to life</w:t>
        </w:r>
        <w:r w:rsidR="00F36400" w:rsidRPr="008A1DB4">
          <w:rPr>
            <w:rStyle w:val="Hyperlink"/>
            <w:spacing w:val="-2"/>
            <w:sz w:val="18"/>
            <w:szCs w:val="18"/>
            <w:lang w:val="en-US"/>
          </w:rPr>
          <w:t xml:space="preserve"> and </w:t>
        </w:r>
        <w:r w:rsidR="00C202FD" w:rsidRPr="008A1DB4">
          <w:rPr>
            <w:rStyle w:val="Hyperlink"/>
            <w:spacing w:val="-2"/>
            <w:sz w:val="18"/>
            <w:szCs w:val="18"/>
            <w:lang w:val="en-US"/>
          </w:rPr>
          <w:t xml:space="preserve">to </w:t>
        </w:r>
        <w:r w:rsidR="00776D24" w:rsidRPr="008A1DB4">
          <w:rPr>
            <w:rStyle w:val="Hyperlink"/>
            <w:spacing w:val="-2"/>
            <w:sz w:val="18"/>
            <w:szCs w:val="18"/>
            <w:lang w:val="en-US"/>
          </w:rPr>
          <w:t>personal integrity</w:t>
        </w:r>
        <w:r w:rsidR="00265680" w:rsidRPr="008A1DB4">
          <w:rPr>
            <w:rStyle w:val="Hyperlink"/>
            <w:spacing w:val="-2"/>
            <w:sz w:val="18"/>
            <w:szCs w:val="18"/>
            <w:lang w:val="en-US"/>
          </w:rPr>
          <w:t xml:space="preserve"> </w:t>
        </w:r>
        <w:r w:rsidR="00B43F84" w:rsidRPr="008A1DB4">
          <w:rPr>
            <w:rStyle w:val="Hyperlink"/>
            <w:spacing w:val="-2"/>
            <w:sz w:val="18"/>
            <w:szCs w:val="18"/>
            <w:lang w:val="en-US"/>
          </w:rPr>
          <w:t>of Wong</w:t>
        </w:r>
        <w:r w:rsidR="00265680" w:rsidRPr="008A1DB4">
          <w:rPr>
            <w:rStyle w:val="Hyperlink"/>
            <w:spacing w:val="-2"/>
            <w:sz w:val="18"/>
            <w:szCs w:val="18"/>
            <w:lang w:val="en-US"/>
          </w:rPr>
          <w:t xml:space="preserve"> Ho Wing </w:t>
        </w:r>
        <w:r w:rsidR="00893DA0" w:rsidRPr="008A1DB4">
          <w:rPr>
            <w:rStyle w:val="Hyperlink"/>
            <w:spacing w:val="-2"/>
            <w:sz w:val="18"/>
            <w:szCs w:val="18"/>
            <w:lang w:val="en-US"/>
          </w:rPr>
          <w:t>if he is extradited</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_Toc430125386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60</w:t>
        </w:r>
        <w:r w:rsidR="00265680" w:rsidRPr="008A1DB4">
          <w:rPr>
            <w:webHidden/>
            <w:sz w:val="18"/>
            <w:szCs w:val="18"/>
            <w:lang w:val="en-US"/>
          </w:rPr>
          <w:fldChar w:fldCharType="end"/>
        </w:r>
      </w:hyperlink>
    </w:p>
    <w:p w14:paraId="229F551D" w14:textId="7086DF82" w:rsidR="00265680" w:rsidRPr="008A1DB4" w:rsidRDefault="00397BB4" w:rsidP="00265680">
      <w:pPr>
        <w:pStyle w:val="TOC1"/>
        <w:rPr>
          <w:rFonts w:eastAsiaTheme="minorEastAsia"/>
          <w:b/>
          <w:noProof/>
          <w:sz w:val="18"/>
          <w:szCs w:val="18"/>
          <w:lang w:val="en-US" w:eastAsia="es-CR"/>
        </w:rPr>
      </w:pPr>
      <w:hyperlink w:anchor="_Toc430125387" w:history="1">
        <w:r w:rsidR="00265680" w:rsidRPr="008A1DB4">
          <w:rPr>
            <w:rStyle w:val="Hyperlink"/>
            <w:b/>
            <w:noProof/>
            <w:spacing w:val="-2"/>
            <w:sz w:val="18"/>
            <w:szCs w:val="18"/>
            <w:lang w:val="en-US"/>
          </w:rPr>
          <w:t>X.</w:t>
        </w:r>
        <w:r w:rsidR="00265680" w:rsidRPr="008A1DB4">
          <w:rPr>
            <w:b/>
            <w:noProof/>
            <w:lang w:val="en-US"/>
          </w:rPr>
          <w:t xml:space="preserve"> </w:t>
        </w:r>
        <w:r w:rsidR="00214593" w:rsidRPr="008A1DB4">
          <w:rPr>
            <w:rStyle w:val="Hyperlink"/>
            <w:b/>
            <w:noProof/>
            <w:spacing w:val="-2"/>
            <w:sz w:val="18"/>
            <w:szCs w:val="18"/>
            <w:lang w:val="en-US"/>
          </w:rPr>
          <w:t>RIGHT</w:t>
        </w:r>
        <w:r w:rsidR="00851076" w:rsidRPr="008A1DB4">
          <w:rPr>
            <w:rStyle w:val="Hyperlink"/>
            <w:b/>
            <w:noProof/>
            <w:spacing w:val="-2"/>
            <w:sz w:val="18"/>
            <w:szCs w:val="18"/>
            <w:lang w:val="en-US"/>
          </w:rPr>
          <w:t>S</w:t>
        </w:r>
        <w:r w:rsidR="00214593" w:rsidRPr="008A1DB4">
          <w:rPr>
            <w:rStyle w:val="Hyperlink"/>
            <w:b/>
            <w:noProof/>
            <w:spacing w:val="-2"/>
            <w:sz w:val="18"/>
            <w:szCs w:val="18"/>
            <w:lang w:val="en-US"/>
          </w:rPr>
          <w:t xml:space="preserve"> TO JUDICIAL PROTECTION AND JUDICIAL GUARANTEES</w:t>
        </w:r>
        <w:r w:rsidR="00265680" w:rsidRPr="008A1DB4">
          <w:rPr>
            <w:rStyle w:val="Hyperlink"/>
            <w:b/>
            <w:noProof/>
            <w:spacing w:val="-2"/>
            <w:sz w:val="18"/>
            <w:szCs w:val="18"/>
            <w:lang w:val="en-US"/>
          </w:rPr>
          <w:t xml:space="preserve">, </w:t>
        </w:r>
        <w:r w:rsidR="00214593" w:rsidRPr="008A1DB4">
          <w:rPr>
            <w:rStyle w:val="Hyperlink"/>
            <w:b/>
            <w:noProof/>
            <w:spacing w:val="-2"/>
            <w:sz w:val="18"/>
            <w:szCs w:val="18"/>
            <w:lang w:val="en-US"/>
          </w:rPr>
          <w:t>IN RELATION TO THE OBLIGATION TO RESPECT AND ENSURE RIGHTS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_Toc430125387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61</w:t>
        </w:r>
        <w:r w:rsidR="00265680" w:rsidRPr="008A1DB4">
          <w:rPr>
            <w:b/>
            <w:noProof/>
            <w:webHidden/>
            <w:sz w:val="18"/>
            <w:szCs w:val="18"/>
            <w:lang w:val="en-US"/>
          </w:rPr>
          <w:fldChar w:fldCharType="end"/>
        </w:r>
      </w:hyperlink>
    </w:p>
    <w:p w14:paraId="393F5FF2" w14:textId="6D5AECEB" w:rsidR="00265680" w:rsidRPr="008A1DB4" w:rsidRDefault="00397BB4" w:rsidP="00265680">
      <w:pPr>
        <w:pStyle w:val="TOC1"/>
        <w:rPr>
          <w:rFonts w:eastAsiaTheme="minorEastAsia"/>
          <w:noProof/>
          <w:sz w:val="18"/>
          <w:szCs w:val="18"/>
          <w:lang w:val="en-US" w:eastAsia="es-CR"/>
        </w:rPr>
      </w:pPr>
      <w:hyperlink w:anchor="_Toc430125389" w:history="1">
        <w:r w:rsidR="00265680" w:rsidRPr="008A1DB4">
          <w:rPr>
            <w:rStyle w:val="Hyperlink"/>
            <w:noProof/>
            <w:spacing w:val="-2"/>
            <w:sz w:val="18"/>
            <w:szCs w:val="18"/>
            <w:lang w:val="en-US"/>
          </w:rPr>
          <w:t xml:space="preserve">A. </w:t>
        </w:r>
        <w:r w:rsidR="0058668C" w:rsidRPr="008A1DB4">
          <w:rPr>
            <w:rStyle w:val="Hyperlink"/>
            <w:noProof/>
            <w:spacing w:val="-2"/>
            <w:sz w:val="18"/>
            <w:szCs w:val="18"/>
            <w:lang w:val="en-US"/>
          </w:rPr>
          <w:t>Arguments</w:t>
        </w:r>
        <w:r w:rsidR="00265680" w:rsidRPr="008A1DB4">
          <w:rPr>
            <w:rStyle w:val="Hyperlink"/>
            <w:noProof/>
            <w:spacing w:val="-2"/>
            <w:sz w:val="18"/>
            <w:szCs w:val="18"/>
            <w:lang w:val="en-US"/>
          </w:rPr>
          <w:t xml:space="preserve"> </w:t>
        </w:r>
        <w:r w:rsidR="00860B3A" w:rsidRPr="008A1DB4">
          <w:rPr>
            <w:rStyle w:val="Hyperlink"/>
            <w:noProof/>
            <w:spacing w:val="-2"/>
            <w:sz w:val="18"/>
            <w:szCs w:val="18"/>
            <w:lang w:val="en-US"/>
          </w:rPr>
          <w:t>of the parties</w:t>
        </w:r>
        <w:r w:rsidR="00F36400" w:rsidRPr="008A1DB4">
          <w:rPr>
            <w:rStyle w:val="Hyperlink"/>
            <w:noProof/>
            <w:spacing w:val="-2"/>
            <w:sz w:val="18"/>
            <w:szCs w:val="18"/>
            <w:lang w:val="en-US"/>
          </w:rPr>
          <w:t xml:space="preserve"> and</w:t>
        </w:r>
        <w:r w:rsidR="00C45946" w:rsidRPr="008A1DB4">
          <w:rPr>
            <w:rStyle w:val="Hyperlink"/>
            <w:noProof/>
            <w:spacing w:val="-2"/>
            <w:sz w:val="18"/>
            <w:szCs w:val="18"/>
            <w:lang w:val="en-US"/>
          </w:rPr>
          <w:t xml:space="preserve"> of the </w:t>
        </w:r>
        <w:r w:rsidR="00F36400" w:rsidRPr="008A1DB4">
          <w:rPr>
            <w:rStyle w:val="Hyperlink"/>
            <w:noProof/>
            <w:spacing w:val="-2"/>
            <w:sz w:val="18"/>
            <w:szCs w:val="18"/>
            <w:lang w:val="en-US"/>
          </w:rPr>
          <w:t>Commission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_Toc430125389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61</w:t>
        </w:r>
        <w:r w:rsidR="00265680" w:rsidRPr="008A1DB4">
          <w:rPr>
            <w:noProof/>
            <w:webHidden/>
            <w:sz w:val="18"/>
            <w:szCs w:val="18"/>
            <w:lang w:val="en-US"/>
          </w:rPr>
          <w:fldChar w:fldCharType="end"/>
        </w:r>
      </w:hyperlink>
    </w:p>
    <w:p w14:paraId="4F5092F7" w14:textId="1E9FB5A5" w:rsidR="00265680" w:rsidRPr="008A1DB4" w:rsidRDefault="00397BB4" w:rsidP="00265680">
      <w:pPr>
        <w:pStyle w:val="TOC1"/>
        <w:rPr>
          <w:rFonts w:eastAsiaTheme="minorEastAsia"/>
          <w:noProof/>
          <w:sz w:val="18"/>
          <w:szCs w:val="18"/>
          <w:lang w:val="en-US" w:eastAsia="es-CR"/>
        </w:rPr>
      </w:pPr>
      <w:hyperlink w:anchor="_Toc430125390" w:history="1">
        <w:r w:rsidR="00265680" w:rsidRPr="008A1DB4">
          <w:rPr>
            <w:rStyle w:val="Hyperlink"/>
            <w:noProof/>
            <w:spacing w:val="-2"/>
            <w:sz w:val="18"/>
            <w:szCs w:val="18"/>
            <w:lang w:val="en-US"/>
          </w:rPr>
          <w:t xml:space="preserve">B. </w:t>
        </w:r>
        <w:r w:rsidR="00A836C4" w:rsidRPr="008A1DB4">
          <w:rPr>
            <w:rStyle w:val="Hyperlink"/>
            <w:noProof/>
            <w:spacing w:val="-2"/>
            <w:sz w:val="18"/>
            <w:szCs w:val="18"/>
            <w:lang w:val="en-US"/>
          </w:rPr>
          <w:t>Considerations</w:t>
        </w:r>
        <w:r w:rsidR="00F36400" w:rsidRPr="008A1DB4">
          <w:rPr>
            <w:rStyle w:val="Hyperlink"/>
            <w:noProof/>
            <w:spacing w:val="-2"/>
            <w:sz w:val="18"/>
            <w:szCs w:val="18"/>
            <w:lang w:val="en-US"/>
          </w:rPr>
          <w:t xml:space="preserve"> of the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_Toc430125390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62</w:t>
        </w:r>
        <w:r w:rsidR="00265680" w:rsidRPr="008A1DB4">
          <w:rPr>
            <w:noProof/>
            <w:webHidden/>
            <w:sz w:val="18"/>
            <w:szCs w:val="18"/>
            <w:lang w:val="en-US"/>
          </w:rPr>
          <w:fldChar w:fldCharType="end"/>
        </w:r>
      </w:hyperlink>
    </w:p>
    <w:p w14:paraId="6122F594" w14:textId="21ADD714" w:rsidR="00265680" w:rsidRPr="008A1DB4" w:rsidRDefault="00397BB4" w:rsidP="00265680">
      <w:pPr>
        <w:pStyle w:val="TOC2"/>
        <w:rPr>
          <w:rFonts w:eastAsiaTheme="minorEastAsia"/>
          <w:bCs w:val="0"/>
          <w:iCs w:val="0"/>
          <w:spacing w:val="0"/>
          <w:sz w:val="18"/>
          <w:szCs w:val="18"/>
          <w:lang w:val="en-US" w:eastAsia="es-CR"/>
        </w:rPr>
      </w:pPr>
      <w:hyperlink w:anchor="_Toc430125391" w:history="1">
        <w:r w:rsidR="00265680" w:rsidRPr="008A1DB4">
          <w:rPr>
            <w:rStyle w:val="Hyperlink"/>
            <w:spacing w:val="-2"/>
            <w:sz w:val="18"/>
            <w:szCs w:val="18"/>
            <w:lang w:val="en-US"/>
          </w:rPr>
          <w:t xml:space="preserve">B.1) </w:t>
        </w:r>
        <w:r w:rsidR="00D348E0" w:rsidRPr="008A1DB4">
          <w:rPr>
            <w:rStyle w:val="Hyperlink"/>
            <w:spacing w:val="-2"/>
            <w:sz w:val="18"/>
            <w:szCs w:val="18"/>
            <w:lang w:val="en-US"/>
          </w:rPr>
          <w:t>The alleged violation of the right to</w:t>
        </w:r>
        <w:r w:rsidR="00265680" w:rsidRPr="008A1DB4">
          <w:rPr>
            <w:rStyle w:val="Hyperlink"/>
            <w:spacing w:val="-2"/>
            <w:sz w:val="18"/>
            <w:szCs w:val="18"/>
            <w:lang w:val="en-US"/>
          </w:rPr>
          <w:t xml:space="preserve"> </w:t>
        </w:r>
        <w:r w:rsidR="00216773" w:rsidRPr="008A1DB4">
          <w:rPr>
            <w:rStyle w:val="Hyperlink"/>
            <w:spacing w:val="-2"/>
            <w:sz w:val="18"/>
            <w:szCs w:val="18"/>
            <w:lang w:val="en-US"/>
          </w:rPr>
          <w:t>judicial protection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_Toc430125391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63</w:t>
        </w:r>
        <w:r w:rsidR="00265680" w:rsidRPr="008A1DB4">
          <w:rPr>
            <w:webHidden/>
            <w:sz w:val="18"/>
            <w:szCs w:val="18"/>
            <w:lang w:val="en-US"/>
          </w:rPr>
          <w:fldChar w:fldCharType="end"/>
        </w:r>
      </w:hyperlink>
    </w:p>
    <w:p w14:paraId="15342588" w14:textId="2480EB77" w:rsidR="00265680" w:rsidRPr="008A1DB4" w:rsidRDefault="00397BB4" w:rsidP="00265680">
      <w:pPr>
        <w:pStyle w:val="TOC2"/>
        <w:rPr>
          <w:rFonts w:eastAsiaTheme="minorEastAsia"/>
          <w:bCs w:val="0"/>
          <w:iCs w:val="0"/>
          <w:spacing w:val="0"/>
          <w:sz w:val="18"/>
          <w:szCs w:val="18"/>
          <w:lang w:val="en-US" w:eastAsia="es-CR"/>
        </w:rPr>
      </w:pPr>
      <w:hyperlink w:anchor="_Toc430125392" w:history="1">
        <w:r w:rsidR="00265680" w:rsidRPr="008A1DB4">
          <w:rPr>
            <w:rStyle w:val="Hyperlink"/>
            <w:spacing w:val="-2"/>
            <w:sz w:val="18"/>
            <w:szCs w:val="18"/>
            <w:lang w:val="en-US"/>
          </w:rPr>
          <w:t xml:space="preserve">B.2) </w:t>
        </w:r>
        <w:r w:rsidR="00A33F97" w:rsidRPr="008A1DB4">
          <w:rPr>
            <w:rStyle w:val="Hyperlink"/>
            <w:spacing w:val="-2"/>
            <w:sz w:val="18"/>
            <w:szCs w:val="18"/>
            <w:lang w:val="en-US"/>
          </w:rPr>
          <w:t>Reasonable time of the</w:t>
        </w:r>
        <w:r w:rsidR="00671326" w:rsidRPr="008A1DB4">
          <w:rPr>
            <w:rStyle w:val="Hyperlink"/>
            <w:spacing w:val="-2"/>
            <w:sz w:val="18"/>
            <w:szCs w:val="18"/>
            <w:lang w:val="en-US"/>
          </w:rPr>
          <w:t xml:space="preserve"> </w:t>
        </w:r>
        <w:r w:rsidR="00FC5891" w:rsidRPr="008A1DB4">
          <w:rPr>
            <w:rStyle w:val="Hyperlink"/>
            <w:spacing w:val="-2"/>
            <w:sz w:val="18"/>
            <w:szCs w:val="18"/>
            <w:lang w:val="en-US"/>
          </w:rPr>
          <w:t>extradition process</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_Toc430125392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66</w:t>
        </w:r>
        <w:r w:rsidR="00265680" w:rsidRPr="008A1DB4">
          <w:rPr>
            <w:webHidden/>
            <w:sz w:val="18"/>
            <w:szCs w:val="18"/>
            <w:lang w:val="en-US"/>
          </w:rPr>
          <w:fldChar w:fldCharType="end"/>
        </w:r>
      </w:hyperlink>
    </w:p>
    <w:p w14:paraId="0C908210" w14:textId="4830CBF2"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3" w:history="1">
        <w:r w:rsidR="00265680" w:rsidRPr="008A1DB4">
          <w:rPr>
            <w:rStyle w:val="Hyperlink"/>
            <w:noProof/>
            <w:spacing w:val="-2"/>
            <w:sz w:val="18"/>
            <w:szCs w:val="18"/>
            <w:lang w:val="en-US"/>
          </w:rPr>
          <w:t xml:space="preserve">B.2.a) </w:t>
        </w:r>
        <w:r w:rsidR="00A33F97" w:rsidRPr="008A1DB4">
          <w:rPr>
            <w:rStyle w:val="Hyperlink"/>
            <w:noProof/>
            <w:spacing w:val="-2"/>
            <w:sz w:val="18"/>
            <w:szCs w:val="18"/>
            <w:lang w:val="en-US"/>
          </w:rPr>
          <w:t>Complexity of the matter</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67</w:t>
        </w:r>
        <w:r w:rsidR="00265680" w:rsidRPr="008A1DB4">
          <w:rPr>
            <w:noProof/>
            <w:webHidden/>
            <w:sz w:val="18"/>
            <w:szCs w:val="18"/>
            <w:lang w:val="en-US"/>
          </w:rPr>
          <w:fldChar w:fldCharType="end"/>
        </w:r>
      </w:hyperlink>
    </w:p>
    <w:p w14:paraId="1EDA675F" w14:textId="2C443081"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4" w:history="1">
        <w:r w:rsidR="00265680" w:rsidRPr="008A1DB4">
          <w:rPr>
            <w:rStyle w:val="Hyperlink"/>
            <w:noProof/>
            <w:spacing w:val="-2"/>
            <w:sz w:val="18"/>
            <w:szCs w:val="18"/>
            <w:lang w:val="en-US"/>
          </w:rPr>
          <w:t xml:space="preserve">B.2.b) </w:t>
        </w:r>
        <w:r w:rsidR="004D2183" w:rsidRPr="008A1DB4">
          <w:rPr>
            <w:rStyle w:val="Hyperlink"/>
            <w:noProof/>
            <w:spacing w:val="-2"/>
            <w:sz w:val="18"/>
            <w:szCs w:val="18"/>
            <w:lang w:val="en-US"/>
          </w:rPr>
          <w:t>Procedural activity of the interested party</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_Toc430125394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68</w:t>
        </w:r>
        <w:r w:rsidR="00265680" w:rsidRPr="008A1DB4">
          <w:rPr>
            <w:noProof/>
            <w:webHidden/>
            <w:sz w:val="18"/>
            <w:szCs w:val="18"/>
            <w:lang w:val="en-US"/>
          </w:rPr>
          <w:fldChar w:fldCharType="end"/>
        </w:r>
      </w:hyperlink>
    </w:p>
    <w:p w14:paraId="3BBC6CE5" w14:textId="505A54BC"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5" w:history="1">
        <w:r w:rsidR="00265680" w:rsidRPr="008A1DB4">
          <w:rPr>
            <w:rStyle w:val="Hyperlink"/>
            <w:noProof/>
            <w:spacing w:val="-2"/>
            <w:sz w:val="18"/>
            <w:szCs w:val="18"/>
            <w:lang w:val="en-US"/>
          </w:rPr>
          <w:t xml:space="preserve">B.2.c) </w:t>
        </w:r>
        <w:r w:rsidR="00672B34" w:rsidRPr="008A1DB4">
          <w:rPr>
            <w:rStyle w:val="Hyperlink"/>
            <w:noProof/>
            <w:spacing w:val="-2"/>
            <w:sz w:val="18"/>
            <w:szCs w:val="18"/>
            <w:lang w:val="en-US"/>
          </w:rPr>
          <w:t>Conduct of the State authorities</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_Toc430125395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69</w:t>
        </w:r>
        <w:r w:rsidR="00265680" w:rsidRPr="008A1DB4">
          <w:rPr>
            <w:noProof/>
            <w:webHidden/>
            <w:sz w:val="18"/>
            <w:szCs w:val="18"/>
            <w:lang w:val="en-US"/>
          </w:rPr>
          <w:fldChar w:fldCharType="end"/>
        </w:r>
      </w:hyperlink>
    </w:p>
    <w:p w14:paraId="46AA6EAC" w14:textId="20C35B48"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6" w:history="1">
        <w:r w:rsidR="00265680" w:rsidRPr="008A1DB4">
          <w:rPr>
            <w:rStyle w:val="Hyperlink"/>
            <w:noProof/>
            <w:spacing w:val="-2"/>
            <w:sz w:val="18"/>
            <w:szCs w:val="18"/>
            <w:lang w:val="en-US"/>
          </w:rPr>
          <w:t xml:space="preserve">B.2.d) </w:t>
        </w:r>
        <w:r w:rsidR="00672B34" w:rsidRPr="008A1DB4">
          <w:rPr>
            <w:rStyle w:val="Hyperlink"/>
            <w:noProof/>
            <w:spacing w:val="-2"/>
            <w:sz w:val="18"/>
            <w:szCs w:val="18"/>
            <w:lang w:val="en-US"/>
          </w:rPr>
          <w:t>Effects on the legal situation</w:t>
        </w:r>
        <w:r w:rsidR="00C202FD" w:rsidRPr="008A1DB4">
          <w:rPr>
            <w:rStyle w:val="Hyperlink"/>
            <w:noProof/>
            <w:spacing w:val="-2"/>
            <w:sz w:val="18"/>
            <w:szCs w:val="18"/>
            <w:lang w:val="en-US"/>
          </w:rPr>
          <w:t xml:space="preserve"> </w:t>
        </w:r>
        <w:r w:rsidR="00672B34" w:rsidRPr="008A1DB4">
          <w:rPr>
            <w:rStyle w:val="Hyperlink"/>
            <w:noProof/>
            <w:spacing w:val="-2"/>
            <w:sz w:val="18"/>
            <w:szCs w:val="18"/>
            <w:lang w:val="en-US"/>
          </w:rPr>
          <w:t>of the person involved in the proceedings</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71</w:t>
        </w:r>
        <w:r w:rsidR="00265680" w:rsidRPr="008A1DB4">
          <w:rPr>
            <w:noProof/>
            <w:webHidden/>
            <w:sz w:val="18"/>
            <w:szCs w:val="18"/>
            <w:lang w:val="en-US"/>
          </w:rPr>
          <w:fldChar w:fldCharType="end"/>
        </w:r>
      </w:hyperlink>
    </w:p>
    <w:p w14:paraId="1364A264" w14:textId="7E1656A9"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7" w:history="1">
        <w:r w:rsidR="00265680" w:rsidRPr="008A1DB4">
          <w:rPr>
            <w:rStyle w:val="Hyperlink"/>
            <w:noProof/>
            <w:spacing w:val="-2"/>
            <w:sz w:val="18"/>
            <w:szCs w:val="18"/>
            <w:lang w:val="en-US"/>
          </w:rPr>
          <w:t xml:space="preserve">B.2.e) </w:t>
        </w:r>
        <w:r w:rsidR="00672B34" w:rsidRPr="008A1DB4">
          <w:rPr>
            <w:rStyle w:val="Hyperlink"/>
            <w:noProof/>
            <w:spacing w:val="-2"/>
            <w:sz w:val="18"/>
            <w:szCs w:val="18"/>
            <w:lang w:val="en-US"/>
          </w:rPr>
          <w:t>Conclusion concerning a reasonable time</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71</w:t>
        </w:r>
        <w:r w:rsidR="00265680" w:rsidRPr="008A1DB4">
          <w:rPr>
            <w:noProof/>
            <w:webHidden/>
            <w:sz w:val="18"/>
            <w:szCs w:val="18"/>
            <w:lang w:val="en-US"/>
          </w:rPr>
          <w:fldChar w:fldCharType="end"/>
        </w:r>
      </w:hyperlink>
    </w:p>
    <w:p w14:paraId="16B68B01" w14:textId="4EEE0FEF" w:rsidR="00265680" w:rsidRPr="008A1DB4" w:rsidRDefault="00397BB4" w:rsidP="00265680">
      <w:pPr>
        <w:pStyle w:val="TOC2"/>
        <w:rPr>
          <w:rFonts w:eastAsiaTheme="minorEastAsia"/>
          <w:bCs w:val="0"/>
          <w:iCs w:val="0"/>
          <w:spacing w:val="0"/>
          <w:sz w:val="18"/>
          <w:szCs w:val="18"/>
          <w:lang w:val="en-US" w:eastAsia="es-CR"/>
        </w:rPr>
      </w:pPr>
      <w:hyperlink w:anchor="_Toc430125398" w:history="1">
        <w:r w:rsidR="00265680" w:rsidRPr="008A1DB4">
          <w:rPr>
            <w:rStyle w:val="Hyperlink"/>
            <w:spacing w:val="-2"/>
            <w:sz w:val="18"/>
            <w:szCs w:val="18"/>
            <w:lang w:val="en-US"/>
          </w:rPr>
          <w:t xml:space="preserve">B.3) </w:t>
        </w:r>
        <w:r w:rsidR="00672B34" w:rsidRPr="008A1DB4">
          <w:rPr>
            <w:rStyle w:val="Hyperlink"/>
            <w:spacing w:val="-2"/>
            <w:sz w:val="18"/>
            <w:szCs w:val="18"/>
            <w:lang w:val="en-US"/>
          </w:rPr>
          <w:t>Other guarante</w:t>
        </w:r>
        <w:r w:rsidR="00F47A59">
          <w:rPr>
            <w:rStyle w:val="Hyperlink"/>
            <w:spacing w:val="-2"/>
            <w:sz w:val="18"/>
            <w:szCs w:val="18"/>
            <w:lang w:val="en-US"/>
          </w:rPr>
          <w:t>e</w:t>
        </w:r>
        <w:r w:rsidR="00672B34" w:rsidRPr="008A1DB4">
          <w:rPr>
            <w:rStyle w:val="Hyperlink"/>
            <w:spacing w:val="-2"/>
            <w:sz w:val="18"/>
            <w:szCs w:val="18"/>
            <w:lang w:val="en-US"/>
          </w:rPr>
          <w:t>s of due</w:t>
        </w:r>
        <w:r w:rsidR="00775124" w:rsidRPr="008A1DB4">
          <w:rPr>
            <w:rStyle w:val="Hyperlink"/>
            <w:spacing w:val="-2"/>
            <w:sz w:val="18"/>
            <w:szCs w:val="18"/>
            <w:lang w:val="en-US"/>
          </w:rPr>
          <w:t xml:space="preserve"> process</w:t>
        </w:r>
        <w:r w:rsidR="00265680" w:rsidRPr="008A1DB4">
          <w:rPr>
            <w:rStyle w:val="Hyperlink"/>
            <w:spacing w:val="-2"/>
            <w:sz w:val="18"/>
            <w:szCs w:val="18"/>
            <w:lang w:val="en-US"/>
          </w:rPr>
          <w:t xml:space="preserve"> (</w:t>
        </w:r>
        <w:r w:rsidR="00672B34" w:rsidRPr="008A1DB4">
          <w:rPr>
            <w:rStyle w:val="Hyperlink"/>
            <w:spacing w:val="-2"/>
            <w:sz w:val="18"/>
            <w:szCs w:val="18"/>
            <w:lang w:val="en-US"/>
          </w:rPr>
          <w:t>right to be heard and right to a defense</w:t>
        </w:r>
        <w:r w:rsidR="00C202FD" w:rsidRPr="008A1DB4">
          <w:rPr>
            <w:rStyle w:val="Hyperlink"/>
            <w:spacing w:val="-2"/>
            <w:sz w:val="18"/>
            <w:szCs w:val="18"/>
            <w:lang w:val="en-US"/>
          </w:rPr>
          <w: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_Toc430125398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72</w:t>
        </w:r>
        <w:r w:rsidR="00265680" w:rsidRPr="008A1DB4">
          <w:rPr>
            <w:webHidden/>
            <w:sz w:val="18"/>
            <w:szCs w:val="18"/>
            <w:lang w:val="en-US"/>
          </w:rPr>
          <w:fldChar w:fldCharType="end"/>
        </w:r>
      </w:hyperlink>
    </w:p>
    <w:p w14:paraId="73FF7370" w14:textId="321D1AD9"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399" w:history="1">
        <w:r w:rsidR="00265680" w:rsidRPr="008A1DB4">
          <w:rPr>
            <w:rStyle w:val="Hyperlink"/>
            <w:noProof/>
            <w:spacing w:val="-2"/>
            <w:sz w:val="18"/>
            <w:szCs w:val="18"/>
            <w:lang w:val="en-US"/>
          </w:rPr>
          <w:t xml:space="preserve">B.3.a) </w:t>
        </w:r>
        <w:r w:rsidR="0058668C" w:rsidRPr="008A1DB4">
          <w:rPr>
            <w:rStyle w:val="Hyperlink"/>
            <w:noProof/>
            <w:spacing w:val="-2"/>
            <w:sz w:val="18"/>
            <w:szCs w:val="18"/>
            <w:lang w:val="en-US"/>
          </w:rPr>
          <w:t>Arguments</w:t>
        </w:r>
        <w:r w:rsidR="00265680" w:rsidRPr="008A1DB4">
          <w:rPr>
            <w:rStyle w:val="Hyperlink"/>
            <w:noProof/>
            <w:spacing w:val="-2"/>
            <w:sz w:val="18"/>
            <w:szCs w:val="18"/>
            <w:lang w:val="en-US"/>
          </w:rPr>
          <w:t xml:space="preserve"> </w:t>
        </w:r>
        <w:r w:rsidR="00860B3A" w:rsidRPr="008A1DB4">
          <w:rPr>
            <w:rStyle w:val="Hyperlink"/>
            <w:noProof/>
            <w:spacing w:val="-2"/>
            <w:sz w:val="18"/>
            <w:szCs w:val="18"/>
            <w:lang w:val="en-US"/>
          </w:rPr>
          <w:t>of the parties</w:t>
        </w:r>
        <w:r w:rsidR="00F36400" w:rsidRPr="008A1DB4">
          <w:rPr>
            <w:rStyle w:val="Hyperlink"/>
            <w:noProof/>
            <w:spacing w:val="-2"/>
            <w:sz w:val="18"/>
            <w:szCs w:val="18"/>
            <w:lang w:val="en-US"/>
          </w:rPr>
          <w:t xml:space="preserve"> and</w:t>
        </w:r>
        <w:r w:rsidR="00C45946" w:rsidRPr="008A1DB4">
          <w:rPr>
            <w:rStyle w:val="Hyperlink"/>
            <w:noProof/>
            <w:spacing w:val="-2"/>
            <w:sz w:val="18"/>
            <w:szCs w:val="18"/>
            <w:lang w:val="en-US"/>
          </w:rPr>
          <w:t xml:space="preserve"> of the </w:t>
        </w:r>
        <w:r w:rsidR="00F36400" w:rsidRPr="008A1DB4">
          <w:rPr>
            <w:rStyle w:val="Hyperlink"/>
            <w:noProof/>
            <w:spacing w:val="-2"/>
            <w:sz w:val="18"/>
            <w:szCs w:val="18"/>
            <w:lang w:val="en-US"/>
          </w:rPr>
          <w:t>Commission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_Toc430125399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72</w:t>
        </w:r>
        <w:r w:rsidR="00265680" w:rsidRPr="008A1DB4">
          <w:rPr>
            <w:noProof/>
            <w:webHidden/>
            <w:sz w:val="18"/>
            <w:szCs w:val="18"/>
            <w:lang w:val="en-US"/>
          </w:rPr>
          <w:fldChar w:fldCharType="end"/>
        </w:r>
      </w:hyperlink>
    </w:p>
    <w:p w14:paraId="29FC73DE" w14:textId="07ACB0BC"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00" w:history="1">
        <w:r w:rsidR="00265680" w:rsidRPr="008A1DB4">
          <w:rPr>
            <w:rStyle w:val="Hyperlink"/>
            <w:noProof/>
            <w:spacing w:val="-2"/>
            <w:sz w:val="18"/>
            <w:szCs w:val="18"/>
            <w:lang w:val="en-US"/>
          </w:rPr>
          <w:t xml:space="preserve">B.3.b) </w:t>
        </w:r>
        <w:r w:rsidR="00A836C4" w:rsidRPr="008A1DB4">
          <w:rPr>
            <w:rStyle w:val="Hyperlink"/>
            <w:noProof/>
            <w:spacing w:val="-2"/>
            <w:sz w:val="18"/>
            <w:szCs w:val="18"/>
            <w:lang w:val="en-US"/>
          </w:rPr>
          <w:t>Considerations</w:t>
        </w:r>
        <w:r w:rsidR="00F36400" w:rsidRPr="008A1DB4">
          <w:rPr>
            <w:rStyle w:val="Hyperlink"/>
            <w:noProof/>
            <w:spacing w:val="-2"/>
            <w:sz w:val="18"/>
            <w:szCs w:val="18"/>
            <w:lang w:val="en-US"/>
          </w:rPr>
          <w:t xml:space="preserve"> of the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_Toc430125400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73</w:t>
        </w:r>
        <w:r w:rsidR="00265680" w:rsidRPr="008A1DB4">
          <w:rPr>
            <w:noProof/>
            <w:webHidden/>
            <w:sz w:val="18"/>
            <w:szCs w:val="18"/>
            <w:lang w:val="en-US"/>
          </w:rPr>
          <w:fldChar w:fldCharType="end"/>
        </w:r>
      </w:hyperlink>
    </w:p>
    <w:p w14:paraId="54F5DFF1" w14:textId="01398447" w:rsidR="00265680" w:rsidRPr="008A1DB4" w:rsidRDefault="00397BB4" w:rsidP="00265680">
      <w:pPr>
        <w:pStyle w:val="TOC1"/>
        <w:rPr>
          <w:rFonts w:eastAsiaTheme="minorEastAsia"/>
          <w:b/>
          <w:noProof/>
          <w:sz w:val="18"/>
          <w:szCs w:val="18"/>
          <w:lang w:val="en-US" w:eastAsia="es-CR"/>
        </w:rPr>
      </w:pPr>
      <w:hyperlink w:anchor="_Toc430125401" w:history="1">
        <w:r w:rsidR="00265680" w:rsidRPr="008A1DB4">
          <w:rPr>
            <w:rStyle w:val="Hyperlink"/>
            <w:b/>
            <w:noProof/>
            <w:spacing w:val="-2"/>
            <w:sz w:val="18"/>
            <w:szCs w:val="18"/>
            <w:lang w:val="en-US"/>
          </w:rPr>
          <w:t>XI.</w:t>
        </w:r>
        <w:r w:rsidR="00265680" w:rsidRPr="008A1DB4">
          <w:rPr>
            <w:b/>
            <w:noProof/>
            <w:lang w:val="en-US"/>
          </w:rPr>
          <w:t xml:space="preserve"> </w:t>
        </w:r>
        <w:r w:rsidR="00851076" w:rsidRPr="008A1DB4">
          <w:rPr>
            <w:rStyle w:val="Hyperlink"/>
            <w:b/>
            <w:noProof/>
            <w:spacing w:val="-2"/>
            <w:sz w:val="18"/>
            <w:szCs w:val="18"/>
            <w:lang w:val="en-US"/>
          </w:rPr>
          <w:t>RIGHTS TO PERSONAL LIBERTY AND</w:t>
        </w:r>
        <w:r w:rsidR="00265680" w:rsidRPr="008A1DB4">
          <w:rPr>
            <w:rStyle w:val="Hyperlink"/>
            <w:b/>
            <w:noProof/>
            <w:spacing w:val="-2"/>
            <w:sz w:val="18"/>
            <w:szCs w:val="18"/>
            <w:lang w:val="en-US"/>
          </w:rPr>
          <w:t xml:space="preserve"> </w:t>
        </w:r>
        <w:r w:rsidR="00776D24" w:rsidRPr="008A1DB4">
          <w:rPr>
            <w:rStyle w:val="Hyperlink"/>
            <w:b/>
            <w:noProof/>
            <w:spacing w:val="-2"/>
            <w:sz w:val="18"/>
            <w:szCs w:val="18"/>
            <w:lang w:val="en-US"/>
          </w:rPr>
          <w:t>PERSONAL INTEGRITY</w:t>
        </w:r>
        <w:r w:rsidR="00265680" w:rsidRPr="008A1DB4">
          <w:rPr>
            <w:rStyle w:val="Hyperlink"/>
            <w:b/>
            <w:noProof/>
            <w:spacing w:val="-2"/>
            <w:sz w:val="18"/>
            <w:szCs w:val="18"/>
            <w:lang w:val="en-US"/>
          </w:rPr>
          <w:t xml:space="preserve">, </w:t>
        </w:r>
        <w:r w:rsidR="00214593" w:rsidRPr="008A1DB4">
          <w:rPr>
            <w:rStyle w:val="Hyperlink"/>
            <w:b/>
            <w:noProof/>
            <w:spacing w:val="-2"/>
            <w:sz w:val="18"/>
            <w:szCs w:val="18"/>
            <w:lang w:val="en-US"/>
          </w:rPr>
          <w:t>IN RELATION TO THE OBLIGATION TO RESPECT AND ENSURE RIGHTS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_Toc430125401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74</w:t>
        </w:r>
        <w:r w:rsidR="00265680" w:rsidRPr="008A1DB4">
          <w:rPr>
            <w:b/>
            <w:noProof/>
            <w:webHidden/>
            <w:sz w:val="18"/>
            <w:szCs w:val="18"/>
            <w:lang w:val="en-US"/>
          </w:rPr>
          <w:fldChar w:fldCharType="end"/>
        </w:r>
      </w:hyperlink>
    </w:p>
    <w:p w14:paraId="5E3B691C" w14:textId="796479C5" w:rsidR="00265680" w:rsidRPr="008A1DB4" w:rsidRDefault="00397BB4" w:rsidP="00265680">
      <w:pPr>
        <w:pStyle w:val="TOC1"/>
        <w:rPr>
          <w:rFonts w:eastAsiaTheme="minorEastAsia"/>
          <w:noProof/>
          <w:sz w:val="18"/>
          <w:szCs w:val="18"/>
          <w:lang w:val="en-US" w:eastAsia="es-CR"/>
        </w:rPr>
      </w:pPr>
      <w:hyperlink w:anchor="_Toc430125403" w:history="1">
        <w:r w:rsidR="00265680" w:rsidRPr="008A1DB4">
          <w:rPr>
            <w:rStyle w:val="Hyperlink"/>
            <w:noProof/>
            <w:spacing w:val="-2"/>
            <w:sz w:val="18"/>
            <w:szCs w:val="18"/>
            <w:lang w:val="en-US"/>
          </w:rPr>
          <w:t xml:space="preserve">A. </w:t>
        </w:r>
        <w:r w:rsidR="00992035" w:rsidRPr="008A1DB4">
          <w:rPr>
            <w:rStyle w:val="Hyperlink"/>
            <w:noProof/>
            <w:spacing w:val="-2"/>
            <w:sz w:val="18"/>
            <w:szCs w:val="18"/>
            <w:lang w:val="en-US"/>
          </w:rPr>
          <w:t>Arbitrary nature of</w:t>
        </w:r>
        <w:r w:rsidR="004257EF" w:rsidRPr="008A1DB4">
          <w:rPr>
            <w:rStyle w:val="Hyperlink"/>
            <w:noProof/>
            <w:spacing w:val="-2"/>
            <w:sz w:val="18"/>
            <w:szCs w:val="18"/>
            <w:lang w:val="en-US"/>
          </w:rPr>
          <w:t xml:space="preserve"> the provisional arrest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_Toc430125403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78</w:t>
        </w:r>
        <w:r w:rsidR="00265680" w:rsidRPr="008A1DB4">
          <w:rPr>
            <w:noProof/>
            <w:webHidden/>
            <w:sz w:val="18"/>
            <w:szCs w:val="18"/>
            <w:lang w:val="en-US"/>
          </w:rPr>
          <w:fldChar w:fldCharType="end"/>
        </w:r>
      </w:hyperlink>
    </w:p>
    <w:p w14:paraId="283C301D" w14:textId="6D2BFB7F" w:rsidR="00265680" w:rsidRPr="008A1DB4" w:rsidRDefault="00397BB4" w:rsidP="00265680">
      <w:pPr>
        <w:pStyle w:val="TOC2"/>
        <w:rPr>
          <w:rFonts w:eastAsiaTheme="minorEastAsia"/>
          <w:bCs w:val="0"/>
          <w:iCs w:val="0"/>
          <w:spacing w:val="0"/>
          <w:sz w:val="18"/>
          <w:szCs w:val="18"/>
          <w:lang w:val="en-US" w:eastAsia="es-CR"/>
        </w:rPr>
      </w:pPr>
      <w:hyperlink w:anchor="_Toc430125404" w:history="1">
        <w:r w:rsidR="00265680" w:rsidRPr="008A1DB4">
          <w:rPr>
            <w:rStyle w:val="Hyperlink"/>
            <w:spacing w:val="-2"/>
            <w:sz w:val="18"/>
            <w:szCs w:val="18"/>
            <w:lang w:val="en-US"/>
          </w:rPr>
          <w:t xml:space="preserve">A.1) </w:t>
        </w:r>
        <w:r w:rsidR="0058668C" w:rsidRPr="008A1DB4">
          <w:rPr>
            <w:rStyle w:val="Hyperlink"/>
            <w:spacing w:val="-2"/>
            <w:sz w:val="18"/>
            <w:szCs w:val="18"/>
            <w:lang w:val="en-US"/>
          </w:rPr>
          <w:t>Arguments</w:t>
        </w:r>
        <w:r w:rsidR="00265680" w:rsidRPr="008A1DB4">
          <w:rPr>
            <w:rStyle w:val="Hyperlink"/>
            <w:spacing w:val="-2"/>
            <w:sz w:val="18"/>
            <w:szCs w:val="18"/>
            <w:lang w:val="en-US"/>
          </w:rPr>
          <w:t xml:space="preserve"> </w:t>
        </w:r>
        <w:r w:rsidR="00860B3A" w:rsidRPr="008A1DB4">
          <w:rPr>
            <w:rStyle w:val="Hyperlink"/>
            <w:spacing w:val="-2"/>
            <w:sz w:val="18"/>
            <w:szCs w:val="18"/>
            <w:lang w:val="en-US"/>
          </w:rPr>
          <w:t>of the parties</w:t>
        </w:r>
        <w:r w:rsidR="00F36400" w:rsidRPr="008A1DB4">
          <w:rPr>
            <w:rStyle w:val="Hyperlink"/>
            <w:spacing w:val="-2"/>
            <w:sz w:val="18"/>
            <w:szCs w:val="18"/>
            <w:lang w:val="en-US"/>
          </w:rPr>
          <w:t xml:space="preserve"> and</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Commission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_Toc430125404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78</w:t>
        </w:r>
        <w:r w:rsidR="00265680" w:rsidRPr="008A1DB4">
          <w:rPr>
            <w:webHidden/>
            <w:sz w:val="18"/>
            <w:szCs w:val="18"/>
            <w:lang w:val="en-US"/>
          </w:rPr>
          <w:fldChar w:fldCharType="end"/>
        </w:r>
      </w:hyperlink>
    </w:p>
    <w:p w14:paraId="280E9351" w14:textId="5C1FCD92" w:rsidR="00265680" w:rsidRPr="008A1DB4" w:rsidRDefault="00397BB4" w:rsidP="00265680">
      <w:pPr>
        <w:pStyle w:val="TOC2"/>
        <w:rPr>
          <w:rFonts w:eastAsiaTheme="minorEastAsia"/>
          <w:bCs w:val="0"/>
          <w:iCs w:val="0"/>
          <w:spacing w:val="0"/>
          <w:sz w:val="18"/>
          <w:szCs w:val="18"/>
          <w:lang w:val="en-US" w:eastAsia="es-CR"/>
        </w:rPr>
      </w:pPr>
      <w:hyperlink w:anchor="_Toc430125405" w:history="1">
        <w:r w:rsidR="00265680" w:rsidRPr="008A1DB4">
          <w:rPr>
            <w:rStyle w:val="Hyperlink"/>
            <w:spacing w:val="-2"/>
            <w:sz w:val="18"/>
            <w:szCs w:val="18"/>
            <w:lang w:val="en-US"/>
          </w:rPr>
          <w:t xml:space="preserve">A.2) </w:t>
        </w:r>
        <w:r w:rsidR="00A836C4" w:rsidRPr="008A1DB4">
          <w:rPr>
            <w:rStyle w:val="Hyperlink"/>
            <w:spacing w:val="-2"/>
            <w:sz w:val="18"/>
            <w:szCs w:val="18"/>
            <w:lang w:val="en-US"/>
          </w:rPr>
          <w:t>Considerations</w:t>
        </w:r>
        <w:r w:rsidR="00F36400" w:rsidRPr="008A1DB4">
          <w:rPr>
            <w:rStyle w:val="Hyperlink"/>
            <w:spacing w:val="-2"/>
            <w:sz w:val="18"/>
            <w:szCs w:val="18"/>
            <w:lang w:val="en-US"/>
          </w:rPr>
          <w:t xml:space="preserve"> of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_Toc430125405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79</w:t>
        </w:r>
        <w:r w:rsidR="00265680" w:rsidRPr="008A1DB4">
          <w:rPr>
            <w:webHidden/>
            <w:sz w:val="18"/>
            <w:szCs w:val="18"/>
            <w:lang w:val="en-US"/>
          </w:rPr>
          <w:fldChar w:fldCharType="end"/>
        </w:r>
      </w:hyperlink>
    </w:p>
    <w:p w14:paraId="5236488A" w14:textId="31E7FA22" w:rsidR="00265680" w:rsidRPr="008A1DB4" w:rsidRDefault="00397BB4" w:rsidP="00265680">
      <w:pPr>
        <w:pStyle w:val="TOC1"/>
        <w:rPr>
          <w:rFonts w:eastAsiaTheme="minorEastAsia"/>
          <w:noProof/>
          <w:sz w:val="18"/>
          <w:szCs w:val="18"/>
          <w:lang w:val="en-US" w:eastAsia="es-CR"/>
        </w:rPr>
      </w:pPr>
      <w:hyperlink w:anchor="_Toc430125406" w:history="1">
        <w:r w:rsidR="00265680" w:rsidRPr="008A1DB4">
          <w:rPr>
            <w:rStyle w:val="Hyperlink"/>
            <w:noProof/>
            <w:spacing w:val="-2"/>
            <w:sz w:val="18"/>
            <w:szCs w:val="18"/>
            <w:lang w:val="en-US"/>
          </w:rPr>
          <w:t xml:space="preserve">B. </w:t>
        </w:r>
        <w:r w:rsidR="00776774" w:rsidRPr="008A1DB4">
          <w:rPr>
            <w:rStyle w:val="Hyperlink"/>
            <w:noProof/>
            <w:spacing w:val="-2"/>
            <w:sz w:val="18"/>
            <w:szCs w:val="18"/>
            <w:lang w:val="en-US"/>
          </w:rPr>
          <w:t>The alleged unlawful and arbitrary nature of the detention after the</w:t>
        </w:r>
        <w:r w:rsidR="00265680" w:rsidRPr="008A1DB4">
          <w:rPr>
            <w:rStyle w:val="Hyperlink"/>
            <w:noProof/>
            <w:spacing w:val="-2"/>
            <w:sz w:val="18"/>
            <w:szCs w:val="18"/>
            <w:lang w:val="en-US"/>
          </w:rPr>
          <w:t xml:space="preserve"> </w:t>
        </w:r>
        <w:r w:rsidR="00A33F97" w:rsidRPr="008A1DB4">
          <w:rPr>
            <w:rStyle w:val="Hyperlink"/>
            <w:noProof/>
            <w:spacing w:val="-2"/>
            <w:sz w:val="18"/>
            <w:szCs w:val="18"/>
            <w:lang w:val="en-US"/>
          </w:rPr>
          <w:t>decision</w:t>
        </w:r>
        <w:r w:rsidR="00C45946" w:rsidRPr="008A1DB4">
          <w:rPr>
            <w:rStyle w:val="Hyperlink"/>
            <w:noProof/>
            <w:spacing w:val="-2"/>
            <w:sz w:val="18"/>
            <w:szCs w:val="18"/>
            <w:lang w:val="en-US"/>
          </w:rPr>
          <w:t xml:space="preserve"> of the </w:t>
        </w:r>
        <w:r w:rsidR="00B43F84" w:rsidRPr="008A1DB4">
          <w:rPr>
            <w:rStyle w:val="Hyperlink"/>
            <w:noProof/>
            <w:spacing w:val="-2"/>
            <w:sz w:val="18"/>
            <w:szCs w:val="18"/>
            <w:lang w:val="en-US"/>
          </w:rPr>
          <w:t>Constitutional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_Toc430125406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82</w:t>
        </w:r>
        <w:r w:rsidR="00265680" w:rsidRPr="008A1DB4">
          <w:rPr>
            <w:noProof/>
            <w:webHidden/>
            <w:sz w:val="18"/>
            <w:szCs w:val="18"/>
            <w:lang w:val="en-US"/>
          </w:rPr>
          <w:fldChar w:fldCharType="end"/>
        </w:r>
      </w:hyperlink>
    </w:p>
    <w:p w14:paraId="0789C63B" w14:textId="29AA4E77" w:rsidR="00265680" w:rsidRPr="008A1DB4" w:rsidRDefault="00397BB4" w:rsidP="00265680">
      <w:pPr>
        <w:pStyle w:val="TOC2"/>
        <w:rPr>
          <w:rFonts w:eastAsiaTheme="minorEastAsia"/>
          <w:bCs w:val="0"/>
          <w:iCs w:val="0"/>
          <w:spacing w:val="0"/>
          <w:sz w:val="18"/>
          <w:szCs w:val="18"/>
          <w:lang w:val="en-US" w:eastAsia="es-CR"/>
        </w:rPr>
      </w:pPr>
      <w:hyperlink w:anchor="_Toc430125407" w:history="1">
        <w:r w:rsidR="00265680" w:rsidRPr="008A1DB4">
          <w:rPr>
            <w:rStyle w:val="Hyperlink"/>
            <w:spacing w:val="-2"/>
            <w:sz w:val="18"/>
            <w:szCs w:val="18"/>
            <w:lang w:val="en-US"/>
          </w:rPr>
          <w:t xml:space="preserve">B.1) </w:t>
        </w:r>
        <w:r w:rsidR="0058668C" w:rsidRPr="008A1DB4">
          <w:rPr>
            <w:rStyle w:val="Hyperlink"/>
            <w:spacing w:val="-2"/>
            <w:sz w:val="18"/>
            <w:szCs w:val="18"/>
            <w:lang w:val="en-US"/>
          </w:rPr>
          <w:t>Arguments</w:t>
        </w:r>
        <w:r w:rsidR="00265680" w:rsidRPr="008A1DB4">
          <w:rPr>
            <w:rStyle w:val="Hyperlink"/>
            <w:spacing w:val="-2"/>
            <w:sz w:val="18"/>
            <w:szCs w:val="18"/>
            <w:lang w:val="en-US"/>
          </w:rPr>
          <w:t xml:space="preserve"> </w:t>
        </w:r>
        <w:r w:rsidR="00860B3A" w:rsidRPr="008A1DB4">
          <w:rPr>
            <w:rStyle w:val="Hyperlink"/>
            <w:spacing w:val="-2"/>
            <w:sz w:val="18"/>
            <w:szCs w:val="18"/>
            <w:lang w:val="en-US"/>
          </w:rPr>
          <w:t>of the parties</w:t>
        </w:r>
        <w:r w:rsidR="00F36400" w:rsidRPr="008A1DB4">
          <w:rPr>
            <w:rStyle w:val="Hyperlink"/>
            <w:spacing w:val="-2"/>
            <w:sz w:val="18"/>
            <w:szCs w:val="18"/>
            <w:lang w:val="en-US"/>
          </w:rPr>
          <w:t xml:space="preserve"> and</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Commission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_Toc430125407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82</w:t>
        </w:r>
        <w:r w:rsidR="00265680" w:rsidRPr="008A1DB4">
          <w:rPr>
            <w:webHidden/>
            <w:sz w:val="18"/>
            <w:szCs w:val="18"/>
            <w:lang w:val="en-US"/>
          </w:rPr>
          <w:fldChar w:fldCharType="end"/>
        </w:r>
      </w:hyperlink>
    </w:p>
    <w:p w14:paraId="4B866EB8" w14:textId="6103CD0C" w:rsidR="00265680" w:rsidRPr="008A1DB4" w:rsidRDefault="00397BB4" w:rsidP="00265680">
      <w:pPr>
        <w:pStyle w:val="TOC2"/>
        <w:rPr>
          <w:rFonts w:eastAsiaTheme="minorEastAsia"/>
          <w:bCs w:val="0"/>
          <w:iCs w:val="0"/>
          <w:spacing w:val="0"/>
          <w:sz w:val="18"/>
          <w:szCs w:val="18"/>
          <w:lang w:val="en-US" w:eastAsia="es-CR"/>
        </w:rPr>
      </w:pPr>
      <w:hyperlink w:anchor="_Toc430125408" w:history="1">
        <w:r w:rsidR="00265680" w:rsidRPr="008A1DB4">
          <w:rPr>
            <w:rStyle w:val="Hyperlink"/>
            <w:spacing w:val="-2"/>
            <w:sz w:val="18"/>
            <w:szCs w:val="18"/>
            <w:lang w:val="en-US"/>
          </w:rPr>
          <w:t xml:space="preserve">B.2) </w:t>
        </w:r>
        <w:r w:rsidR="00A836C4" w:rsidRPr="008A1DB4">
          <w:rPr>
            <w:rStyle w:val="Hyperlink"/>
            <w:spacing w:val="-2"/>
            <w:sz w:val="18"/>
            <w:szCs w:val="18"/>
            <w:lang w:val="en-US"/>
          </w:rPr>
          <w:t>Considerations</w:t>
        </w:r>
        <w:r w:rsidR="00F36400" w:rsidRPr="008A1DB4">
          <w:rPr>
            <w:rStyle w:val="Hyperlink"/>
            <w:spacing w:val="-2"/>
            <w:sz w:val="18"/>
            <w:szCs w:val="18"/>
            <w:lang w:val="en-US"/>
          </w:rPr>
          <w:t xml:space="preserve"> of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_Toc430125408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83</w:t>
        </w:r>
        <w:r w:rsidR="00265680" w:rsidRPr="008A1DB4">
          <w:rPr>
            <w:webHidden/>
            <w:sz w:val="18"/>
            <w:szCs w:val="18"/>
            <w:lang w:val="en-US"/>
          </w:rPr>
          <w:fldChar w:fldCharType="end"/>
        </w:r>
      </w:hyperlink>
    </w:p>
    <w:p w14:paraId="7F5265E7" w14:textId="6D6715F4" w:rsidR="00265680" w:rsidRPr="008A1DB4" w:rsidRDefault="00397BB4" w:rsidP="00265680">
      <w:pPr>
        <w:pStyle w:val="TOC1"/>
        <w:rPr>
          <w:rFonts w:eastAsiaTheme="minorEastAsia"/>
          <w:noProof/>
          <w:sz w:val="18"/>
          <w:szCs w:val="18"/>
          <w:lang w:val="en-US" w:eastAsia="es-CR"/>
        </w:rPr>
      </w:pPr>
      <w:hyperlink w:anchor="_Toc430125409" w:history="1">
        <w:r w:rsidR="00265680" w:rsidRPr="008A1DB4">
          <w:rPr>
            <w:rStyle w:val="Hyperlink"/>
            <w:noProof/>
            <w:spacing w:val="-2"/>
            <w:sz w:val="18"/>
            <w:szCs w:val="18"/>
            <w:lang w:val="en-US"/>
          </w:rPr>
          <w:t xml:space="preserve">C. </w:t>
        </w:r>
        <w:r w:rsidR="00E740D4" w:rsidRPr="008A1DB4">
          <w:rPr>
            <w:rStyle w:val="Hyperlink"/>
            <w:noProof/>
            <w:spacing w:val="-2"/>
            <w:sz w:val="18"/>
            <w:szCs w:val="18"/>
            <w:lang w:val="en-US"/>
          </w:rPr>
          <w:t>The duration of the</w:t>
        </w:r>
        <w:r w:rsidR="004257EF" w:rsidRPr="008A1DB4">
          <w:rPr>
            <w:rStyle w:val="Hyperlink"/>
            <w:noProof/>
            <w:spacing w:val="-2"/>
            <w:sz w:val="18"/>
            <w:szCs w:val="18"/>
            <w:lang w:val="en-US"/>
          </w:rPr>
          <w:t xml:space="preserve"> provisional arrest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_Toc430125409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84</w:t>
        </w:r>
        <w:r w:rsidR="00265680" w:rsidRPr="008A1DB4">
          <w:rPr>
            <w:noProof/>
            <w:webHidden/>
            <w:sz w:val="18"/>
            <w:szCs w:val="18"/>
            <w:lang w:val="en-US"/>
          </w:rPr>
          <w:fldChar w:fldCharType="end"/>
        </w:r>
      </w:hyperlink>
    </w:p>
    <w:p w14:paraId="171C3FB0" w14:textId="222CB262" w:rsidR="00265680" w:rsidRPr="008A1DB4" w:rsidRDefault="00397BB4" w:rsidP="00265680">
      <w:pPr>
        <w:pStyle w:val="TOC2"/>
        <w:rPr>
          <w:rFonts w:eastAsiaTheme="minorEastAsia"/>
          <w:bCs w:val="0"/>
          <w:iCs w:val="0"/>
          <w:spacing w:val="0"/>
          <w:sz w:val="18"/>
          <w:szCs w:val="18"/>
          <w:lang w:val="en-US" w:eastAsia="es-CR"/>
        </w:rPr>
      </w:pPr>
      <w:hyperlink w:anchor="_Toc430125410" w:history="1">
        <w:r w:rsidR="00265680" w:rsidRPr="008A1DB4">
          <w:rPr>
            <w:rStyle w:val="Hyperlink"/>
            <w:spacing w:val="-2"/>
            <w:sz w:val="18"/>
            <w:szCs w:val="18"/>
            <w:lang w:val="en-US"/>
          </w:rPr>
          <w:t xml:space="preserve">C.1) </w:t>
        </w:r>
        <w:r w:rsidR="0058668C" w:rsidRPr="008A1DB4">
          <w:rPr>
            <w:rStyle w:val="Hyperlink"/>
            <w:spacing w:val="-2"/>
            <w:sz w:val="18"/>
            <w:szCs w:val="18"/>
            <w:lang w:val="en-US"/>
          </w:rPr>
          <w:t>Arguments</w:t>
        </w:r>
        <w:r w:rsidR="00265680" w:rsidRPr="008A1DB4">
          <w:rPr>
            <w:rStyle w:val="Hyperlink"/>
            <w:spacing w:val="-2"/>
            <w:sz w:val="18"/>
            <w:szCs w:val="18"/>
            <w:lang w:val="en-US"/>
          </w:rPr>
          <w:t xml:space="preserve"> </w:t>
        </w:r>
        <w:r w:rsidR="00860B3A" w:rsidRPr="008A1DB4">
          <w:rPr>
            <w:rStyle w:val="Hyperlink"/>
            <w:spacing w:val="-2"/>
            <w:sz w:val="18"/>
            <w:szCs w:val="18"/>
            <w:lang w:val="en-US"/>
          </w:rPr>
          <w:t>of the parties</w:t>
        </w:r>
        <w:r w:rsidR="00F36400" w:rsidRPr="008A1DB4">
          <w:rPr>
            <w:rStyle w:val="Hyperlink"/>
            <w:spacing w:val="-2"/>
            <w:sz w:val="18"/>
            <w:szCs w:val="18"/>
            <w:lang w:val="en-US"/>
          </w:rPr>
          <w:t xml:space="preserve"> and</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Commission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_Toc430125410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84</w:t>
        </w:r>
        <w:r w:rsidR="00265680" w:rsidRPr="008A1DB4">
          <w:rPr>
            <w:webHidden/>
            <w:sz w:val="18"/>
            <w:szCs w:val="18"/>
            <w:lang w:val="en-US"/>
          </w:rPr>
          <w:fldChar w:fldCharType="end"/>
        </w:r>
      </w:hyperlink>
    </w:p>
    <w:p w14:paraId="31C404A7" w14:textId="0A7F2C45" w:rsidR="00265680" w:rsidRPr="008A1DB4" w:rsidRDefault="00397BB4" w:rsidP="00265680">
      <w:pPr>
        <w:pStyle w:val="TOC2"/>
        <w:rPr>
          <w:rFonts w:eastAsiaTheme="minorEastAsia"/>
          <w:bCs w:val="0"/>
          <w:iCs w:val="0"/>
          <w:spacing w:val="0"/>
          <w:sz w:val="18"/>
          <w:szCs w:val="18"/>
          <w:lang w:val="en-US" w:eastAsia="es-CR"/>
        </w:rPr>
      </w:pPr>
      <w:hyperlink w:anchor="_Toc430125411" w:history="1">
        <w:r w:rsidR="00265680" w:rsidRPr="008A1DB4">
          <w:rPr>
            <w:rStyle w:val="Hyperlink"/>
            <w:spacing w:val="-2"/>
            <w:sz w:val="18"/>
            <w:szCs w:val="18"/>
            <w:lang w:val="en-US"/>
          </w:rPr>
          <w:t xml:space="preserve">C.2) </w:t>
        </w:r>
        <w:r w:rsidR="00A836C4" w:rsidRPr="008A1DB4">
          <w:rPr>
            <w:rStyle w:val="Hyperlink"/>
            <w:spacing w:val="-2"/>
            <w:sz w:val="18"/>
            <w:szCs w:val="18"/>
            <w:lang w:val="en-US"/>
          </w:rPr>
          <w:t>Considerations</w:t>
        </w:r>
        <w:r w:rsidR="00F36400" w:rsidRPr="008A1DB4">
          <w:rPr>
            <w:rStyle w:val="Hyperlink"/>
            <w:spacing w:val="-2"/>
            <w:sz w:val="18"/>
            <w:szCs w:val="18"/>
            <w:lang w:val="en-US"/>
          </w:rPr>
          <w:t xml:space="preserve"> of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_Toc430125411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84</w:t>
        </w:r>
        <w:r w:rsidR="00265680" w:rsidRPr="008A1DB4">
          <w:rPr>
            <w:webHidden/>
            <w:sz w:val="18"/>
            <w:szCs w:val="18"/>
            <w:lang w:val="en-US"/>
          </w:rPr>
          <w:fldChar w:fldCharType="end"/>
        </w:r>
      </w:hyperlink>
    </w:p>
    <w:p w14:paraId="47F3399C" w14:textId="2A5540EE" w:rsidR="00265680" w:rsidRPr="008A1DB4" w:rsidRDefault="00397BB4" w:rsidP="00265680">
      <w:pPr>
        <w:pStyle w:val="TOC1"/>
        <w:rPr>
          <w:rFonts w:eastAsiaTheme="minorEastAsia"/>
          <w:noProof/>
          <w:sz w:val="18"/>
          <w:szCs w:val="18"/>
          <w:lang w:val="en-US" w:eastAsia="es-CR"/>
        </w:rPr>
      </w:pPr>
      <w:hyperlink w:anchor="_Toc430125412" w:history="1">
        <w:r w:rsidR="00265680" w:rsidRPr="008A1DB4">
          <w:rPr>
            <w:rStyle w:val="Hyperlink"/>
            <w:noProof/>
            <w:spacing w:val="-2"/>
            <w:sz w:val="18"/>
            <w:szCs w:val="18"/>
            <w:lang w:val="en-US"/>
          </w:rPr>
          <w:t xml:space="preserve">D. </w:t>
        </w:r>
        <w:r w:rsidR="00FC43E7" w:rsidRPr="008A1DB4">
          <w:rPr>
            <w:rStyle w:val="Hyperlink"/>
            <w:noProof/>
            <w:spacing w:val="-2"/>
            <w:sz w:val="18"/>
            <w:szCs w:val="18"/>
            <w:lang w:val="en-US"/>
          </w:rPr>
          <w:t>Right to appeal before a competent court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_Toc430125412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86</w:t>
        </w:r>
        <w:r w:rsidR="00265680" w:rsidRPr="008A1DB4">
          <w:rPr>
            <w:noProof/>
            <w:webHidden/>
            <w:sz w:val="18"/>
            <w:szCs w:val="18"/>
            <w:lang w:val="en-US"/>
          </w:rPr>
          <w:fldChar w:fldCharType="end"/>
        </w:r>
      </w:hyperlink>
    </w:p>
    <w:p w14:paraId="58F5DF53" w14:textId="2BCE350B" w:rsidR="00265680" w:rsidRPr="008A1DB4" w:rsidRDefault="00397BB4" w:rsidP="00265680">
      <w:pPr>
        <w:pStyle w:val="TOC2"/>
        <w:rPr>
          <w:rFonts w:eastAsiaTheme="minorEastAsia"/>
          <w:bCs w:val="0"/>
          <w:iCs w:val="0"/>
          <w:spacing w:val="0"/>
          <w:sz w:val="18"/>
          <w:szCs w:val="18"/>
          <w:lang w:val="en-US" w:eastAsia="es-CR"/>
        </w:rPr>
      </w:pPr>
      <w:hyperlink w:anchor="_Toc430125413" w:history="1">
        <w:r w:rsidR="00265680" w:rsidRPr="008A1DB4">
          <w:rPr>
            <w:rStyle w:val="Hyperlink"/>
            <w:spacing w:val="-2"/>
            <w:sz w:val="18"/>
            <w:szCs w:val="18"/>
            <w:lang w:val="en-US"/>
          </w:rPr>
          <w:t xml:space="preserve">D.1) </w:t>
        </w:r>
        <w:r w:rsidR="0058668C" w:rsidRPr="008A1DB4">
          <w:rPr>
            <w:rStyle w:val="Hyperlink"/>
            <w:spacing w:val="-2"/>
            <w:sz w:val="18"/>
            <w:szCs w:val="18"/>
            <w:lang w:val="en-US"/>
          </w:rPr>
          <w:t>Arguments</w:t>
        </w:r>
        <w:r w:rsidR="00265680" w:rsidRPr="008A1DB4">
          <w:rPr>
            <w:rStyle w:val="Hyperlink"/>
            <w:spacing w:val="-2"/>
            <w:sz w:val="18"/>
            <w:szCs w:val="18"/>
            <w:lang w:val="en-US"/>
          </w:rPr>
          <w:t xml:space="preserve"> </w:t>
        </w:r>
        <w:r w:rsidR="00860B3A" w:rsidRPr="008A1DB4">
          <w:rPr>
            <w:rStyle w:val="Hyperlink"/>
            <w:spacing w:val="-2"/>
            <w:sz w:val="18"/>
            <w:szCs w:val="18"/>
            <w:lang w:val="en-US"/>
          </w:rPr>
          <w:t>of the parties</w:t>
        </w:r>
        <w:r w:rsidR="00F36400" w:rsidRPr="008A1DB4">
          <w:rPr>
            <w:rStyle w:val="Hyperlink"/>
            <w:spacing w:val="-2"/>
            <w:sz w:val="18"/>
            <w:szCs w:val="18"/>
            <w:lang w:val="en-US"/>
          </w:rPr>
          <w:t xml:space="preserve"> and</w:t>
        </w:r>
        <w:r w:rsidR="00C45946" w:rsidRPr="008A1DB4">
          <w:rPr>
            <w:rStyle w:val="Hyperlink"/>
            <w:spacing w:val="-2"/>
            <w:sz w:val="18"/>
            <w:szCs w:val="18"/>
            <w:lang w:val="en-US"/>
          </w:rPr>
          <w:t xml:space="preserve"> of the </w:t>
        </w:r>
        <w:r w:rsidR="00F36400" w:rsidRPr="008A1DB4">
          <w:rPr>
            <w:rStyle w:val="Hyperlink"/>
            <w:spacing w:val="-2"/>
            <w:sz w:val="18"/>
            <w:szCs w:val="18"/>
            <w:lang w:val="en-US"/>
          </w:rPr>
          <w:t>Commission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_Toc430125413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86</w:t>
        </w:r>
        <w:r w:rsidR="00265680" w:rsidRPr="008A1DB4">
          <w:rPr>
            <w:webHidden/>
            <w:sz w:val="18"/>
            <w:szCs w:val="18"/>
            <w:lang w:val="en-US"/>
          </w:rPr>
          <w:fldChar w:fldCharType="end"/>
        </w:r>
      </w:hyperlink>
    </w:p>
    <w:p w14:paraId="6B856232" w14:textId="54BC03DF" w:rsidR="00265680" w:rsidRPr="008A1DB4" w:rsidRDefault="00397BB4" w:rsidP="00265680">
      <w:pPr>
        <w:pStyle w:val="TOC2"/>
        <w:rPr>
          <w:rFonts w:eastAsiaTheme="minorEastAsia"/>
          <w:bCs w:val="0"/>
          <w:iCs w:val="0"/>
          <w:spacing w:val="0"/>
          <w:sz w:val="18"/>
          <w:szCs w:val="18"/>
          <w:lang w:val="en-US" w:eastAsia="es-CR"/>
        </w:rPr>
      </w:pPr>
      <w:hyperlink w:anchor="_Toc430125414" w:history="1">
        <w:r w:rsidR="00265680" w:rsidRPr="008A1DB4">
          <w:rPr>
            <w:rStyle w:val="Hyperlink"/>
            <w:spacing w:val="-2"/>
            <w:sz w:val="18"/>
            <w:szCs w:val="18"/>
            <w:lang w:val="en-US"/>
          </w:rPr>
          <w:t xml:space="preserve">D.2) </w:t>
        </w:r>
        <w:r w:rsidR="00A836C4" w:rsidRPr="008A1DB4">
          <w:rPr>
            <w:rStyle w:val="Hyperlink"/>
            <w:spacing w:val="-2"/>
            <w:sz w:val="18"/>
            <w:szCs w:val="18"/>
            <w:lang w:val="en-US"/>
          </w:rPr>
          <w:t>Considerations</w:t>
        </w:r>
        <w:r w:rsidR="00F36400" w:rsidRPr="008A1DB4">
          <w:rPr>
            <w:rStyle w:val="Hyperlink"/>
            <w:spacing w:val="-2"/>
            <w:sz w:val="18"/>
            <w:szCs w:val="18"/>
            <w:lang w:val="en-US"/>
          </w:rPr>
          <w:t xml:space="preserve"> of the Court</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_Toc430125414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87</w:t>
        </w:r>
        <w:r w:rsidR="00265680" w:rsidRPr="008A1DB4">
          <w:rPr>
            <w:webHidden/>
            <w:sz w:val="18"/>
            <w:szCs w:val="18"/>
            <w:lang w:val="en-US"/>
          </w:rPr>
          <w:fldChar w:fldCharType="end"/>
        </w:r>
      </w:hyperlink>
    </w:p>
    <w:p w14:paraId="7714F958" w14:textId="316088A4"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15" w:history="1">
        <w:r w:rsidR="00265680" w:rsidRPr="008A1DB4">
          <w:rPr>
            <w:rStyle w:val="Hyperlink"/>
            <w:noProof/>
            <w:spacing w:val="-2"/>
            <w:sz w:val="18"/>
            <w:szCs w:val="18"/>
            <w:lang w:val="en-US"/>
          </w:rPr>
          <w:t xml:space="preserve">D.2.a) </w:t>
        </w:r>
        <w:r w:rsidR="00FC43E7" w:rsidRPr="008A1DB4">
          <w:rPr>
            <w:rStyle w:val="Hyperlink"/>
            <w:noProof/>
            <w:spacing w:val="-2"/>
            <w:sz w:val="18"/>
            <w:szCs w:val="18"/>
            <w:lang w:val="en-US"/>
          </w:rPr>
          <w:t>Habeas corpus of</w:t>
        </w:r>
        <w:r w:rsidR="00265680" w:rsidRPr="008A1DB4">
          <w:rPr>
            <w:rStyle w:val="Hyperlink"/>
            <w:noProof/>
            <w:spacing w:val="-2"/>
            <w:sz w:val="18"/>
            <w:szCs w:val="18"/>
            <w:lang w:val="en-US"/>
          </w:rPr>
          <w:t xml:space="preserve"> </w:t>
        </w:r>
        <w:r w:rsidR="00631F9C" w:rsidRPr="008A1DB4">
          <w:rPr>
            <w:rStyle w:val="Hyperlink"/>
            <w:rFonts w:cs="Verdana"/>
            <w:noProof/>
            <w:spacing w:val="-2"/>
            <w:sz w:val="18"/>
            <w:szCs w:val="18"/>
            <w:lang w:val="en-US"/>
          </w:rPr>
          <w:t>February 9,</w:t>
        </w:r>
        <w:r w:rsidR="00265680" w:rsidRPr="008A1DB4">
          <w:rPr>
            <w:rStyle w:val="Hyperlink"/>
            <w:rFonts w:cs="Verdana"/>
            <w:noProof/>
            <w:spacing w:val="-2"/>
            <w:sz w:val="18"/>
            <w:szCs w:val="18"/>
            <w:lang w:val="en-US"/>
          </w:rPr>
          <w:t xml:space="preserve"> 2010</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_Toc430125415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88</w:t>
        </w:r>
        <w:r w:rsidR="00265680" w:rsidRPr="008A1DB4">
          <w:rPr>
            <w:noProof/>
            <w:webHidden/>
            <w:sz w:val="18"/>
            <w:szCs w:val="18"/>
            <w:lang w:val="en-US"/>
          </w:rPr>
          <w:fldChar w:fldCharType="end"/>
        </w:r>
      </w:hyperlink>
    </w:p>
    <w:p w14:paraId="7AAE956F" w14:textId="15691600"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16" w:history="1">
        <w:r w:rsidR="00265680" w:rsidRPr="008A1DB4">
          <w:rPr>
            <w:rStyle w:val="Hyperlink"/>
            <w:noProof/>
            <w:spacing w:val="-2"/>
            <w:sz w:val="18"/>
            <w:szCs w:val="18"/>
            <w:lang w:val="en-US"/>
          </w:rPr>
          <w:t xml:space="preserve">D.2.b) </w:t>
        </w:r>
        <w:r w:rsidR="00FC43E7" w:rsidRPr="008A1DB4">
          <w:rPr>
            <w:rStyle w:val="Hyperlink"/>
            <w:noProof/>
            <w:spacing w:val="-2"/>
            <w:sz w:val="18"/>
            <w:szCs w:val="18"/>
            <w:lang w:val="en-US"/>
          </w:rPr>
          <w:t>Release request of</w:t>
        </w:r>
        <w:r w:rsidR="00265680" w:rsidRPr="008A1DB4">
          <w:rPr>
            <w:rStyle w:val="Hyperlink"/>
            <w:noProof/>
            <w:spacing w:val="-2"/>
            <w:sz w:val="18"/>
            <w:szCs w:val="18"/>
            <w:lang w:val="en-US"/>
          </w:rPr>
          <w:t xml:space="preserve"> </w:t>
        </w:r>
        <w:r w:rsidR="00FC5891" w:rsidRPr="008A1DB4">
          <w:rPr>
            <w:rStyle w:val="Hyperlink"/>
            <w:noProof/>
            <w:spacing w:val="-2"/>
            <w:sz w:val="18"/>
            <w:szCs w:val="18"/>
            <w:lang w:val="en-US"/>
          </w:rPr>
          <w:t>October 5,</w:t>
        </w:r>
        <w:r w:rsidR="00265680" w:rsidRPr="008A1DB4">
          <w:rPr>
            <w:rStyle w:val="Hyperlink"/>
            <w:noProof/>
            <w:spacing w:val="-2"/>
            <w:sz w:val="18"/>
            <w:szCs w:val="18"/>
            <w:lang w:val="en-US"/>
          </w:rPr>
          <w:t xml:space="preserve"> 2011</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88</w:t>
        </w:r>
        <w:r w:rsidR="00265680" w:rsidRPr="008A1DB4">
          <w:rPr>
            <w:noProof/>
            <w:webHidden/>
            <w:sz w:val="18"/>
            <w:szCs w:val="18"/>
            <w:lang w:val="en-US"/>
          </w:rPr>
          <w:fldChar w:fldCharType="end"/>
        </w:r>
      </w:hyperlink>
    </w:p>
    <w:p w14:paraId="16A7B5E4" w14:textId="33528C46"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17" w:history="1">
        <w:r w:rsidR="00265680" w:rsidRPr="008A1DB4">
          <w:rPr>
            <w:rStyle w:val="Hyperlink"/>
            <w:noProof/>
            <w:spacing w:val="-2"/>
            <w:sz w:val="18"/>
            <w:szCs w:val="18"/>
            <w:lang w:val="en-US"/>
          </w:rPr>
          <w:t xml:space="preserve">D.2.c) </w:t>
        </w:r>
        <w:r w:rsidR="00FC43E7" w:rsidRPr="008A1DB4">
          <w:rPr>
            <w:rStyle w:val="Hyperlink"/>
            <w:noProof/>
            <w:spacing w:val="-2"/>
            <w:sz w:val="18"/>
            <w:szCs w:val="18"/>
            <w:lang w:val="en-US"/>
          </w:rPr>
          <w:t>Release request of</w:t>
        </w:r>
        <w:r w:rsidR="00265680" w:rsidRPr="008A1DB4">
          <w:rPr>
            <w:rStyle w:val="Hyperlink"/>
            <w:noProof/>
            <w:spacing w:val="-2"/>
            <w:sz w:val="18"/>
            <w:szCs w:val="18"/>
            <w:lang w:val="en-US"/>
          </w:rPr>
          <w:t xml:space="preserve"> </w:t>
        </w:r>
        <w:r w:rsidR="00FC43E7" w:rsidRPr="008A1DB4">
          <w:rPr>
            <w:rStyle w:val="Hyperlink"/>
            <w:noProof/>
            <w:spacing w:val="-2"/>
            <w:sz w:val="18"/>
            <w:szCs w:val="18"/>
            <w:lang w:val="en-US"/>
          </w:rPr>
          <w:t>October 18,</w:t>
        </w:r>
        <w:r w:rsidR="00265680" w:rsidRPr="008A1DB4">
          <w:rPr>
            <w:rStyle w:val="Hyperlink"/>
            <w:noProof/>
            <w:spacing w:val="-2"/>
            <w:sz w:val="18"/>
            <w:szCs w:val="18"/>
            <w:lang w:val="en-US"/>
          </w:rPr>
          <w:t xml:space="preserve"> 2011</w:t>
        </w:r>
        <w:r w:rsidR="0056729D">
          <w:rPr>
            <w:rStyle w:val="Hyperlink"/>
            <w:noProof/>
            <w:spacing w:val="-2"/>
            <w:sz w:val="18"/>
            <w:szCs w:val="18"/>
            <w:lang w:val="en-US"/>
          </w:rPr>
          <w:t>,</w:t>
        </w:r>
        <w:r w:rsidR="00F36400" w:rsidRPr="008A1DB4">
          <w:rPr>
            <w:rStyle w:val="Hyperlink"/>
            <w:noProof/>
            <w:spacing w:val="-2"/>
            <w:sz w:val="18"/>
            <w:szCs w:val="18"/>
            <w:lang w:val="en-US"/>
          </w:rPr>
          <w:t xml:space="preserve"> and </w:t>
        </w:r>
        <w:r w:rsidR="00E022F9" w:rsidRPr="008A1DB4">
          <w:rPr>
            <w:rStyle w:val="Hyperlink"/>
            <w:i/>
            <w:noProof/>
            <w:spacing w:val="-2"/>
            <w:sz w:val="18"/>
            <w:szCs w:val="18"/>
            <w:lang w:val="en-US"/>
          </w:rPr>
          <w:t>habeas corpus</w:t>
        </w:r>
        <w:r w:rsidR="00265680" w:rsidRPr="008A1DB4">
          <w:rPr>
            <w:rStyle w:val="Hyperlink"/>
            <w:noProof/>
            <w:spacing w:val="-2"/>
            <w:sz w:val="18"/>
            <w:szCs w:val="18"/>
            <w:lang w:val="en-US"/>
          </w:rPr>
          <w:t xml:space="preserve"> </w:t>
        </w:r>
        <w:r w:rsidR="00FC43E7" w:rsidRPr="008A1DB4">
          <w:rPr>
            <w:rStyle w:val="Hyperlink"/>
            <w:noProof/>
            <w:spacing w:val="-2"/>
            <w:sz w:val="18"/>
            <w:szCs w:val="18"/>
            <w:lang w:val="en-US"/>
          </w:rPr>
          <w:t>of November 16</w:t>
        </w:r>
        <w:r w:rsidR="00A3310A" w:rsidRPr="008A1DB4">
          <w:rPr>
            <w:rStyle w:val="Hyperlink"/>
            <w:noProof/>
            <w:spacing w:val="-2"/>
            <w:sz w:val="18"/>
            <w:szCs w:val="18"/>
            <w:lang w:val="en-US"/>
          </w:rPr>
          <w:t>,</w:t>
        </w:r>
        <w:r w:rsidR="00265680" w:rsidRPr="008A1DB4">
          <w:rPr>
            <w:rStyle w:val="Hyperlink"/>
            <w:noProof/>
            <w:spacing w:val="-2"/>
            <w:sz w:val="18"/>
            <w:szCs w:val="18"/>
            <w:lang w:val="en-US"/>
          </w:rPr>
          <w:t xml:space="preserve"> 2011</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89</w:t>
        </w:r>
        <w:r w:rsidR="00265680" w:rsidRPr="008A1DB4">
          <w:rPr>
            <w:noProof/>
            <w:webHidden/>
            <w:sz w:val="18"/>
            <w:szCs w:val="18"/>
            <w:lang w:val="en-US"/>
          </w:rPr>
          <w:fldChar w:fldCharType="end"/>
        </w:r>
      </w:hyperlink>
    </w:p>
    <w:p w14:paraId="3AF9BB54" w14:textId="4FB302D2"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18" w:history="1">
        <w:r w:rsidR="00265680" w:rsidRPr="008A1DB4">
          <w:rPr>
            <w:rStyle w:val="Hyperlink"/>
            <w:noProof/>
            <w:spacing w:val="-2"/>
            <w:sz w:val="18"/>
            <w:szCs w:val="18"/>
            <w:lang w:val="en-US"/>
          </w:rPr>
          <w:t xml:space="preserve">D.2.d) </w:t>
        </w:r>
        <w:r w:rsidR="00FC43E7" w:rsidRPr="008A1DB4">
          <w:rPr>
            <w:rStyle w:val="Hyperlink"/>
            <w:noProof/>
            <w:spacing w:val="-2"/>
            <w:sz w:val="18"/>
            <w:szCs w:val="18"/>
            <w:lang w:val="en-US"/>
          </w:rPr>
          <w:t xml:space="preserve">Failure to </w:t>
        </w:r>
        <w:r w:rsidR="00D51CE5" w:rsidRPr="008A1DB4">
          <w:rPr>
            <w:rStyle w:val="Hyperlink"/>
            <w:noProof/>
            <w:spacing w:val="-2"/>
            <w:sz w:val="18"/>
            <w:szCs w:val="18"/>
            <w:lang w:val="en-US"/>
          </w:rPr>
          <w:t>comply with a reasonable time when</w:t>
        </w:r>
        <w:r w:rsidR="00FC43E7" w:rsidRPr="008A1DB4">
          <w:rPr>
            <w:rStyle w:val="Hyperlink"/>
            <w:noProof/>
            <w:spacing w:val="-2"/>
            <w:sz w:val="18"/>
            <w:szCs w:val="18"/>
            <w:lang w:val="en-US"/>
          </w:rPr>
          <w:t xml:space="preserve"> deciding these remedies</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_Toc430125418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90</w:t>
        </w:r>
        <w:r w:rsidR="00265680" w:rsidRPr="008A1DB4">
          <w:rPr>
            <w:noProof/>
            <w:webHidden/>
            <w:sz w:val="18"/>
            <w:szCs w:val="18"/>
            <w:lang w:val="en-US"/>
          </w:rPr>
          <w:fldChar w:fldCharType="end"/>
        </w:r>
      </w:hyperlink>
    </w:p>
    <w:p w14:paraId="199454A4" w14:textId="23B5CF09" w:rsidR="00265680" w:rsidRPr="008A1DB4" w:rsidRDefault="00397BB4" w:rsidP="00265680">
      <w:pPr>
        <w:pStyle w:val="TOC1"/>
        <w:rPr>
          <w:rFonts w:eastAsiaTheme="minorEastAsia"/>
          <w:noProof/>
          <w:sz w:val="18"/>
          <w:szCs w:val="18"/>
          <w:lang w:val="en-US" w:eastAsia="es-CR"/>
        </w:rPr>
      </w:pPr>
      <w:hyperlink w:anchor="_Toc430125419" w:history="1">
        <w:r w:rsidR="00265680" w:rsidRPr="008A1DB4">
          <w:rPr>
            <w:rStyle w:val="Hyperlink"/>
            <w:noProof/>
            <w:spacing w:val="-2"/>
            <w:sz w:val="18"/>
            <w:szCs w:val="18"/>
            <w:lang w:val="en-US"/>
          </w:rPr>
          <w:t xml:space="preserve">E. </w:t>
        </w:r>
        <w:r w:rsidR="00FC43E7" w:rsidRPr="008A1DB4">
          <w:rPr>
            <w:rStyle w:val="Hyperlink"/>
            <w:noProof/>
            <w:spacing w:val="-2"/>
            <w:sz w:val="18"/>
            <w:szCs w:val="18"/>
            <w:lang w:val="en-US"/>
          </w:rPr>
          <w:t>Alleged violation of the right</w:t>
        </w:r>
        <w:r w:rsidR="00775124" w:rsidRPr="008A1DB4">
          <w:rPr>
            <w:rStyle w:val="Hyperlink"/>
            <w:noProof/>
            <w:spacing w:val="-2"/>
            <w:sz w:val="18"/>
            <w:szCs w:val="18"/>
            <w:lang w:val="en-US"/>
          </w:rPr>
          <w:t xml:space="preserve"> to personal</w:t>
        </w:r>
        <w:r w:rsidR="00776D24" w:rsidRPr="008A1DB4">
          <w:rPr>
            <w:rStyle w:val="Hyperlink"/>
            <w:noProof/>
            <w:spacing w:val="-2"/>
            <w:sz w:val="18"/>
            <w:szCs w:val="18"/>
            <w:lang w:val="en-US"/>
          </w:rPr>
          <w:t xml:space="preserve"> integrity</w:t>
        </w:r>
        <w:r w:rsidR="00265680" w:rsidRPr="008A1DB4">
          <w:rPr>
            <w:rStyle w:val="Hyperlink"/>
            <w:noProof/>
            <w:spacing w:val="-2"/>
            <w:sz w:val="18"/>
            <w:szCs w:val="18"/>
            <w:lang w:val="en-US"/>
          </w:rPr>
          <w:t xml:space="preserve"> </w:t>
        </w:r>
        <w:r w:rsidR="00B43F84" w:rsidRPr="008A1DB4">
          <w:rPr>
            <w:rStyle w:val="Hyperlink"/>
            <w:noProof/>
            <w:spacing w:val="-2"/>
            <w:sz w:val="18"/>
            <w:szCs w:val="18"/>
            <w:lang w:val="en-US"/>
          </w:rPr>
          <w:t>of Wong</w:t>
        </w:r>
        <w:r w:rsidR="00265680" w:rsidRPr="008A1DB4">
          <w:rPr>
            <w:rStyle w:val="Hyperlink"/>
            <w:noProof/>
            <w:spacing w:val="-2"/>
            <w:sz w:val="18"/>
            <w:szCs w:val="18"/>
            <w:lang w:val="en-US"/>
          </w:rPr>
          <w:t xml:space="preserve"> Ho Wing</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_Toc430125419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91</w:t>
        </w:r>
        <w:r w:rsidR="00265680" w:rsidRPr="008A1DB4">
          <w:rPr>
            <w:noProof/>
            <w:webHidden/>
            <w:sz w:val="18"/>
            <w:szCs w:val="18"/>
            <w:lang w:val="en-US"/>
          </w:rPr>
          <w:fldChar w:fldCharType="end"/>
        </w:r>
      </w:hyperlink>
    </w:p>
    <w:p w14:paraId="6A7FEA39" w14:textId="20451303" w:rsidR="00265680" w:rsidRPr="008A1DB4" w:rsidRDefault="00397BB4" w:rsidP="00265680">
      <w:pPr>
        <w:pStyle w:val="TOC1"/>
        <w:rPr>
          <w:rFonts w:eastAsiaTheme="minorEastAsia"/>
          <w:b/>
          <w:noProof/>
          <w:sz w:val="18"/>
          <w:szCs w:val="18"/>
          <w:lang w:val="en-US" w:eastAsia="es-CR"/>
        </w:rPr>
      </w:pPr>
      <w:hyperlink w:anchor="_Toc430125420" w:history="1">
        <w:r w:rsidR="00265680" w:rsidRPr="008A1DB4">
          <w:rPr>
            <w:rStyle w:val="Hyperlink"/>
            <w:b/>
            <w:noProof/>
            <w:spacing w:val="-2"/>
            <w:sz w:val="18"/>
            <w:szCs w:val="18"/>
            <w:lang w:val="en-US"/>
          </w:rPr>
          <w:t>XII.</w:t>
        </w:r>
        <w:r w:rsidR="00265680" w:rsidRPr="008A1DB4">
          <w:rPr>
            <w:b/>
            <w:noProof/>
            <w:lang w:val="en-US"/>
          </w:rPr>
          <w:t xml:space="preserve"> </w:t>
        </w:r>
        <w:r w:rsidR="001168D7" w:rsidRPr="008A1DB4">
          <w:rPr>
            <w:rStyle w:val="Hyperlink"/>
            <w:b/>
            <w:noProof/>
            <w:spacing w:val="-2"/>
            <w:sz w:val="18"/>
            <w:szCs w:val="18"/>
            <w:lang w:val="en-US"/>
          </w:rPr>
          <w:t>REPARATIONS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_Toc430125420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92</w:t>
        </w:r>
        <w:r w:rsidR="00265680" w:rsidRPr="008A1DB4">
          <w:rPr>
            <w:b/>
            <w:noProof/>
            <w:webHidden/>
            <w:sz w:val="18"/>
            <w:szCs w:val="18"/>
            <w:lang w:val="en-US"/>
          </w:rPr>
          <w:fldChar w:fldCharType="end"/>
        </w:r>
      </w:hyperlink>
    </w:p>
    <w:p w14:paraId="21DB773A" w14:textId="4546042D" w:rsidR="00265680" w:rsidRPr="008A1DB4" w:rsidRDefault="00397BB4" w:rsidP="00265680">
      <w:pPr>
        <w:pStyle w:val="TOC1"/>
        <w:rPr>
          <w:rFonts w:eastAsiaTheme="minorEastAsia"/>
          <w:noProof/>
          <w:sz w:val="18"/>
          <w:szCs w:val="18"/>
          <w:lang w:val="en-US" w:eastAsia="es-CR"/>
        </w:rPr>
      </w:pPr>
      <w:hyperlink w:anchor="_Toc430125423" w:history="1">
        <w:r w:rsidR="00265680" w:rsidRPr="008A1DB4">
          <w:rPr>
            <w:rStyle w:val="Hyperlink"/>
            <w:noProof/>
            <w:spacing w:val="-2"/>
            <w:sz w:val="18"/>
            <w:szCs w:val="18"/>
            <w:lang w:val="en-US"/>
          </w:rPr>
          <w:t xml:space="preserve">A. </w:t>
        </w:r>
        <w:r w:rsidR="001168D7" w:rsidRPr="008A1DB4">
          <w:rPr>
            <w:rStyle w:val="Hyperlink"/>
            <w:noProof/>
            <w:spacing w:val="-2"/>
            <w:sz w:val="18"/>
            <w:szCs w:val="18"/>
            <w:lang w:val="en-US"/>
          </w:rPr>
          <w:t>Injured party</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_Toc430125423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92</w:t>
        </w:r>
        <w:r w:rsidR="00265680" w:rsidRPr="008A1DB4">
          <w:rPr>
            <w:noProof/>
            <w:webHidden/>
            <w:sz w:val="18"/>
            <w:szCs w:val="18"/>
            <w:lang w:val="en-US"/>
          </w:rPr>
          <w:fldChar w:fldCharType="end"/>
        </w:r>
      </w:hyperlink>
    </w:p>
    <w:p w14:paraId="7B79B0A0" w14:textId="0636D5D5" w:rsidR="00265680" w:rsidRPr="008A1DB4" w:rsidRDefault="00397BB4" w:rsidP="00265680">
      <w:pPr>
        <w:pStyle w:val="TOC1"/>
        <w:rPr>
          <w:rFonts w:eastAsiaTheme="minorEastAsia"/>
          <w:noProof/>
          <w:sz w:val="18"/>
          <w:szCs w:val="18"/>
          <w:lang w:val="en-US" w:eastAsia="es-CR"/>
        </w:rPr>
      </w:pPr>
      <w:hyperlink w:anchor="_Toc430125424" w:history="1">
        <w:r w:rsidR="00265680" w:rsidRPr="008A1DB4">
          <w:rPr>
            <w:rStyle w:val="Hyperlink"/>
            <w:noProof/>
            <w:spacing w:val="-2"/>
            <w:sz w:val="18"/>
            <w:szCs w:val="18"/>
            <w:lang w:val="en-US"/>
          </w:rPr>
          <w:t xml:space="preserve">B. </w:t>
        </w:r>
        <w:r w:rsidR="001168D7" w:rsidRPr="008A1DB4">
          <w:rPr>
            <w:rStyle w:val="Hyperlink"/>
            <w:noProof/>
            <w:spacing w:val="-2"/>
            <w:sz w:val="18"/>
            <w:szCs w:val="18"/>
            <w:lang w:val="en-US"/>
          </w:rPr>
          <w:t>Measures of integral reparation: restitution and satisfaction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_Toc430125424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93</w:t>
        </w:r>
        <w:r w:rsidR="00265680" w:rsidRPr="008A1DB4">
          <w:rPr>
            <w:noProof/>
            <w:webHidden/>
            <w:sz w:val="18"/>
            <w:szCs w:val="18"/>
            <w:lang w:val="en-US"/>
          </w:rPr>
          <w:fldChar w:fldCharType="end"/>
        </w:r>
      </w:hyperlink>
    </w:p>
    <w:p w14:paraId="0679F20C" w14:textId="1FA8D179" w:rsidR="00265680" w:rsidRPr="008A1DB4" w:rsidRDefault="00397BB4" w:rsidP="00265680">
      <w:pPr>
        <w:pStyle w:val="TOC2"/>
        <w:rPr>
          <w:rFonts w:eastAsiaTheme="minorEastAsia"/>
          <w:bCs w:val="0"/>
          <w:iCs w:val="0"/>
          <w:spacing w:val="0"/>
          <w:sz w:val="18"/>
          <w:szCs w:val="18"/>
          <w:lang w:val="en-US" w:eastAsia="es-CR"/>
        </w:rPr>
      </w:pPr>
      <w:hyperlink w:anchor="_Toc430125425" w:history="1">
        <w:r w:rsidR="00265680" w:rsidRPr="008A1DB4">
          <w:rPr>
            <w:rStyle w:val="Hyperlink"/>
            <w:spacing w:val="-2"/>
            <w:sz w:val="18"/>
            <w:szCs w:val="18"/>
            <w:lang w:val="en-US"/>
          </w:rPr>
          <w:t xml:space="preserve">B.1) </w:t>
        </w:r>
        <w:r w:rsidR="001168D7" w:rsidRPr="008A1DB4">
          <w:rPr>
            <w:rStyle w:val="Hyperlink"/>
            <w:spacing w:val="-2"/>
            <w:sz w:val="18"/>
            <w:szCs w:val="18"/>
            <w:lang w:val="en-US"/>
          </w:rPr>
          <w:t>Restitution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_Toc430125425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93</w:t>
        </w:r>
        <w:r w:rsidR="00265680" w:rsidRPr="008A1DB4">
          <w:rPr>
            <w:webHidden/>
            <w:sz w:val="18"/>
            <w:szCs w:val="18"/>
            <w:lang w:val="en-US"/>
          </w:rPr>
          <w:fldChar w:fldCharType="end"/>
        </w:r>
      </w:hyperlink>
    </w:p>
    <w:p w14:paraId="0F477CDF" w14:textId="1A752811"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26" w:history="1">
        <w:r w:rsidR="00265680" w:rsidRPr="008A1DB4">
          <w:rPr>
            <w:rStyle w:val="Hyperlink"/>
            <w:noProof/>
            <w:spacing w:val="-2"/>
            <w:sz w:val="18"/>
            <w:szCs w:val="18"/>
            <w:lang w:val="en-US"/>
          </w:rPr>
          <w:t xml:space="preserve">B.1.a) </w:t>
        </w:r>
        <w:r w:rsidR="001168D7" w:rsidRPr="008A1DB4">
          <w:rPr>
            <w:rStyle w:val="Hyperlink"/>
            <w:noProof/>
            <w:spacing w:val="-2"/>
            <w:sz w:val="18"/>
            <w:szCs w:val="18"/>
            <w:lang w:val="en-US"/>
          </w:rPr>
          <w:t>Extradition process</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_Toc430125426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93</w:t>
        </w:r>
        <w:r w:rsidR="00265680" w:rsidRPr="008A1DB4">
          <w:rPr>
            <w:noProof/>
            <w:webHidden/>
            <w:sz w:val="18"/>
            <w:szCs w:val="18"/>
            <w:lang w:val="en-US"/>
          </w:rPr>
          <w:fldChar w:fldCharType="end"/>
        </w:r>
      </w:hyperlink>
    </w:p>
    <w:p w14:paraId="448E2791" w14:textId="173CBC70"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27" w:history="1">
        <w:r w:rsidR="00265680" w:rsidRPr="008A1DB4">
          <w:rPr>
            <w:rStyle w:val="Hyperlink"/>
            <w:noProof/>
            <w:spacing w:val="-2"/>
            <w:sz w:val="18"/>
            <w:szCs w:val="18"/>
            <w:lang w:val="en-US"/>
          </w:rPr>
          <w:t xml:space="preserve">B.1.b) </w:t>
        </w:r>
        <w:r w:rsidR="001168D7" w:rsidRPr="008A1DB4">
          <w:rPr>
            <w:rStyle w:val="Hyperlink"/>
            <w:noProof/>
            <w:spacing w:val="-2"/>
            <w:sz w:val="18"/>
            <w:szCs w:val="18"/>
            <w:lang w:val="en-US"/>
          </w:rPr>
          <w:t>Review of the</w:t>
        </w:r>
        <w:r w:rsidR="004257EF" w:rsidRPr="008A1DB4">
          <w:rPr>
            <w:rStyle w:val="Hyperlink"/>
            <w:noProof/>
            <w:spacing w:val="-2"/>
            <w:sz w:val="18"/>
            <w:szCs w:val="18"/>
            <w:lang w:val="en-US"/>
          </w:rPr>
          <w:t xml:space="preserve"> provisional arrest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_Toc430125427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93</w:t>
        </w:r>
        <w:r w:rsidR="00265680" w:rsidRPr="008A1DB4">
          <w:rPr>
            <w:noProof/>
            <w:webHidden/>
            <w:sz w:val="18"/>
            <w:szCs w:val="18"/>
            <w:lang w:val="en-US"/>
          </w:rPr>
          <w:fldChar w:fldCharType="end"/>
        </w:r>
      </w:hyperlink>
    </w:p>
    <w:p w14:paraId="1C90B421" w14:textId="488EC2AA" w:rsidR="00265680" w:rsidRPr="008A1DB4" w:rsidRDefault="00397BB4" w:rsidP="00265680">
      <w:pPr>
        <w:pStyle w:val="TOC2"/>
        <w:rPr>
          <w:rFonts w:eastAsiaTheme="minorEastAsia"/>
          <w:bCs w:val="0"/>
          <w:iCs w:val="0"/>
          <w:spacing w:val="0"/>
          <w:sz w:val="18"/>
          <w:szCs w:val="18"/>
          <w:lang w:val="en-US" w:eastAsia="es-CR"/>
        </w:rPr>
      </w:pPr>
      <w:hyperlink w:anchor="_Toc430125428" w:history="1">
        <w:r w:rsidR="00265680" w:rsidRPr="008A1DB4">
          <w:rPr>
            <w:rStyle w:val="Hyperlink"/>
            <w:spacing w:val="-2"/>
            <w:sz w:val="18"/>
            <w:szCs w:val="18"/>
            <w:lang w:val="en-US"/>
          </w:rPr>
          <w:t xml:space="preserve">B.2)  </w:t>
        </w:r>
        <w:r w:rsidR="001168D7" w:rsidRPr="008A1DB4">
          <w:rPr>
            <w:rStyle w:val="Hyperlink"/>
            <w:spacing w:val="-2"/>
            <w:sz w:val="18"/>
            <w:szCs w:val="18"/>
            <w:lang w:val="en-US"/>
          </w:rPr>
          <w:t>Satisfaction</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_Toc430125428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94</w:t>
        </w:r>
        <w:r w:rsidR="00265680" w:rsidRPr="008A1DB4">
          <w:rPr>
            <w:webHidden/>
            <w:sz w:val="18"/>
            <w:szCs w:val="18"/>
            <w:lang w:val="en-US"/>
          </w:rPr>
          <w:fldChar w:fldCharType="end"/>
        </w:r>
      </w:hyperlink>
    </w:p>
    <w:p w14:paraId="765B1048" w14:textId="5A6C5684" w:rsidR="00265680" w:rsidRPr="008A1DB4" w:rsidRDefault="00397BB4" w:rsidP="00265680">
      <w:pPr>
        <w:pStyle w:val="TOC3"/>
        <w:tabs>
          <w:tab w:val="right" w:leader="dot" w:pos="9848"/>
        </w:tabs>
        <w:spacing w:before="60" w:after="60"/>
        <w:rPr>
          <w:rFonts w:eastAsiaTheme="minorEastAsia"/>
          <w:noProof/>
          <w:sz w:val="18"/>
          <w:szCs w:val="18"/>
          <w:lang w:val="en-US" w:eastAsia="es-CR"/>
        </w:rPr>
      </w:pPr>
      <w:hyperlink w:anchor="_Toc430125429" w:history="1">
        <w:r w:rsidR="00265680" w:rsidRPr="008A1DB4">
          <w:rPr>
            <w:rStyle w:val="Hyperlink"/>
            <w:noProof/>
            <w:spacing w:val="-2"/>
            <w:sz w:val="18"/>
            <w:szCs w:val="18"/>
            <w:lang w:val="en-US" w:bidi="en-US"/>
          </w:rPr>
          <w:t xml:space="preserve">B.2.a) </w:t>
        </w:r>
        <w:r w:rsidR="001168D7" w:rsidRPr="008A1DB4">
          <w:rPr>
            <w:rStyle w:val="Hyperlink"/>
            <w:noProof/>
            <w:spacing w:val="-2"/>
            <w:sz w:val="18"/>
            <w:szCs w:val="18"/>
            <w:lang w:val="en-US" w:bidi="en-US"/>
          </w:rPr>
          <w:t>Publication and dissemination of the Judgment</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_Toc430125429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94</w:t>
        </w:r>
        <w:r w:rsidR="00265680" w:rsidRPr="008A1DB4">
          <w:rPr>
            <w:noProof/>
            <w:webHidden/>
            <w:sz w:val="18"/>
            <w:szCs w:val="18"/>
            <w:lang w:val="en-US"/>
          </w:rPr>
          <w:fldChar w:fldCharType="end"/>
        </w:r>
      </w:hyperlink>
    </w:p>
    <w:p w14:paraId="1E8C8023" w14:textId="001658C2" w:rsidR="00265680" w:rsidRPr="008A1DB4" w:rsidRDefault="00397BB4" w:rsidP="00265680">
      <w:pPr>
        <w:pStyle w:val="TOC2"/>
        <w:rPr>
          <w:rFonts w:eastAsiaTheme="minorEastAsia"/>
          <w:bCs w:val="0"/>
          <w:iCs w:val="0"/>
          <w:spacing w:val="0"/>
          <w:sz w:val="18"/>
          <w:szCs w:val="18"/>
          <w:lang w:val="en-US" w:eastAsia="es-CR"/>
        </w:rPr>
      </w:pPr>
      <w:hyperlink w:anchor="_Toc430125430" w:history="1">
        <w:r w:rsidR="00265680" w:rsidRPr="008A1DB4">
          <w:rPr>
            <w:rStyle w:val="Hyperlink"/>
            <w:spacing w:val="-2"/>
            <w:sz w:val="18"/>
            <w:szCs w:val="18"/>
            <w:lang w:val="en-US" w:bidi="en-US"/>
          </w:rPr>
          <w:t xml:space="preserve">B.3) </w:t>
        </w:r>
        <w:r w:rsidR="001168D7" w:rsidRPr="008A1DB4">
          <w:rPr>
            <w:rStyle w:val="Hyperlink"/>
            <w:spacing w:val="-2"/>
            <w:sz w:val="18"/>
            <w:szCs w:val="18"/>
            <w:lang w:val="en-US" w:bidi="en-US"/>
          </w:rPr>
          <w:t>Other measures requested</w:t>
        </w:r>
        <w:r w:rsidR="00265680" w:rsidRPr="008A1DB4">
          <w:rPr>
            <w:webHidden/>
            <w:sz w:val="18"/>
            <w:szCs w:val="18"/>
            <w:lang w:val="en-US"/>
          </w:rPr>
          <w:tab/>
        </w:r>
        <w:r w:rsidR="00265680" w:rsidRPr="008A1DB4">
          <w:rPr>
            <w:webHidden/>
            <w:sz w:val="18"/>
            <w:szCs w:val="18"/>
            <w:lang w:val="en-US"/>
          </w:rPr>
          <w:fldChar w:fldCharType="begin"/>
        </w:r>
        <w:r w:rsidR="00265680" w:rsidRPr="008A1DB4">
          <w:rPr>
            <w:webHidden/>
            <w:sz w:val="18"/>
            <w:szCs w:val="18"/>
            <w:lang w:val="en-US"/>
          </w:rPr>
          <w:instrText xml:space="preserve"> PAGEREF _Toc430125430 \h </w:instrText>
        </w:r>
        <w:r w:rsidR="00265680" w:rsidRPr="008A1DB4">
          <w:rPr>
            <w:webHidden/>
            <w:sz w:val="18"/>
            <w:szCs w:val="18"/>
            <w:lang w:val="en-US"/>
          </w:rPr>
        </w:r>
        <w:r w:rsidR="00265680" w:rsidRPr="008A1DB4">
          <w:rPr>
            <w:webHidden/>
            <w:sz w:val="18"/>
            <w:szCs w:val="18"/>
            <w:lang w:val="en-US"/>
          </w:rPr>
          <w:fldChar w:fldCharType="separate"/>
        </w:r>
        <w:r w:rsidR="00F31F43">
          <w:rPr>
            <w:webHidden/>
            <w:sz w:val="18"/>
            <w:szCs w:val="18"/>
            <w:lang w:val="en-US"/>
          </w:rPr>
          <w:t>94</w:t>
        </w:r>
        <w:r w:rsidR="00265680" w:rsidRPr="008A1DB4">
          <w:rPr>
            <w:webHidden/>
            <w:sz w:val="18"/>
            <w:szCs w:val="18"/>
            <w:lang w:val="en-US"/>
          </w:rPr>
          <w:fldChar w:fldCharType="end"/>
        </w:r>
      </w:hyperlink>
    </w:p>
    <w:p w14:paraId="0F1C7A70" w14:textId="1A02FBB3" w:rsidR="00265680" w:rsidRPr="008A1DB4" w:rsidRDefault="00397BB4" w:rsidP="00265680">
      <w:pPr>
        <w:pStyle w:val="TOC1"/>
        <w:rPr>
          <w:rFonts w:eastAsiaTheme="minorEastAsia"/>
          <w:noProof/>
          <w:sz w:val="18"/>
          <w:szCs w:val="18"/>
          <w:lang w:val="en-US" w:eastAsia="es-CR"/>
        </w:rPr>
      </w:pPr>
      <w:hyperlink w:anchor="_Toc430125431" w:history="1">
        <w:r w:rsidR="00265680" w:rsidRPr="008A1DB4">
          <w:rPr>
            <w:rStyle w:val="Hyperlink"/>
            <w:noProof/>
            <w:spacing w:val="-2"/>
            <w:sz w:val="18"/>
            <w:szCs w:val="18"/>
            <w:lang w:val="en-US"/>
          </w:rPr>
          <w:t xml:space="preserve">C. </w:t>
        </w:r>
        <w:r w:rsidR="001168D7" w:rsidRPr="008A1DB4">
          <w:rPr>
            <w:rStyle w:val="Hyperlink"/>
            <w:noProof/>
            <w:spacing w:val="-2"/>
            <w:sz w:val="18"/>
            <w:szCs w:val="18"/>
            <w:lang w:val="en-US"/>
          </w:rPr>
          <w:t>Compensation</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_Toc430125431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94</w:t>
        </w:r>
        <w:r w:rsidR="00265680" w:rsidRPr="008A1DB4">
          <w:rPr>
            <w:noProof/>
            <w:webHidden/>
            <w:sz w:val="18"/>
            <w:szCs w:val="18"/>
            <w:lang w:val="en-US"/>
          </w:rPr>
          <w:fldChar w:fldCharType="end"/>
        </w:r>
      </w:hyperlink>
    </w:p>
    <w:p w14:paraId="5291C53F" w14:textId="3E36C478" w:rsidR="00265680" w:rsidRPr="008A1DB4" w:rsidRDefault="00397BB4" w:rsidP="00265680">
      <w:pPr>
        <w:pStyle w:val="TOC1"/>
        <w:rPr>
          <w:rFonts w:eastAsiaTheme="minorEastAsia"/>
          <w:noProof/>
          <w:sz w:val="18"/>
          <w:szCs w:val="18"/>
          <w:lang w:val="en-US" w:eastAsia="es-CR"/>
        </w:rPr>
      </w:pPr>
      <w:hyperlink w:anchor="_Toc430125432" w:history="1">
        <w:r w:rsidR="00265680" w:rsidRPr="008A1DB4">
          <w:rPr>
            <w:rStyle w:val="Hyperlink"/>
            <w:noProof/>
            <w:spacing w:val="-2"/>
            <w:sz w:val="18"/>
            <w:szCs w:val="18"/>
            <w:lang w:val="en-US"/>
          </w:rPr>
          <w:t xml:space="preserve">D. </w:t>
        </w:r>
        <w:r w:rsidR="0027284C" w:rsidRPr="008A1DB4">
          <w:rPr>
            <w:rStyle w:val="Hyperlink"/>
            <w:noProof/>
            <w:spacing w:val="-2"/>
            <w:sz w:val="18"/>
            <w:szCs w:val="18"/>
            <w:lang w:val="en-US"/>
          </w:rPr>
          <w:t>Costs and expenses</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_Toc430125432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96</w:t>
        </w:r>
        <w:r w:rsidR="00265680" w:rsidRPr="008A1DB4">
          <w:rPr>
            <w:noProof/>
            <w:webHidden/>
            <w:sz w:val="18"/>
            <w:szCs w:val="18"/>
            <w:lang w:val="en-US"/>
          </w:rPr>
          <w:fldChar w:fldCharType="end"/>
        </w:r>
      </w:hyperlink>
    </w:p>
    <w:p w14:paraId="3D48E252" w14:textId="256B1C69" w:rsidR="00265680" w:rsidRPr="008A1DB4" w:rsidRDefault="00397BB4" w:rsidP="00265680">
      <w:pPr>
        <w:pStyle w:val="TOC1"/>
        <w:rPr>
          <w:rFonts w:eastAsiaTheme="minorEastAsia"/>
          <w:noProof/>
          <w:sz w:val="18"/>
          <w:szCs w:val="18"/>
          <w:lang w:val="en-US" w:eastAsia="es-CR"/>
        </w:rPr>
      </w:pPr>
      <w:hyperlink w:anchor="_Toc430125433" w:history="1">
        <w:r w:rsidR="00265680" w:rsidRPr="008A1DB4">
          <w:rPr>
            <w:rStyle w:val="Hyperlink"/>
            <w:noProof/>
            <w:spacing w:val="-2"/>
            <w:sz w:val="18"/>
            <w:szCs w:val="18"/>
            <w:lang w:val="en-US"/>
          </w:rPr>
          <w:t xml:space="preserve">E. </w:t>
        </w:r>
        <w:r w:rsidR="00406E3B" w:rsidRPr="008A1DB4">
          <w:rPr>
            <w:rStyle w:val="Hyperlink"/>
            <w:noProof/>
            <w:spacing w:val="-2"/>
            <w:sz w:val="18"/>
            <w:szCs w:val="18"/>
            <w:lang w:val="en-US"/>
          </w:rPr>
          <w:t>Method of complying with the payments ordered</w:t>
        </w:r>
        <w:r w:rsidR="00265680" w:rsidRPr="008A1DB4">
          <w:rPr>
            <w:noProof/>
            <w:webHidden/>
            <w:sz w:val="18"/>
            <w:szCs w:val="18"/>
            <w:lang w:val="en-US"/>
          </w:rPr>
          <w:tab/>
        </w:r>
        <w:r w:rsidR="00265680" w:rsidRPr="008A1DB4">
          <w:rPr>
            <w:noProof/>
            <w:webHidden/>
            <w:sz w:val="18"/>
            <w:szCs w:val="18"/>
            <w:lang w:val="en-US"/>
          </w:rPr>
          <w:fldChar w:fldCharType="begin"/>
        </w:r>
        <w:r w:rsidR="00265680" w:rsidRPr="008A1DB4">
          <w:rPr>
            <w:noProof/>
            <w:webHidden/>
            <w:sz w:val="18"/>
            <w:szCs w:val="18"/>
            <w:lang w:val="en-US"/>
          </w:rPr>
          <w:instrText xml:space="preserve"> PAGEREF _Toc430125433 \h </w:instrText>
        </w:r>
        <w:r w:rsidR="00265680" w:rsidRPr="008A1DB4">
          <w:rPr>
            <w:noProof/>
            <w:webHidden/>
            <w:sz w:val="18"/>
            <w:szCs w:val="18"/>
            <w:lang w:val="en-US"/>
          </w:rPr>
        </w:r>
        <w:r w:rsidR="00265680" w:rsidRPr="008A1DB4">
          <w:rPr>
            <w:noProof/>
            <w:webHidden/>
            <w:sz w:val="18"/>
            <w:szCs w:val="18"/>
            <w:lang w:val="en-US"/>
          </w:rPr>
          <w:fldChar w:fldCharType="separate"/>
        </w:r>
        <w:r w:rsidR="00F31F43">
          <w:rPr>
            <w:noProof/>
            <w:webHidden/>
            <w:sz w:val="18"/>
            <w:szCs w:val="18"/>
            <w:lang w:val="en-US"/>
          </w:rPr>
          <w:t>98</w:t>
        </w:r>
        <w:r w:rsidR="00265680" w:rsidRPr="008A1DB4">
          <w:rPr>
            <w:noProof/>
            <w:webHidden/>
            <w:sz w:val="18"/>
            <w:szCs w:val="18"/>
            <w:lang w:val="en-US"/>
          </w:rPr>
          <w:fldChar w:fldCharType="end"/>
        </w:r>
      </w:hyperlink>
    </w:p>
    <w:p w14:paraId="640E8CB5" w14:textId="29BA7E5E" w:rsidR="00C5352C" w:rsidRPr="008A1DB4" w:rsidRDefault="00397BB4" w:rsidP="00C6417B">
      <w:pPr>
        <w:pStyle w:val="TOC1"/>
        <w:rPr>
          <w:rFonts w:eastAsiaTheme="minorEastAsia"/>
          <w:b/>
          <w:noProof/>
          <w:sz w:val="18"/>
          <w:szCs w:val="18"/>
          <w:lang w:val="en-US" w:eastAsia="es-CR"/>
        </w:rPr>
      </w:pPr>
      <w:hyperlink w:anchor="_Toc430125434" w:history="1">
        <w:r w:rsidR="00265680" w:rsidRPr="008A1DB4">
          <w:rPr>
            <w:rStyle w:val="Hyperlink"/>
            <w:b/>
            <w:noProof/>
            <w:spacing w:val="-2"/>
            <w:sz w:val="18"/>
            <w:szCs w:val="18"/>
            <w:lang w:val="en-US"/>
          </w:rPr>
          <w:t>XIII.</w:t>
        </w:r>
        <w:r w:rsidR="00265680" w:rsidRPr="008A1DB4">
          <w:rPr>
            <w:b/>
            <w:noProof/>
            <w:lang w:val="en-US"/>
          </w:rPr>
          <w:t xml:space="preserve"> </w:t>
        </w:r>
        <w:r w:rsidR="00B43F84" w:rsidRPr="008A1DB4">
          <w:rPr>
            <w:rStyle w:val="Hyperlink"/>
            <w:b/>
            <w:noProof/>
            <w:spacing w:val="-2"/>
            <w:sz w:val="18"/>
            <w:szCs w:val="18"/>
            <w:lang w:val="en-US"/>
          </w:rPr>
          <w:t>OPERATIVE PARAGRAPHS</w:t>
        </w:r>
        <w:r w:rsidR="00265680" w:rsidRPr="008A1DB4">
          <w:rPr>
            <w:b/>
            <w:noProof/>
            <w:webHidden/>
            <w:sz w:val="18"/>
            <w:szCs w:val="18"/>
            <w:lang w:val="en-US"/>
          </w:rPr>
          <w:tab/>
        </w:r>
        <w:r w:rsidR="00265680" w:rsidRPr="008A1DB4">
          <w:rPr>
            <w:b/>
            <w:noProof/>
            <w:webHidden/>
            <w:sz w:val="18"/>
            <w:szCs w:val="18"/>
            <w:lang w:val="en-US"/>
          </w:rPr>
          <w:fldChar w:fldCharType="begin"/>
        </w:r>
        <w:r w:rsidR="00265680" w:rsidRPr="008A1DB4">
          <w:rPr>
            <w:b/>
            <w:noProof/>
            <w:webHidden/>
            <w:sz w:val="18"/>
            <w:szCs w:val="18"/>
            <w:lang w:val="en-US"/>
          </w:rPr>
          <w:instrText xml:space="preserve"> PAGEREF _Toc430125434 \h </w:instrText>
        </w:r>
        <w:r w:rsidR="00265680" w:rsidRPr="008A1DB4">
          <w:rPr>
            <w:b/>
            <w:noProof/>
            <w:webHidden/>
            <w:sz w:val="18"/>
            <w:szCs w:val="18"/>
            <w:lang w:val="en-US"/>
          </w:rPr>
        </w:r>
        <w:r w:rsidR="00265680" w:rsidRPr="008A1DB4">
          <w:rPr>
            <w:b/>
            <w:noProof/>
            <w:webHidden/>
            <w:sz w:val="18"/>
            <w:szCs w:val="18"/>
            <w:lang w:val="en-US"/>
          </w:rPr>
          <w:fldChar w:fldCharType="separate"/>
        </w:r>
        <w:r w:rsidR="00F31F43">
          <w:rPr>
            <w:b/>
            <w:noProof/>
            <w:webHidden/>
            <w:sz w:val="18"/>
            <w:szCs w:val="18"/>
            <w:lang w:val="en-US"/>
          </w:rPr>
          <w:t>98</w:t>
        </w:r>
        <w:r w:rsidR="00265680" w:rsidRPr="008A1DB4">
          <w:rPr>
            <w:b/>
            <w:noProof/>
            <w:webHidden/>
            <w:sz w:val="18"/>
            <w:szCs w:val="18"/>
            <w:lang w:val="en-US"/>
          </w:rPr>
          <w:fldChar w:fldCharType="end"/>
        </w:r>
      </w:hyperlink>
      <w:r w:rsidR="00265680" w:rsidRPr="008A1DB4">
        <w:rPr>
          <w:b/>
          <w:spacing w:val="-2"/>
          <w:sz w:val="18"/>
          <w:szCs w:val="18"/>
          <w:lang w:val="en-US"/>
        </w:rPr>
        <w:fldChar w:fldCharType="end"/>
      </w:r>
      <w:r w:rsidR="00C5352C" w:rsidRPr="008A1DB4">
        <w:rPr>
          <w:b/>
          <w:spacing w:val="-2"/>
          <w:sz w:val="18"/>
          <w:szCs w:val="18"/>
          <w:lang w:val="en-US"/>
        </w:rPr>
        <w:br w:type="page"/>
      </w:r>
    </w:p>
    <w:p w14:paraId="3873D7D3" w14:textId="008AB356" w:rsidR="009D230F" w:rsidRPr="008A1DB4" w:rsidRDefault="009D230F" w:rsidP="00956E97">
      <w:pPr>
        <w:pStyle w:val="Title"/>
        <w:rPr>
          <w:spacing w:val="-2"/>
          <w:lang w:val="en-US"/>
        </w:rPr>
      </w:pPr>
      <w:bookmarkStart w:id="159" w:name="_Toc430017351"/>
      <w:bookmarkStart w:id="160" w:name="_Toc430018633"/>
      <w:bookmarkStart w:id="161" w:name="_Toc430125231"/>
      <w:bookmarkStart w:id="162" w:name="_Toc430125339"/>
      <w:r w:rsidRPr="008A1DB4">
        <w:rPr>
          <w:spacing w:val="-2"/>
          <w:lang w:val="en-US"/>
        </w:rPr>
        <w:lastRenderedPageBreak/>
        <w:t>I</w:t>
      </w:r>
      <w:bookmarkEnd w:id="124"/>
      <w:bookmarkEnd w:id="125"/>
      <w:bookmarkEnd w:id="126"/>
      <w:bookmarkEnd w:id="151"/>
      <w:bookmarkEnd w:id="152"/>
      <w:bookmarkEnd w:id="153"/>
      <w:bookmarkEnd w:id="154"/>
      <w:bookmarkEnd w:id="155"/>
      <w:bookmarkEnd w:id="156"/>
      <w:bookmarkEnd w:id="157"/>
      <w:bookmarkEnd w:id="158"/>
      <w:bookmarkEnd w:id="159"/>
      <w:bookmarkEnd w:id="160"/>
      <w:bookmarkEnd w:id="161"/>
      <w:bookmarkEnd w:id="162"/>
    </w:p>
    <w:p w14:paraId="4F2B8448" w14:textId="241EF8DE" w:rsidR="009D230F" w:rsidRPr="008A1DB4" w:rsidRDefault="00F36400" w:rsidP="00956E97">
      <w:pPr>
        <w:pStyle w:val="Title"/>
        <w:rPr>
          <w:spacing w:val="-2"/>
          <w:lang w:val="en-US"/>
        </w:rPr>
      </w:pPr>
      <w:r w:rsidRPr="008A1DB4">
        <w:rPr>
          <w:spacing w:val="-2"/>
          <w:lang w:val="en-US"/>
        </w:rPr>
        <w:t>INTRODUCTION OF THE CASE AND PURPOSE OF THE DISPUTE</w:t>
      </w:r>
    </w:p>
    <w:p w14:paraId="537E94B3" w14:textId="77777777" w:rsidR="0072278D" w:rsidRPr="008A1DB4" w:rsidRDefault="0072278D" w:rsidP="00956E97">
      <w:pPr>
        <w:rPr>
          <w:spacing w:val="-2"/>
          <w:lang w:val="en-US"/>
        </w:rPr>
      </w:pPr>
    </w:p>
    <w:p w14:paraId="104286FE" w14:textId="01AF0E2F" w:rsidR="00F36400" w:rsidRPr="008A1DB4" w:rsidRDefault="00F36400" w:rsidP="00956E97">
      <w:pPr>
        <w:pStyle w:val="ListParagraph"/>
        <w:numPr>
          <w:ilvl w:val="0"/>
          <w:numId w:val="2"/>
        </w:numPr>
        <w:tabs>
          <w:tab w:val="left" w:pos="426"/>
        </w:tabs>
        <w:rPr>
          <w:b/>
          <w:bCs/>
          <w:spacing w:val="-2"/>
          <w:lang w:val="en-US" w:eastAsia="es-CR"/>
        </w:rPr>
      </w:pPr>
      <w:bookmarkStart w:id="163" w:name="_Ref374884888"/>
      <w:bookmarkEnd w:id="127"/>
      <w:bookmarkEnd w:id="128"/>
      <w:bookmarkEnd w:id="129"/>
      <w:r w:rsidRPr="008A1DB4">
        <w:rPr>
          <w:i/>
          <w:iCs/>
          <w:spacing w:val="-2"/>
          <w:lang w:val="en-US" w:eastAsia="es-CR"/>
        </w:rPr>
        <w:t>The case submitted to</w:t>
      </w:r>
      <w:r w:rsidR="009D230F" w:rsidRPr="008A1DB4">
        <w:rPr>
          <w:i/>
          <w:iCs/>
          <w:spacing w:val="-2"/>
          <w:lang w:val="en-US" w:eastAsia="es-CR"/>
        </w:rPr>
        <w:t xml:space="preserve"> </w:t>
      </w:r>
      <w:r w:rsidRPr="008A1DB4">
        <w:rPr>
          <w:i/>
          <w:iCs/>
          <w:spacing w:val="-2"/>
          <w:lang w:val="en-US" w:eastAsia="es-CR"/>
        </w:rPr>
        <w:t>the Court</w:t>
      </w:r>
      <w:r w:rsidR="009D230F" w:rsidRPr="008A1DB4">
        <w:rPr>
          <w:i/>
          <w:iCs/>
          <w:spacing w:val="-2"/>
          <w:lang w:val="en-US" w:eastAsia="es-CR"/>
        </w:rPr>
        <w:t>.</w:t>
      </w:r>
      <w:r w:rsidRPr="008A1DB4">
        <w:rPr>
          <w:spacing w:val="-2"/>
          <w:lang w:val="en-US" w:eastAsia="es-CR"/>
        </w:rPr>
        <w:t xml:space="preserve"> On October 30, </w:t>
      </w:r>
      <w:r w:rsidR="000264E1" w:rsidRPr="008A1DB4">
        <w:rPr>
          <w:spacing w:val="-2"/>
          <w:lang w:val="en-US" w:eastAsia="es-CR"/>
        </w:rPr>
        <w:t>2013</w:t>
      </w:r>
      <w:r w:rsidR="009D230F" w:rsidRPr="008A1DB4">
        <w:rPr>
          <w:spacing w:val="-2"/>
          <w:lang w:val="en-US" w:eastAsia="es-CR"/>
        </w:rPr>
        <w:t xml:space="preserve">, </w:t>
      </w:r>
      <w:r w:rsidR="009D46BC">
        <w:rPr>
          <w:spacing w:val="-2"/>
          <w:lang w:val="en-US" w:eastAsia="es-CR"/>
        </w:rPr>
        <w:t xml:space="preserve">in accordance with </w:t>
      </w:r>
      <w:r w:rsidRPr="008A1DB4">
        <w:rPr>
          <w:spacing w:val="-2"/>
          <w:lang w:val="en-US" w:eastAsia="es-CR"/>
        </w:rPr>
        <w:t>the provisions of Article</w:t>
      </w:r>
      <w:r w:rsidR="009D230F" w:rsidRPr="008A1DB4">
        <w:rPr>
          <w:spacing w:val="-2"/>
          <w:lang w:val="en-US" w:eastAsia="es-CR"/>
        </w:rPr>
        <w:t>s 51</w:t>
      </w:r>
      <w:r w:rsidRPr="008A1DB4">
        <w:rPr>
          <w:spacing w:val="-2"/>
          <w:lang w:val="en-US" w:eastAsia="es-CR"/>
        </w:rPr>
        <w:t xml:space="preserve"> and </w:t>
      </w:r>
      <w:r w:rsidR="009D230F" w:rsidRPr="008A1DB4">
        <w:rPr>
          <w:spacing w:val="-2"/>
          <w:lang w:val="en-US" w:eastAsia="es-CR"/>
        </w:rPr>
        <w:t>61</w:t>
      </w:r>
      <w:r w:rsidRPr="008A1DB4">
        <w:rPr>
          <w:spacing w:val="-2"/>
          <w:lang w:val="en-US" w:eastAsia="es-CR"/>
        </w:rPr>
        <w:t xml:space="preserve"> of the American Convention and Article</w:t>
      </w:r>
      <w:r w:rsidR="009D230F" w:rsidRPr="008A1DB4">
        <w:rPr>
          <w:spacing w:val="-2"/>
          <w:lang w:val="en-US" w:eastAsia="es-CR"/>
        </w:rPr>
        <w:t xml:space="preserve"> 35 </w:t>
      </w:r>
      <w:r w:rsidRPr="008A1DB4">
        <w:rPr>
          <w:spacing w:val="-2"/>
          <w:lang w:val="en-US" w:eastAsia="es-CR"/>
        </w:rPr>
        <w:t>of the Court’s Rules of Procedure</w:t>
      </w:r>
      <w:r w:rsidR="009D230F" w:rsidRPr="008A1DB4">
        <w:rPr>
          <w:spacing w:val="-2"/>
          <w:lang w:val="en-US" w:eastAsia="es-CR"/>
        </w:rPr>
        <w:t xml:space="preserve">, </w:t>
      </w:r>
      <w:r w:rsidRPr="008A1DB4">
        <w:rPr>
          <w:spacing w:val="-2"/>
          <w:lang w:val="en-US" w:eastAsia="es-CR"/>
        </w:rPr>
        <w:t>the Inter-American Commission on Human Rights</w:t>
      </w:r>
      <w:r w:rsidR="009D230F" w:rsidRPr="008A1DB4">
        <w:rPr>
          <w:spacing w:val="-2"/>
          <w:lang w:val="en-US" w:eastAsia="es-CR"/>
        </w:rPr>
        <w:t xml:space="preserve"> (</w:t>
      </w:r>
      <w:r w:rsidRPr="008A1DB4">
        <w:rPr>
          <w:spacing w:val="-2"/>
          <w:lang w:val="en-US" w:eastAsia="es-CR"/>
        </w:rPr>
        <w:t>hereinafter</w:t>
      </w:r>
      <w:r w:rsidR="009D230F" w:rsidRPr="008A1DB4">
        <w:rPr>
          <w:spacing w:val="-2"/>
          <w:lang w:val="en-US" w:eastAsia="es-CR"/>
        </w:rPr>
        <w:t xml:space="preserve"> “</w:t>
      </w:r>
      <w:r w:rsidRPr="008A1DB4">
        <w:rPr>
          <w:spacing w:val="-2"/>
          <w:lang w:val="en-US" w:eastAsia="es-CR"/>
        </w:rPr>
        <w:t>the Inter-American Commission</w:t>
      </w:r>
      <w:r w:rsidR="009D230F" w:rsidRPr="008A1DB4">
        <w:rPr>
          <w:spacing w:val="-2"/>
          <w:lang w:val="en-US" w:eastAsia="es-CR"/>
        </w:rPr>
        <w:t>” o</w:t>
      </w:r>
      <w:r w:rsidRPr="008A1DB4">
        <w:rPr>
          <w:spacing w:val="-2"/>
          <w:lang w:val="en-US" w:eastAsia="es-CR"/>
        </w:rPr>
        <w:t>r</w:t>
      </w:r>
      <w:r w:rsidR="009D230F" w:rsidRPr="008A1DB4">
        <w:rPr>
          <w:spacing w:val="-2"/>
          <w:lang w:val="en-US" w:eastAsia="es-CR"/>
        </w:rPr>
        <w:t xml:space="preserve"> “</w:t>
      </w:r>
      <w:r w:rsidRPr="008A1DB4">
        <w:rPr>
          <w:spacing w:val="-2"/>
          <w:lang w:val="en-US" w:eastAsia="es-CR"/>
        </w:rPr>
        <w:t>the Commission</w:t>
      </w:r>
      <w:r w:rsidR="009D230F" w:rsidRPr="008A1DB4">
        <w:rPr>
          <w:spacing w:val="-2"/>
          <w:lang w:val="en-US" w:eastAsia="es-CR"/>
        </w:rPr>
        <w:t xml:space="preserve">”) </w:t>
      </w:r>
      <w:r w:rsidRPr="008A1DB4">
        <w:rPr>
          <w:spacing w:val="-2"/>
          <w:lang w:val="en-US" w:eastAsia="es-CR"/>
        </w:rPr>
        <w:t>submitted the case of</w:t>
      </w:r>
      <w:r w:rsidR="009D230F" w:rsidRPr="008A1DB4">
        <w:rPr>
          <w:spacing w:val="-2"/>
          <w:lang w:val="en-US" w:eastAsia="es-CR"/>
        </w:rPr>
        <w:t xml:space="preserve"> </w:t>
      </w:r>
      <w:r w:rsidR="003066CA" w:rsidRPr="008A1DB4">
        <w:rPr>
          <w:i/>
          <w:spacing w:val="-2"/>
          <w:lang w:val="en-US" w:eastAsia="es-CR"/>
        </w:rPr>
        <w:t>Wong Ho Wing</w:t>
      </w:r>
      <w:r w:rsidR="009D230F" w:rsidRPr="008A1DB4">
        <w:rPr>
          <w:spacing w:val="-2"/>
          <w:lang w:val="en-US" w:eastAsia="es-CR"/>
        </w:rPr>
        <w:t xml:space="preserve"> </w:t>
      </w:r>
      <w:r w:rsidRPr="008A1DB4">
        <w:rPr>
          <w:i/>
          <w:iCs/>
          <w:spacing w:val="-2"/>
          <w:lang w:val="en-US" w:eastAsia="es-CR"/>
        </w:rPr>
        <w:t>against the Republic of Peru</w:t>
      </w:r>
      <w:r w:rsidR="009D230F" w:rsidRPr="008A1DB4">
        <w:rPr>
          <w:i/>
          <w:iCs/>
          <w:spacing w:val="-2"/>
          <w:lang w:val="en-US" w:eastAsia="es-CR"/>
        </w:rPr>
        <w:t xml:space="preserve"> </w:t>
      </w:r>
      <w:r w:rsidR="009D230F" w:rsidRPr="008A1DB4">
        <w:rPr>
          <w:spacing w:val="-2"/>
          <w:lang w:val="en-US" w:eastAsia="es-CR"/>
        </w:rPr>
        <w:t>(</w:t>
      </w:r>
      <w:r w:rsidRPr="008A1DB4">
        <w:rPr>
          <w:spacing w:val="-2"/>
          <w:lang w:val="en-US" w:eastAsia="es-CR"/>
        </w:rPr>
        <w:t>hereinafter</w:t>
      </w:r>
      <w:r w:rsidR="00AD2BC8" w:rsidRPr="008A1DB4">
        <w:rPr>
          <w:spacing w:val="-2"/>
          <w:lang w:val="en-US" w:eastAsia="es-CR"/>
        </w:rPr>
        <w:t xml:space="preserve"> “</w:t>
      </w:r>
      <w:r w:rsidRPr="008A1DB4">
        <w:rPr>
          <w:spacing w:val="-2"/>
          <w:lang w:val="en-US" w:eastAsia="es-CR"/>
        </w:rPr>
        <w:t>the State</w:t>
      </w:r>
      <w:r w:rsidR="00AD2BC8" w:rsidRPr="008A1DB4">
        <w:rPr>
          <w:spacing w:val="-2"/>
          <w:lang w:val="en-US" w:eastAsia="es-CR"/>
        </w:rPr>
        <w:t>” o</w:t>
      </w:r>
      <w:r w:rsidRPr="008A1DB4">
        <w:rPr>
          <w:spacing w:val="-2"/>
          <w:lang w:val="en-US" w:eastAsia="es-CR"/>
        </w:rPr>
        <w:t>r</w:t>
      </w:r>
      <w:r w:rsidR="00AD2BC8" w:rsidRPr="008A1DB4">
        <w:rPr>
          <w:spacing w:val="-2"/>
          <w:lang w:val="en-US" w:eastAsia="es-CR"/>
        </w:rPr>
        <w:t xml:space="preserve"> “</w:t>
      </w:r>
      <w:r w:rsidRPr="008A1DB4">
        <w:rPr>
          <w:spacing w:val="-2"/>
          <w:lang w:val="en-US" w:eastAsia="es-CR"/>
        </w:rPr>
        <w:t>Peru</w:t>
      </w:r>
      <w:r w:rsidR="009D230F" w:rsidRPr="008A1DB4">
        <w:rPr>
          <w:spacing w:val="-2"/>
          <w:lang w:val="en-US" w:eastAsia="es-CR"/>
        </w:rPr>
        <w:t>”)</w:t>
      </w:r>
      <w:r w:rsidR="009D46BC" w:rsidRPr="009D46BC">
        <w:rPr>
          <w:spacing w:val="-2"/>
          <w:lang w:val="en-US" w:eastAsia="es-CR"/>
        </w:rPr>
        <w:t xml:space="preserve"> </w:t>
      </w:r>
      <w:r w:rsidR="009D46BC" w:rsidRPr="008A1DB4">
        <w:rPr>
          <w:spacing w:val="-2"/>
          <w:lang w:val="en-US" w:eastAsia="es-CR"/>
        </w:rPr>
        <w:t>to the jurisdiction of the Inter-American Court</w:t>
      </w:r>
      <w:r w:rsidR="009D230F" w:rsidRPr="008A1DB4">
        <w:rPr>
          <w:i/>
          <w:iCs/>
          <w:spacing w:val="-2"/>
          <w:lang w:val="en-US" w:eastAsia="es-CR"/>
        </w:rPr>
        <w:t>.</w:t>
      </w:r>
      <w:r w:rsidR="009D230F" w:rsidRPr="008A1DB4">
        <w:rPr>
          <w:b/>
          <w:bCs/>
          <w:spacing w:val="-2"/>
          <w:lang w:val="en-US" w:eastAsia="es-CR"/>
        </w:rPr>
        <w:t xml:space="preserve"> </w:t>
      </w:r>
      <w:bookmarkStart w:id="164" w:name="_Ref379907334"/>
      <w:bookmarkEnd w:id="163"/>
      <w:r w:rsidRPr="008A1DB4">
        <w:rPr>
          <w:bCs/>
          <w:spacing w:val="-2"/>
          <w:lang w:val="en-US" w:eastAsia="es-CR"/>
        </w:rPr>
        <w:t>According to the Commission</w:t>
      </w:r>
      <w:r w:rsidR="00851B89" w:rsidRPr="008A1DB4">
        <w:rPr>
          <w:bCs/>
          <w:spacing w:val="-2"/>
          <w:lang w:val="en-US" w:eastAsia="es-CR"/>
        </w:rPr>
        <w:t xml:space="preserve">, </w:t>
      </w:r>
      <w:r w:rsidR="009D46BC">
        <w:rPr>
          <w:bCs/>
          <w:spacing w:val="-2"/>
          <w:lang w:val="en-US" w:eastAsia="es-CR"/>
        </w:rPr>
        <w:t>the facts of this case related</w:t>
      </w:r>
      <w:r w:rsidRPr="008A1DB4">
        <w:rPr>
          <w:bCs/>
          <w:spacing w:val="-2"/>
          <w:lang w:val="en-US" w:eastAsia="es-CR"/>
        </w:rPr>
        <w:t xml:space="preserve"> to a series of presumed violations of the rights of </w:t>
      </w:r>
      <w:r w:rsidR="00851B89" w:rsidRPr="008A1DB4">
        <w:rPr>
          <w:bCs/>
          <w:spacing w:val="-2"/>
          <w:lang w:val="en-US" w:eastAsia="es-CR"/>
        </w:rPr>
        <w:t xml:space="preserve">Wong Ho Wing, </w:t>
      </w:r>
      <w:r w:rsidRPr="008A1DB4">
        <w:rPr>
          <w:bCs/>
          <w:spacing w:val="-2"/>
          <w:lang w:val="en-US" w:eastAsia="es-CR"/>
        </w:rPr>
        <w:t>a national of the People’s Republic of China</w:t>
      </w:r>
      <w:r w:rsidR="009D46BC">
        <w:rPr>
          <w:bCs/>
          <w:spacing w:val="-2"/>
          <w:lang w:val="en-US" w:eastAsia="es-CR"/>
        </w:rPr>
        <w:t>,</w:t>
      </w:r>
      <w:r w:rsidRPr="008A1DB4">
        <w:rPr>
          <w:bCs/>
          <w:spacing w:val="-2"/>
          <w:lang w:val="en-US" w:eastAsia="es-CR"/>
        </w:rPr>
        <w:t xml:space="preserve"> from the time of his detention on October 27, </w:t>
      </w:r>
      <w:r w:rsidR="00851B89" w:rsidRPr="008A1DB4">
        <w:rPr>
          <w:bCs/>
          <w:spacing w:val="-2"/>
          <w:lang w:val="en-US" w:eastAsia="es-CR"/>
        </w:rPr>
        <w:t>2008</w:t>
      </w:r>
      <w:r w:rsidRPr="008A1DB4">
        <w:rPr>
          <w:bCs/>
          <w:spacing w:val="-2"/>
          <w:lang w:val="en-US" w:eastAsia="es-CR"/>
        </w:rPr>
        <w:t>, and throughout the extradition process that continues to date. According to</w:t>
      </w:r>
      <w:r w:rsidR="00851B89" w:rsidRPr="008A1DB4">
        <w:rPr>
          <w:bCs/>
          <w:spacing w:val="-2"/>
          <w:lang w:val="en-US" w:eastAsia="es-CR"/>
        </w:rPr>
        <w:t xml:space="preserve"> </w:t>
      </w:r>
      <w:r w:rsidRPr="008A1DB4">
        <w:rPr>
          <w:bCs/>
          <w:spacing w:val="-2"/>
          <w:lang w:val="en-US" w:eastAsia="es-CR"/>
        </w:rPr>
        <w:t>the Commission</w:t>
      </w:r>
      <w:r w:rsidR="00851B89" w:rsidRPr="008A1DB4">
        <w:rPr>
          <w:bCs/>
          <w:spacing w:val="-2"/>
          <w:lang w:val="en-US" w:eastAsia="es-CR"/>
        </w:rPr>
        <w:t>, Wong Ho Wing ha</w:t>
      </w:r>
      <w:r w:rsidRPr="008A1DB4">
        <w:rPr>
          <w:bCs/>
          <w:spacing w:val="-2"/>
          <w:lang w:val="en-US" w:eastAsia="es-CR"/>
        </w:rPr>
        <w:t>s been and continues to be subjected to an alleged arbitrary and excessive deprivation of liberty that is not justified by procedural requirements. The Commission also concluded that, at different stages of the extradition proceedings, the domestic authorities had presumably been responsible for a series of omissions and irregularities in the processing of the case, which constituted, in addition to presumed violations of several aspects of due process, alleged non-compliance with the obligation to ensure the right to life and to humane treatment of Wong Ho Wing. In addition, it concluded that, since May 24, 2011, the date on which the Peruvian Constitutional Court ordered the Executive Branch to refrain from extraditing Wong Ho Wing, the State authorities had allegedly failed to comply with a court ruling, which was incompatible with the right to judicial protection.</w:t>
      </w:r>
    </w:p>
    <w:p w14:paraId="4897F3E6" w14:textId="77777777" w:rsidR="0012342F" w:rsidRPr="008A1DB4" w:rsidRDefault="0012342F" w:rsidP="00956E97">
      <w:pPr>
        <w:pStyle w:val="ListParagraph"/>
        <w:tabs>
          <w:tab w:val="left" w:pos="426"/>
        </w:tabs>
        <w:ind w:left="0"/>
        <w:rPr>
          <w:b/>
          <w:bCs/>
          <w:spacing w:val="-2"/>
          <w:lang w:val="en-US" w:eastAsia="es-CR"/>
        </w:rPr>
      </w:pPr>
    </w:p>
    <w:p w14:paraId="0874A2AA" w14:textId="32F3773A" w:rsidR="00EC38D9" w:rsidRPr="008A1DB4" w:rsidRDefault="00F36400" w:rsidP="00956E97">
      <w:pPr>
        <w:pStyle w:val="ListParagraph"/>
        <w:numPr>
          <w:ilvl w:val="0"/>
          <w:numId w:val="2"/>
        </w:numPr>
        <w:tabs>
          <w:tab w:val="left" w:pos="426"/>
        </w:tabs>
        <w:rPr>
          <w:b/>
          <w:bCs/>
          <w:spacing w:val="-2"/>
          <w:lang w:val="en-US" w:eastAsia="es-CR"/>
        </w:rPr>
      </w:pPr>
      <w:bookmarkStart w:id="165" w:name="_Ref419215596"/>
      <w:r w:rsidRPr="008A1DB4">
        <w:rPr>
          <w:i/>
          <w:iCs/>
          <w:spacing w:val="-2"/>
          <w:lang w:val="en-US" w:eastAsia="es-CR"/>
        </w:rPr>
        <w:t>Proceedings before</w:t>
      </w:r>
      <w:r w:rsidR="00E40E2B" w:rsidRPr="008A1DB4">
        <w:rPr>
          <w:i/>
          <w:iCs/>
          <w:spacing w:val="-2"/>
          <w:lang w:val="en-US" w:eastAsia="es-CR"/>
        </w:rPr>
        <w:t xml:space="preserve"> </w:t>
      </w:r>
      <w:r w:rsidRPr="008A1DB4">
        <w:rPr>
          <w:i/>
          <w:iCs/>
          <w:spacing w:val="-2"/>
          <w:lang w:val="en-US" w:eastAsia="es-CR"/>
        </w:rPr>
        <w:t>the Commission</w:t>
      </w:r>
      <w:r w:rsidR="00E40E2B" w:rsidRPr="008A1DB4">
        <w:rPr>
          <w:i/>
          <w:iCs/>
          <w:spacing w:val="-2"/>
          <w:lang w:val="en-US" w:eastAsia="es-CR"/>
        </w:rPr>
        <w:t>.</w:t>
      </w:r>
      <w:r w:rsidRPr="008A1DB4">
        <w:rPr>
          <w:spacing w:val="-2"/>
          <w:lang w:val="en-US" w:eastAsia="es-CR"/>
        </w:rPr>
        <w:t xml:space="preserve"> The proceedings before the Commission</w:t>
      </w:r>
      <w:r w:rsidR="009D230F" w:rsidRPr="008A1DB4">
        <w:rPr>
          <w:spacing w:val="-2"/>
          <w:lang w:val="en-US" w:eastAsia="es-CR"/>
        </w:rPr>
        <w:t xml:space="preserve"> </w:t>
      </w:r>
      <w:bookmarkEnd w:id="164"/>
      <w:bookmarkEnd w:id="165"/>
      <w:r w:rsidRPr="008A1DB4">
        <w:rPr>
          <w:spacing w:val="-2"/>
          <w:lang w:val="en-US" w:eastAsia="es-CR"/>
        </w:rPr>
        <w:t>were as follows:</w:t>
      </w:r>
    </w:p>
    <w:p w14:paraId="7D90FAA4" w14:textId="77777777" w:rsidR="00EC38D9" w:rsidRPr="008A1DB4" w:rsidRDefault="00EC38D9" w:rsidP="00956E97">
      <w:pPr>
        <w:pStyle w:val="ListParagraph"/>
        <w:tabs>
          <w:tab w:val="left" w:pos="426"/>
        </w:tabs>
        <w:ind w:left="0"/>
        <w:rPr>
          <w:i/>
          <w:iCs/>
          <w:spacing w:val="-2"/>
          <w:lang w:val="en-US" w:eastAsia="es-CR"/>
        </w:rPr>
      </w:pPr>
    </w:p>
    <w:p w14:paraId="3DEC7032" w14:textId="735086A7" w:rsidR="00EC38D9" w:rsidRPr="008A1DB4" w:rsidRDefault="00EC38D9" w:rsidP="00956E97">
      <w:pPr>
        <w:ind w:left="720"/>
        <w:rPr>
          <w:spacing w:val="-2"/>
          <w:lang w:val="en-US" w:eastAsia="es-CR"/>
        </w:rPr>
      </w:pPr>
      <w:r w:rsidRPr="008A1DB4">
        <w:rPr>
          <w:i/>
          <w:iCs/>
          <w:spacing w:val="-2"/>
          <w:lang w:val="en-US" w:eastAsia="es-CR"/>
        </w:rPr>
        <w:t xml:space="preserve">a) </w:t>
      </w:r>
      <w:r w:rsidR="00F36400" w:rsidRPr="008A1DB4">
        <w:rPr>
          <w:i/>
          <w:iCs/>
          <w:spacing w:val="-2"/>
          <w:lang w:val="en-US" w:eastAsia="es-CR"/>
        </w:rPr>
        <w:t xml:space="preserve">Petition. </w:t>
      </w:r>
      <w:r w:rsidR="00F36400" w:rsidRPr="008A1DB4">
        <w:rPr>
          <w:iCs/>
          <w:spacing w:val="-2"/>
          <w:lang w:val="en-US" w:eastAsia="es-CR"/>
        </w:rPr>
        <w:t>On March 27,</w:t>
      </w:r>
      <w:r w:rsidRPr="008A1DB4">
        <w:rPr>
          <w:iCs/>
          <w:spacing w:val="-2"/>
          <w:lang w:val="en-US" w:eastAsia="es-CR"/>
        </w:rPr>
        <w:t xml:space="preserve"> 2009</w:t>
      </w:r>
      <w:r w:rsidR="00F36400" w:rsidRPr="008A1DB4">
        <w:rPr>
          <w:spacing w:val="-2"/>
          <w:lang w:val="en-US" w:eastAsia="es-CR"/>
        </w:rPr>
        <w:t xml:space="preserve">, </w:t>
      </w:r>
      <w:r w:rsidRPr="008A1DB4">
        <w:rPr>
          <w:spacing w:val="-2"/>
          <w:lang w:val="en-US" w:eastAsia="es-CR"/>
        </w:rPr>
        <w:t xml:space="preserve">Wong Ho Wing </w:t>
      </w:r>
      <w:r w:rsidR="00F36400" w:rsidRPr="008A1DB4">
        <w:rPr>
          <w:spacing w:val="-2"/>
          <w:lang w:val="en-US" w:eastAsia="es-CR"/>
        </w:rPr>
        <w:t>lodged the initial petition before the Commission.</w:t>
      </w:r>
      <w:r w:rsidRPr="008A1DB4">
        <w:rPr>
          <w:spacing w:val="-2"/>
          <w:vertAlign w:val="superscript"/>
          <w:lang w:val="en-US" w:eastAsia="es-CR"/>
        </w:rPr>
        <w:footnoteReference w:id="3"/>
      </w:r>
      <w:r w:rsidR="00E21BBE" w:rsidRPr="008A1DB4">
        <w:rPr>
          <w:spacing w:val="-2"/>
          <w:lang w:val="en-US" w:eastAsia="es-CR"/>
        </w:rPr>
        <w:t xml:space="preserve"> </w:t>
      </w:r>
    </w:p>
    <w:p w14:paraId="32990981" w14:textId="77777777" w:rsidR="00EC38D9" w:rsidRPr="008A1DB4" w:rsidRDefault="00EC38D9" w:rsidP="00956E97">
      <w:pPr>
        <w:ind w:left="720"/>
        <w:rPr>
          <w:spacing w:val="-2"/>
          <w:lang w:val="en-US" w:eastAsia="es-CR"/>
        </w:rPr>
      </w:pPr>
    </w:p>
    <w:p w14:paraId="340E5D73" w14:textId="34F0D5B5" w:rsidR="00EB3FE9" w:rsidRPr="008A1DB4" w:rsidRDefault="00EC38D9" w:rsidP="00956E97">
      <w:pPr>
        <w:ind w:left="720"/>
        <w:rPr>
          <w:b/>
          <w:iCs/>
          <w:spacing w:val="-2"/>
          <w:lang w:val="en-US" w:eastAsia="es-CR"/>
        </w:rPr>
      </w:pPr>
      <w:r w:rsidRPr="008A1DB4">
        <w:rPr>
          <w:i/>
          <w:iCs/>
          <w:spacing w:val="-2"/>
          <w:lang w:val="en-US" w:eastAsia="es-CR"/>
        </w:rPr>
        <w:t xml:space="preserve">b) </w:t>
      </w:r>
      <w:r w:rsidR="00F36400" w:rsidRPr="008A1DB4">
        <w:rPr>
          <w:i/>
          <w:iCs/>
          <w:spacing w:val="-2"/>
          <w:lang w:val="en-US" w:eastAsia="es-CR"/>
        </w:rPr>
        <w:t>Admissibility Report</w:t>
      </w:r>
      <w:r w:rsidR="00E40E2B" w:rsidRPr="008A1DB4">
        <w:rPr>
          <w:iCs/>
          <w:spacing w:val="-2"/>
          <w:lang w:val="en-US" w:eastAsia="es-CR"/>
        </w:rPr>
        <w:t>.</w:t>
      </w:r>
      <w:r w:rsidR="00F36400" w:rsidRPr="008A1DB4">
        <w:rPr>
          <w:iCs/>
          <w:spacing w:val="-2"/>
          <w:lang w:val="en-US" w:eastAsia="es-CR"/>
        </w:rPr>
        <w:t xml:space="preserve"> On November 1, 2010, the Commission</w:t>
      </w:r>
      <w:r w:rsidR="00E21BBE" w:rsidRPr="008A1DB4">
        <w:rPr>
          <w:iCs/>
          <w:spacing w:val="-2"/>
          <w:lang w:val="en-US" w:eastAsia="es-CR"/>
        </w:rPr>
        <w:t xml:space="preserve"> </w:t>
      </w:r>
      <w:r w:rsidR="00F36400" w:rsidRPr="008A1DB4">
        <w:rPr>
          <w:iCs/>
          <w:spacing w:val="-2"/>
          <w:lang w:val="en-US" w:eastAsia="es-CR"/>
        </w:rPr>
        <w:t>adopted</w:t>
      </w:r>
      <w:r w:rsidR="00E21BBE" w:rsidRPr="008A1DB4">
        <w:rPr>
          <w:iCs/>
          <w:spacing w:val="-2"/>
          <w:lang w:val="en-US" w:eastAsia="es-CR"/>
        </w:rPr>
        <w:t xml:space="preserve"> </w:t>
      </w:r>
      <w:r w:rsidR="00F36400" w:rsidRPr="008A1DB4">
        <w:rPr>
          <w:iCs/>
          <w:spacing w:val="-2"/>
          <w:lang w:val="en-US" w:eastAsia="es-CR"/>
        </w:rPr>
        <w:t>Admissibility Report</w:t>
      </w:r>
      <w:r w:rsidR="00E21BBE" w:rsidRPr="008A1DB4">
        <w:rPr>
          <w:iCs/>
          <w:spacing w:val="-2"/>
          <w:lang w:val="en-US" w:eastAsia="es-CR"/>
        </w:rPr>
        <w:t xml:space="preserve"> No. 151/10</w:t>
      </w:r>
      <w:r w:rsidR="00F36400" w:rsidRPr="008A1DB4">
        <w:rPr>
          <w:iCs/>
          <w:spacing w:val="-2"/>
          <w:lang w:val="en-US" w:eastAsia="es-CR"/>
        </w:rPr>
        <w:t>.</w:t>
      </w:r>
      <w:r w:rsidR="00E21BBE" w:rsidRPr="008A1DB4">
        <w:rPr>
          <w:rStyle w:val="FootnoteReference"/>
          <w:iCs/>
          <w:spacing w:val="-2"/>
          <w:lang w:val="en-US" w:eastAsia="es-CR"/>
        </w:rPr>
        <w:footnoteReference w:id="4"/>
      </w:r>
      <w:r w:rsidR="00E21BBE" w:rsidRPr="008A1DB4">
        <w:rPr>
          <w:iCs/>
          <w:spacing w:val="-2"/>
          <w:lang w:val="en-US" w:eastAsia="es-CR"/>
        </w:rPr>
        <w:t xml:space="preserve"> </w:t>
      </w:r>
    </w:p>
    <w:p w14:paraId="2623D879" w14:textId="77777777" w:rsidR="002E0D23" w:rsidRPr="008A1DB4" w:rsidRDefault="002E0D23" w:rsidP="00956E97">
      <w:pPr>
        <w:rPr>
          <w:iCs/>
          <w:spacing w:val="-2"/>
          <w:lang w:val="en-US" w:eastAsia="es-CR"/>
        </w:rPr>
      </w:pPr>
    </w:p>
    <w:p w14:paraId="48346FAD" w14:textId="0188F41E" w:rsidR="00EC38D9" w:rsidRPr="008A1DB4" w:rsidRDefault="00EB3FE9" w:rsidP="00956E97">
      <w:pPr>
        <w:ind w:left="720"/>
        <w:rPr>
          <w:spacing w:val="-2"/>
          <w:lang w:val="en-US" w:eastAsia="es-CR"/>
        </w:rPr>
      </w:pPr>
      <w:r w:rsidRPr="008A1DB4">
        <w:rPr>
          <w:i/>
          <w:iCs/>
          <w:spacing w:val="-2"/>
          <w:lang w:val="en-US" w:eastAsia="es-CR"/>
        </w:rPr>
        <w:t xml:space="preserve">c) </w:t>
      </w:r>
      <w:r w:rsidR="00F36400" w:rsidRPr="008A1DB4">
        <w:rPr>
          <w:i/>
          <w:iCs/>
          <w:spacing w:val="-2"/>
          <w:lang w:val="en-US" w:eastAsia="es-CR"/>
        </w:rPr>
        <w:t>Merits Report.</w:t>
      </w:r>
      <w:r w:rsidR="00EC38D9" w:rsidRPr="008A1DB4">
        <w:rPr>
          <w:spacing w:val="-2"/>
          <w:lang w:val="en-US" w:eastAsia="es-CR"/>
        </w:rPr>
        <w:t xml:space="preserve"> </w:t>
      </w:r>
      <w:r w:rsidR="00F36400" w:rsidRPr="008A1DB4">
        <w:rPr>
          <w:spacing w:val="-2"/>
          <w:lang w:val="en-US" w:eastAsia="es-CR"/>
        </w:rPr>
        <w:t>On July 18,</w:t>
      </w:r>
      <w:r w:rsidR="00EC38D9" w:rsidRPr="008A1DB4">
        <w:rPr>
          <w:spacing w:val="-2"/>
          <w:lang w:val="en-US" w:eastAsia="es-CR"/>
        </w:rPr>
        <w:t xml:space="preserve"> 2013</w:t>
      </w:r>
      <w:r w:rsidR="00F36400" w:rsidRPr="008A1DB4">
        <w:rPr>
          <w:spacing w:val="-2"/>
          <w:lang w:val="en-US" w:eastAsia="es-CR"/>
        </w:rPr>
        <w:t>,</w:t>
      </w:r>
      <w:r w:rsidR="00EC38D9" w:rsidRPr="008A1DB4">
        <w:rPr>
          <w:spacing w:val="-2"/>
          <w:lang w:val="en-US" w:eastAsia="es-CR"/>
        </w:rPr>
        <w:t xml:space="preserve"> </w:t>
      </w:r>
      <w:r w:rsidR="00F36400" w:rsidRPr="008A1DB4">
        <w:rPr>
          <w:spacing w:val="-2"/>
          <w:lang w:val="en-US" w:eastAsia="es-CR"/>
        </w:rPr>
        <w:t>the Commission</w:t>
      </w:r>
      <w:r w:rsidR="00EC38D9" w:rsidRPr="008A1DB4">
        <w:rPr>
          <w:spacing w:val="-2"/>
          <w:lang w:val="en-US" w:eastAsia="es-CR"/>
        </w:rPr>
        <w:t xml:space="preserve"> </w:t>
      </w:r>
      <w:r w:rsidR="00F36400" w:rsidRPr="008A1DB4">
        <w:rPr>
          <w:spacing w:val="-2"/>
          <w:lang w:val="en-US" w:eastAsia="es-CR"/>
        </w:rPr>
        <w:t>adopted</w:t>
      </w:r>
      <w:r w:rsidR="00EC38D9" w:rsidRPr="008A1DB4">
        <w:rPr>
          <w:spacing w:val="-2"/>
          <w:lang w:val="en-US" w:eastAsia="es-CR"/>
        </w:rPr>
        <w:t xml:space="preserve"> </w:t>
      </w:r>
      <w:r w:rsidR="00F36400" w:rsidRPr="008A1DB4">
        <w:rPr>
          <w:spacing w:val="-2"/>
          <w:lang w:val="en-US" w:eastAsia="es-CR"/>
        </w:rPr>
        <w:t>Merits Report</w:t>
      </w:r>
      <w:r w:rsidR="00EC38D9" w:rsidRPr="008A1DB4">
        <w:rPr>
          <w:spacing w:val="-2"/>
          <w:lang w:val="en-US" w:eastAsia="es-CR"/>
        </w:rPr>
        <w:t xml:space="preserve"> No. 78/13, </w:t>
      </w:r>
      <w:r w:rsidR="00F36400" w:rsidRPr="008A1DB4">
        <w:rPr>
          <w:spacing w:val="-2"/>
          <w:lang w:val="en-US" w:eastAsia="es-CR"/>
        </w:rPr>
        <w:t>pursuant to Article</w:t>
      </w:r>
      <w:r w:rsidR="00EC38D9" w:rsidRPr="008A1DB4">
        <w:rPr>
          <w:spacing w:val="-2"/>
          <w:lang w:val="en-US" w:eastAsia="es-CR"/>
        </w:rPr>
        <w:t xml:space="preserve"> 50</w:t>
      </w:r>
      <w:r w:rsidR="00F36400" w:rsidRPr="008A1DB4">
        <w:rPr>
          <w:spacing w:val="-2"/>
          <w:lang w:val="en-US" w:eastAsia="es-CR"/>
        </w:rPr>
        <w:t xml:space="preserve"> of the Convention</w:t>
      </w:r>
      <w:r w:rsidR="00EC38D9" w:rsidRPr="008A1DB4">
        <w:rPr>
          <w:spacing w:val="-2"/>
          <w:lang w:val="en-US" w:eastAsia="es-CR"/>
        </w:rPr>
        <w:t xml:space="preserve"> (</w:t>
      </w:r>
      <w:r w:rsidR="00F36400" w:rsidRPr="008A1DB4">
        <w:rPr>
          <w:spacing w:val="-2"/>
          <w:lang w:val="en-US" w:eastAsia="es-CR"/>
        </w:rPr>
        <w:t>hereinafter</w:t>
      </w:r>
      <w:r w:rsidR="00EC38D9" w:rsidRPr="008A1DB4">
        <w:rPr>
          <w:spacing w:val="-2"/>
          <w:lang w:val="en-US" w:eastAsia="es-CR"/>
        </w:rPr>
        <w:t xml:space="preserve"> “</w:t>
      </w:r>
      <w:r w:rsidR="00F36400" w:rsidRPr="008A1DB4">
        <w:rPr>
          <w:spacing w:val="-2"/>
          <w:lang w:val="en-US" w:eastAsia="es-CR"/>
        </w:rPr>
        <w:t>Merits Report</w:t>
      </w:r>
      <w:r w:rsidR="00EC38D9" w:rsidRPr="008A1DB4">
        <w:rPr>
          <w:spacing w:val="-2"/>
          <w:lang w:val="en-US" w:eastAsia="es-CR"/>
        </w:rPr>
        <w:t>”),</w:t>
      </w:r>
      <w:r w:rsidR="00EC38D9" w:rsidRPr="008A1DB4">
        <w:rPr>
          <w:b/>
          <w:bCs/>
          <w:spacing w:val="-2"/>
          <w:lang w:val="en-US" w:eastAsia="es-CR"/>
        </w:rPr>
        <w:t xml:space="preserve"> </w:t>
      </w:r>
      <w:r w:rsidR="00F36400" w:rsidRPr="008A1DB4">
        <w:rPr>
          <w:bCs/>
          <w:spacing w:val="-2"/>
          <w:lang w:val="en-US" w:eastAsia="es-CR"/>
        </w:rPr>
        <w:t>in which</w:t>
      </w:r>
      <w:r w:rsidR="00F36400" w:rsidRPr="008A1DB4">
        <w:rPr>
          <w:b/>
          <w:bCs/>
          <w:spacing w:val="-2"/>
          <w:lang w:val="en-US" w:eastAsia="es-CR"/>
        </w:rPr>
        <w:t xml:space="preserve"> </w:t>
      </w:r>
      <w:r w:rsidR="00F36400" w:rsidRPr="008A1DB4">
        <w:rPr>
          <w:spacing w:val="-2"/>
          <w:lang w:val="en-US" w:eastAsia="es-CR"/>
        </w:rPr>
        <w:t>it reached a series of conclusions and made several recommendations to the State:</w:t>
      </w:r>
    </w:p>
    <w:p w14:paraId="1EAD11E6" w14:textId="77777777" w:rsidR="00EC38D9" w:rsidRPr="008A1DB4" w:rsidRDefault="00EC38D9" w:rsidP="00956E97">
      <w:pPr>
        <w:ind w:left="720"/>
        <w:rPr>
          <w:i/>
          <w:iCs/>
          <w:spacing w:val="-2"/>
          <w:lang w:val="en-US" w:eastAsia="es-CR"/>
        </w:rPr>
      </w:pPr>
    </w:p>
    <w:p w14:paraId="7094540E" w14:textId="0F34A8A1" w:rsidR="00EC38D9" w:rsidRPr="008A1DB4" w:rsidRDefault="00F36400" w:rsidP="00956E97">
      <w:pPr>
        <w:pStyle w:val="ListParagraph"/>
        <w:numPr>
          <w:ilvl w:val="0"/>
          <w:numId w:val="3"/>
        </w:numPr>
        <w:ind w:left="1134"/>
        <w:rPr>
          <w:spacing w:val="-2"/>
          <w:sz w:val="16"/>
          <w:szCs w:val="16"/>
          <w:lang w:val="en-US"/>
        </w:rPr>
      </w:pPr>
      <w:r w:rsidRPr="008A1DB4">
        <w:rPr>
          <w:i/>
          <w:iCs/>
          <w:spacing w:val="-2"/>
          <w:lang w:val="en-US" w:eastAsia="es-CR"/>
        </w:rPr>
        <w:t>Conclusions.</w:t>
      </w:r>
      <w:r w:rsidR="00EC38D9" w:rsidRPr="008A1DB4">
        <w:rPr>
          <w:i/>
          <w:iCs/>
          <w:spacing w:val="-2"/>
          <w:lang w:val="en-US" w:eastAsia="es-CR"/>
        </w:rPr>
        <w:t xml:space="preserve"> </w:t>
      </w:r>
      <w:r w:rsidRPr="008A1DB4">
        <w:rPr>
          <w:spacing w:val="-2"/>
          <w:lang w:val="en-US" w:eastAsia="es-CR"/>
        </w:rPr>
        <w:t>The Commission</w:t>
      </w:r>
      <w:r w:rsidR="00EC38D9" w:rsidRPr="008A1DB4">
        <w:rPr>
          <w:spacing w:val="-2"/>
          <w:lang w:val="en-US" w:eastAsia="es-CR"/>
        </w:rPr>
        <w:t xml:space="preserve"> conclu</w:t>
      </w:r>
      <w:r w:rsidRPr="008A1DB4">
        <w:rPr>
          <w:spacing w:val="-2"/>
          <w:lang w:val="en-US" w:eastAsia="es-CR"/>
        </w:rPr>
        <w:t xml:space="preserve">ded that the State was </w:t>
      </w:r>
      <w:r w:rsidR="008A1DB4" w:rsidRPr="008A1DB4">
        <w:rPr>
          <w:spacing w:val="-2"/>
          <w:lang w:val="en-US" w:eastAsia="es-CR"/>
        </w:rPr>
        <w:t>responsible</w:t>
      </w:r>
      <w:r w:rsidRPr="008A1DB4">
        <w:rPr>
          <w:spacing w:val="-2"/>
          <w:lang w:val="en-US" w:eastAsia="es-CR"/>
        </w:rPr>
        <w:t xml:space="preserve"> for the violation of the rights to personal liberty, life, humane treatment, judicial guarantees and judicial protection, established in </w:t>
      </w:r>
      <w:r w:rsidRPr="008A1DB4">
        <w:rPr>
          <w:spacing w:val="-2"/>
          <w:szCs w:val="20"/>
          <w:lang w:val="en-US"/>
        </w:rPr>
        <w:t>Article</w:t>
      </w:r>
      <w:r w:rsidR="009B4E85" w:rsidRPr="008A1DB4">
        <w:rPr>
          <w:spacing w:val="-2"/>
          <w:szCs w:val="20"/>
          <w:lang w:val="en-US"/>
        </w:rPr>
        <w:t>s 7, 4, 5, 8</w:t>
      </w:r>
      <w:r w:rsidRPr="008A1DB4">
        <w:rPr>
          <w:spacing w:val="-2"/>
          <w:szCs w:val="20"/>
          <w:lang w:val="en-US"/>
        </w:rPr>
        <w:t xml:space="preserve"> and </w:t>
      </w:r>
      <w:r w:rsidR="009B4E85" w:rsidRPr="008A1DB4">
        <w:rPr>
          <w:spacing w:val="-2"/>
          <w:szCs w:val="20"/>
          <w:lang w:val="en-US"/>
        </w:rPr>
        <w:t>25</w:t>
      </w:r>
      <w:r w:rsidRPr="008A1DB4">
        <w:rPr>
          <w:spacing w:val="-2"/>
          <w:szCs w:val="20"/>
          <w:lang w:val="en-US"/>
        </w:rPr>
        <w:t xml:space="preserve"> of the American Convention</w:t>
      </w:r>
      <w:r w:rsidR="009B4E85" w:rsidRPr="008A1DB4">
        <w:rPr>
          <w:spacing w:val="-2"/>
          <w:szCs w:val="20"/>
          <w:lang w:val="en-US"/>
        </w:rPr>
        <w:t xml:space="preserve"> </w:t>
      </w:r>
      <w:r w:rsidRPr="008A1DB4">
        <w:rPr>
          <w:spacing w:val="-2"/>
          <w:szCs w:val="20"/>
          <w:lang w:val="en-US"/>
        </w:rPr>
        <w:t>in relation to the obligations established in Article 1(1)</w:t>
      </w:r>
      <w:r w:rsidR="009B4E85" w:rsidRPr="008A1DB4">
        <w:rPr>
          <w:spacing w:val="-2"/>
          <w:szCs w:val="20"/>
          <w:lang w:val="en-US"/>
        </w:rPr>
        <w:t xml:space="preserve"> </w:t>
      </w:r>
      <w:r w:rsidRPr="008A1DB4">
        <w:rPr>
          <w:spacing w:val="-2"/>
          <w:szCs w:val="20"/>
          <w:lang w:val="en-US"/>
        </w:rPr>
        <w:t>of this instrument</w:t>
      </w:r>
      <w:r w:rsidR="009B4E85" w:rsidRPr="008A1DB4">
        <w:rPr>
          <w:spacing w:val="-2"/>
          <w:szCs w:val="20"/>
          <w:lang w:val="en-US"/>
        </w:rPr>
        <w:t xml:space="preserve">, </w:t>
      </w:r>
      <w:r w:rsidRPr="008A1DB4">
        <w:rPr>
          <w:spacing w:val="-2"/>
          <w:szCs w:val="20"/>
          <w:lang w:val="en-US"/>
        </w:rPr>
        <w:t>to the detriment of</w:t>
      </w:r>
      <w:r w:rsidR="009B4E85" w:rsidRPr="008A1DB4">
        <w:rPr>
          <w:spacing w:val="-2"/>
          <w:szCs w:val="20"/>
          <w:lang w:val="en-US"/>
        </w:rPr>
        <w:t xml:space="preserve"> Wong Ho Wing. </w:t>
      </w:r>
    </w:p>
    <w:p w14:paraId="0569A370" w14:textId="77777777" w:rsidR="00EC38D9" w:rsidRPr="008A1DB4" w:rsidRDefault="00EC38D9" w:rsidP="00956E97">
      <w:pPr>
        <w:pStyle w:val="ListParagraph"/>
        <w:ind w:left="1418"/>
        <w:rPr>
          <w:spacing w:val="-2"/>
          <w:sz w:val="16"/>
          <w:szCs w:val="16"/>
          <w:lang w:val="en-US"/>
        </w:rPr>
      </w:pPr>
    </w:p>
    <w:p w14:paraId="4A317473" w14:textId="4F6F3ADD" w:rsidR="0036148E" w:rsidRPr="008A1DB4" w:rsidRDefault="00F36400" w:rsidP="00956E97">
      <w:pPr>
        <w:pStyle w:val="ListParagraph"/>
        <w:numPr>
          <w:ilvl w:val="0"/>
          <w:numId w:val="3"/>
        </w:numPr>
        <w:ind w:left="1134"/>
        <w:rPr>
          <w:spacing w:val="-2"/>
          <w:lang w:val="en-US" w:eastAsia="es-CR"/>
        </w:rPr>
      </w:pPr>
      <w:r w:rsidRPr="008A1DB4">
        <w:rPr>
          <w:i/>
          <w:iCs/>
          <w:spacing w:val="-2"/>
          <w:lang w:val="en-US" w:eastAsia="es-CR"/>
        </w:rPr>
        <w:t>Recommendations.</w:t>
      </w:r>
      <w:r w:rsidR="00EC38D9" w:rsidRPr="008A1DB4">
        <w:rPr>
          <w:i/>
          <w:iCs/>
          <w:spacing w:val="-2"/>
          <w:lang w:val="en-US" w:eastAsia="es-CR"/>
        </w:rPr>
        <w:t xml:space="preserve"> </w:t>
      </w:r>
      <w:r w:rsidRPr="008A1DB4">
        <w:rPr>
          <w:spacing w:val="-2"/>
          <w:lang w:val="en-US" w:eastAsia="es-CR"/>
        </w:rPr>
        <w:t>Consequently,</w:t>
      </w:r>
      <w:r w:rsidR="00EC38D9" w:rsidRPr="008A1DB4">
        <w:rPr>
          <w:spacing w:val="-2"/>
          <w:lang w:val="en-US" w:eastAsia="es-CR"/>
        </w:rPr>
        <w:t xml:space="preserve"> </w:t>
      </w:r>
      <w:r w:rsidRPr="008A1DB4">
        <w:rPr>
          <w:spacing w:val="-2"/>
          <w:lang w:val="en-US" w:eastAsia="es-CR"/>
        </w:rPr>
        <w:t>the Commission</w:t>
      </w:r>
      <w:r w:rsidR="00EC38D9" w:rsidRPr="008A1DB4">
        <w:rPr>
          <w:spacing w:val="-2"/>
          <w:lang w:val="en-US" w:eastAsia="es-CR"/>
        </w:rPr>
        <w:t xml:space="preserve"> </w:t>
      </w:r>
      <w:r w:rsidRPr="008A1DB4">
        <w:rPr>
          <w:spacing w:val="-2"/>
          <w:lang w:val="en-US" w:eastAsia="es-CR"/>
        </w:rPr>
        <w:t>made a series of recommendations to the State</w:t>
      </w:r>
      <w:r w:rsidR="00531C4E">
        <w:rPr>
          <w:spacing w:val="-2"/>
          <w:lang w:val="en-US" w:eastAsia="es-CR"/>
        </w:rPr>
        <w:t>, including that it</w:t>
      </w:r>
      <w:r w:rsidRPr="008A1DB4">
        <w:rPr>
          <w:spacing w:val="-2"/>
          <w:lang w:val="en-US" w:eastAsia="es-CR"/>
        </w:rPr>
        <w:t xml:space="preserve">: </w:t>
      </w:r>
    </w:p>
    <w:p w14:paraId="0056B9F3" w14:textId="77777777" w:rsidR="0036148E" w:rsidRPr="008A1DB4" w:rsidRDefault="0036148E" w:rsidP="00956E97">
      <w:pPr>
        <w:rPr>
          <w:spacing w:val="-2"/>
          <w:lang w:val="en-US" w:eastAsia="es-CR"/>
        </w:rPr>
      </w:pPr>
    </w:p>
    <w:p w14:paraId="0CD53891" w14:textId="3DA19264" w:rsidR="00EC38D9" w:rsidRPr="008A1DB4" w:rsidRDefault="006409A1" w:rsidP="00956E97">
      <w:pPr>
        <w:pStyle w:val="ListParagraph"/>
        <w:numPr>
          <w:ilvl w:val="0"/>
          <w:numId w:val="5"/>
        </w:numPr>
        <w:ind w:hanging="164"/>
        <w:rPr>
          <w:spacing w:val="-2"/>
          <w:sz w:val="16"/>
          <w:szCs w:val="16"/>
          <w:lang w:val="en-US"/>
        </w:rPr>
      </w:pPr>
      <w:r w:rsidRPr="008A1DB4">
        <w:rPr>
          <w:rFonts w:cs="Calibri"/>
          <w:sz w:val="16"/>
          <w:szCs w:val="16"/>
          <w:lang w:val="en-US"/>
        </w:rPr>
        <w:t>Order the measures necessary to ensure that the extradition process is brought to a conclusion as soon as possible, in accordance with the procedures set forth in the Peruvian Code of Criminal Procedure, denying the extradition in strict compliance with the Constitutional Court’s ruling of May 24, 2011. In compliance with this recommendation the State must ensure that none of its authorities insti</w:t>
      </w:r>
      <w:r w:rsidR="00531C4E">
        <w:rPr>
          <w:rFonts w:cs="Calibri"/>
          <w:sz w:val="16"/>
          <w:szCs w:val="16"/>
          <w:lang w:val="en-US"/>
        </w:rPr>
        <w:t>gates</w:t>
      </w:r>
      <w:r w:rsidRPr="008A1DB4">
        <w:rPr>
          <w:rFonts w:cs="Calibri"/>
          <w:sz w:val="16"/>
          <w:szCs w:val="16"/>
          <w:lang w:val="en-US"/>
        </w:rPr>
        <w:t xml:space="preserve"> mechanisms that would obstruct or delay enforcement of that ruling</w:t>
      </w:r>
      <w:r w:rsidRPr="008A1DB4">
        <w:rPr>
          <w:spacing w:val="-2"/>
          <w:sz w:val="16"/>
          <w:szCs w:val="16"/>
          <w:lang w:val="en-US"/>
        </w:rPr>
        <w:t>.</w:t>
      </w:r>
      <w:r w:rsidR="00531C4E">
        <w:rPr>
          <w:spacing w:val="-2"/>
          <w:sz w:val="16"/>
          <w:szCs w:val="16"/>
          <w:lang w:val="en-US"/>
        </w:rPr>
        <w:t xml:space="preserve"> </w:t>
      </w:r>
    </w:p>
    <w:p w14:paraId="6AE7CA92" w14:textId="77777777" w:rsidR="00EC38D9" w:rsidRPr="008A1DB4" w:rsidRDefault="00EC38D9" w:rsidP="00956E97">
      <w:pPr>
        <w:ind w:hanging="164"/>
        <w:rPr>
          <w:spacing w:val="-2"/>
          <w:sz w:val="16"/>
          <w:szCs w:val="16"/>
          <w:lang w:val="en-US"/>
        </w:rPr>
      </w:pPr>
    </w:p>
    <w:p w14:paraId="353059D1" w14:textId="059B1420" w:rsidR="006409A1" w:rsidRPr="008A1DB4" w:rsidRDefault="006409A1" w:rsidP="00956E97">
      <w:pPr>
        <w:pStyle w:val="ListParagraph"/>
        <w:numPr>
          <w:ilvl w:val="0"/>
          <w:numId w:val="5"/>
        </w:numPr>
        <w:ind w:hanging="164"/>
        <w:rPr>
          <w:spacing w:val="-2"/>
          <w:sz w:val="16"/>
          <w:szCs w:val="16"/>
          <w:lang w:val="en-US"/>
        </w:rPr>
      </w:pPr>
      <w:r w:rsidRPr="008A1DB4">
        <w:rPr>
          <w:rFonts w:cs="Calibri"/>
          <w:sz w:val="16"/>
          <w:szCs w:val="16"/>
          <w:lang w:val="en-US"/>
        </w:rPr>
        <w:lastRenderedPageBreak/>
        <w:t xml:space="preserve">Order an </w:t>
      </w:r>
      <w:r w:rsidRPr="008A1DB4">
        <w:rPr>
          <w:rFonts w:cs="Calibri"/>
          <w:i/>
          <w:sz w:val="16"/>
          <w:szCs w:val="16"/>
          <w:lang w:val="en-US"/>
        </w:rPr>
        <w:t>ex officio</w:t>
      </w:r>
      <w:r w:rsidRPr="008A1DB4">
        <w:rPr>
          <w:rFonts w:cs="Calibri"/>
          <w:sz w:val="16"/>
          <w:szCs w:val="16"/>
          <w:lang w:val="en-US"/>
        </w:rPr>
        <w:t xml:space="preserve"> review of Wong Ho Wing’s provisional arrest. In that review the State must take into consideration his legal situation upon the conclusion of the extradition process, in accordance with the terms of the preceding recommendation. In particular, any court decision pertaining to the personal liberty of Wong Ho Wing must be made in strict compliance with the principles of exceptionality, necessity, and proportionality in the terms described in the [</w:t>
      </w:r>
      <w:r w:rsidR="00531C4E">
        <w:rPr>
          <w:rFonts w:cs="Calibri"/>
          <w:sz w:val="16"/>
          <w:szCs w:val="16"/>
          <w:lang w:val="en-US"/>
        </w:rPr>
        <w:t>M</w:t>
      </w:r>
      <w:r w:rsidR="008A1DB4" w:rsidRPr="008A1DB4">
        <w:rPr>
          <w:rFonts w:cs="Calibri"/>
          <w:sz w:val="16"/>
          <w:szCs w:val="16"/>
          <w:lang w:val="en-US"/>
        </w:rPr>
        <w:t>erits</w:t>
      </w:r>
      <w:r w:rsidR="00531C4E">
        <w:rPr>
          <w:rFonts w:cs="Calibri"/>
          <w:sz w:val="16"/>
          <w:szCs w:val="16"/>
          <w:lang w:val="en-US"/>
        </w:rPr>
        <w:t>] R</w:t>
      </w:r>
      <w:r w:rsidRPr="008A1DB4">
        <w:rPr>
          <w:rFonts w:cs="Calibri"/>
          <w:sz w:val="16"/>
          <w:szCs w:val="16"/>
          <w:lang w:val="en-US"/>
        </w:rPr>
        <w:t>eport.</w:t>
      </w:r>
      <w:r w:rsidRPr="008A1DB4">
        <w:rPr>
          <w:rFonts w:ascii="Calibri" w:hAnsi="Calibri" w:cs="Calibri"/>
          <w:szCs w:val="20"/>
          <w:lang w:val="en-US"/>
        </w:rPr>
        <w:t xml:space="preserve"> </w:t>
      </w:r>
    </w:p>
    <w:p w14:paraId="676D541E" w14:textId="77777777" w:rsidR="00EC38D9" w:rsidRPr="008A1DB4" w:rsidRDefault="00EC38D9" w:rsidP="006409A1">
      <w:pPr>
        <w:rPr>
          <w:spacing w:val="-2"/>
          <w:sz w:val="16"/>
          <w:szCs w:val="16"/>
          <w:lang w:val="en-US"/>
        </w:rPr>
      </w:pPr>
    </w:p>
    <w:p w14:paraId="57605267" w14:textId="0BABD121" w:rsidR="006409A1" w:rsidRPr="008A1DB4" w:rsidRDefault="006409A1" w:rsidP="006409A1">
      <w:pPr>
        <w:pStyle w:val="ListParagraph"/>
        <w:numPr>
          <w:ilvl w:val="0"/>
          <w:numId w:val="5"/>
        </w:numPr>
        <w:ind w:hanging="164"/>
        <w:rPr>
          <w:spacing w:val="-2"/>
          <w:sz w:val="16"/>
          <w:szCs w:val="16"/>
          <w:lang w:val="en-US"/>
        </w:rPr>
      </w:pPr>
      <w:r w:rsidRPr="008A1DB4">
        <w:rPr>
          <w:rFonts w:cs="Calibri"/>
          <w:sz w:val="16"/>
          <w:szCs w:val="16"/>
          <w:lang w:val="en-US"/>
        </w:rPr>
        <w:t>Make full reparations to Wong Ho Wing for the violations established in the Merits Report.</w:t>
      </w:r>
    </w:p>
    <w:p w14:paraId="1DFED234" w14:textId="77777777" w:rsidR="00EC38D9" w:rsidRPr="008A1DB4" w:rsidRDefault="00EC38D9" w:rsidP="00956E97">
      <w:pPr>
        <w:ind w:hanging="164"/>
        <w:rPr>
          <w:spacing w:val="-2"/>
          <w:sz w:val="16"/>
          <w:szCs w:val="16"/>
          <w:lang w:val="en-US"/>
        </w:rPr>
      </w:pPr>
    </w:p>
    <w:p w14:paraId="64E6E9AB" w14:textId="6EC7092E" w:rsidR="006409A1" w:rsidRPr="008A1DB4" w:rsidRDefault="006409A1" w:rsidP="006409A1">
      <w:pPr>
        <w:pStyle w:val="ListParagraph"/>
        <w:numPr>
          <w:ilvl w:val="0"/>
          <w:numId w:val="5"/>
        </w:numPr>
        <w:ind w:hanging="164"/>
        <w:rPr>
          <w:spacing w:val="-2"/>
          <w:lang w:val="en-US"/>
        </w:rPr>
      </w:pPr>
      <w:r w:rsidRPr="008A1DB4">
        <w:rPr>
          <w:rFonts w:cs="Calibri"/>
          <w:sz w:val="16"/>
          <w:szCs w:val="16"/>
          <w:lang w:val="en-US"/>
        </w:rPr>
        <w:t>Within a reasonable period, order measures of non-repetition to ensure that</w:t>
      </w:r>
      <w:r w:rsidR="00531C4E">
        <w:rPr>
          <w:rFonts w:cs="Calibri"/>
          <w:sz w:val="16"/>
          <w:szCs w:val="16"/>
          <w:lang w:val="en-US"/>
        </w:rPr>
        <w:t>,</w:t>
      </w:r>
      <w:r w:rsidRPr="008A1DB4">
        <w:rPr>
          <w:rFonts w:cs="Calibri"/>
          <w:sz w:val="16"/>
          <w:szCs w:val="16"/>
          <w:lang w:val="en-US"/>
        </w:rPr>
        <w:t xml:space="preserve"> in extradition processes, the procedures established in the Code of Criminal Procedure are followed to the letter and that the necessary safeguards are in place to ensure that any diplomatic or other assurances offered by the requesting State are obtained and weighed in accordance wi</w:t>
      </w:r>
      <w:r w:rsidR="00531C4E">
        <w:rPr>
          <w:rFonts w:cs="Calibri"/>
          <w:sz w:val="16"/>
          <w:szCs w:val="16"/>
          <w:lang w:val="en-US"/>
        </w:rPr>
        <w:t xml:space="preserve">th the standards set out in </w:t>
      </w:r>
      <w:proofErr w:type="spellStart"/>
      <w:proofErr w:type="gramStart"/>
      <w:r w:rsidR="00531C4E">
        <w:rPr>
          <w:rFonts w:cs="Calibri"/>
          <w:sz w:val="16"/>
          <w:szCs w:val="16"/>
          <w:lang w:val="en-US"/>
        </w:rPr>
        <w:t>th</w:t>
      </w:r>
      <w:proofErr w:type="spellEnd"/>
      <w:r w:rsidR="00531C4E">
        <w:rPr>
          <w:rFonts w:cs="Calibri"/>
          <w:sz w:val="16"/>
          <w:szCs w:val="16"/>
          <w:lang w:val="en-US"/>
        </w:rPr>
        <w:t>[</w:t>
      </w:r>
      <w:proofErr w:type="gramEnd"/>
      <w:r w:rsidR="00531C4E">
        <w:rPr>
          <w:rFonts w:cs="Calibri"/>
          <w:sz w:val="16"/>
          <w:szCs w:val="16"/>
          <w:lang w:val="en-US"/>
        </w:rPr>
        <w:t xml:space="preserve">is] </w:t>
      </w:r>
      <w:r w:rsidRPr="008A1DB4">
        <w:rPr>
          <w:rFonts w:cs="Calibri"/>
          <w:sz w:val="16"/>
          <w:szCs w:val="16"/>
          <w:lang w:val="en-US"/>
        </w:rPr>
        <w:t xml:space="preserve">Merits Report.  </w:t>
      </w:r>
    </w:p>
    <w:p w14:paraId="58213289" w14:textId="77777777" w:rsidR="00EC38D9" w:rsidRPr="008A1DB4" w:rsidRDefault="00EC38D9" w:rsidP="00956E97">
      <w:pPr>
        <w:rPr>
          <w:spacing w:val="-2"/>
          <w:lang w:val="en-US"/>
        </w:rPr>
      </w:pPr>
    </w:p>
    <w:p w14:paraId="0C9C94FA" w14:textId="2F4E0085" w:rsidR="00EC38D9" w:rsidRPr="008A1DB4" w:rsidRDefault="00D84770" w:rsidP="00956E97">
      <w:pPr>
        <w:ind w:left="720"/>
        <w:rPr>
          <w:spacing w:val="-2"/>
          <w:lang w:val="en-US" w:eastAsia="es-CR"/>
        </w:rPr>
      </w:pPr>
      <w:r w:rsidRPr="008A1DB4">
        <w:rPr>
          <w:i/>
          <w:iCs/>
          <w:spacing w:val="-2"/>
          <w:lang w:val="en-US" w:eastAsia="es-CR"/>
        </w:rPr>
        <w:t>d</w:t>
      </w:r>
      <w:r w:rsidR="00EC38D9" w:rsidRPr="008A1DB4">
        <w:rPr>
          <w:i/>
          <w:iCs/>
          <w:spacing w:val="-2"/>
          <w:lang w:val="en-US" w:eastAsia="es-CR"/>
        </w:rPr>
        <w:t xml:space="preserve">) </w:t>
      </w:r>
      <w:r w:rsidR="006409A1" w:rsidRPr="008A1DB4">
        <w:rPr>
          <w:i/>
          <w:iCs/>
          <w:spacing w:val="-2"/>
          <w:lang w:val="en-US" w:eastAsia="es-CR"/>
        </w:rPr>
        <w:t>Notification of the State</w:t>
      </w:r>
      <w:r w:rsidR="00EC38D9" w:rsidRPr="008A1DB4">
        <w:rPr>
          <w:i/>
          <w:iCs/>
          <w:spacing w:val="-2"/>
          <w:lang w:val="en-US" w:eastAsia="es-CR"/>
        </w:rPr>
        <w:t>.</w:t>
      </w:r>
      <w:r w:rsidR="00EC38D9" w:rsidRPr="008A1DB4">
        <w:rPr>
          <w:spacing w:val="-2"/>
          <w:lang w:val="en-US" w:eastAsia="es-CR"/>
        </w:rPr>
        <w:t xml:space="preserve"> </w:t>
      </w:r>
      <w:r w:rsidR="006409A1" w:rsidRPr="008A1DB4">
        <w:rPr>
          <w:spacing w:val="-2"/>
          <w:lang w:val="en-US" w:eastAsia="es-CR"/>
        </w:rPr>
        <w:t>The</w:t>
      </w:r>
      <w:r w:rsidR="00EC38D9" w:rsidRPr="008A1DB4">
        <w:rPr>
          <w:spacing w:val="-2"/>
          <w:lang w:val="en-US" w:eastAsia="es-CR"/>
        </w:rPr>
        <w:t xml:space="preserve"> </w:t>
      </w:r>
      <w:r w:rsidR="00F36400" w:rsidRPr="008A1DB4">
        <w:rPr>
          <w:spacing w:val="-2"/>
          <w:lang w:val="en-US" w:eastAsia="es-CR"/>
        </w:rPr>
        <w:t>Merits Report</w:t>
      </w:r>
      <w:r w:rsidR="00EC38D9" w:rsidRPr="008A1DB4">
        <w:rPr>
          <w:spacing w:val="-2"/>
          <w:lang w:val="en-US" w:eastAsia="es-CR"/>
        </w:rPr>
        <w:t xml:space="preserve"> </w:t>
      </w:r>
      <w:r w:rsidR="006409A1" w:rsidRPr="008A1DB4">
        <w:rPr>
          <w:spacing w:val="-2"/>
          <w:lang w:val="en-US" w:eastAsia="es-CR"/>
        </w:rPr>
        <w:t xml:space="preserve">was </w:t>
      </w:r>
      <w:r w:rsidR="008A1DB4" w:rsidRPr="008A1DB4">
        <w:rPr>
          <w:spacing w:val="-2"/>
          <w:lang w:val="en-US" w:eastAsia="es-CR"/>
        </w:rPr>
        <w:t>notified</w:t>
      </w:r>
      <w:r w:rsidR="006409A1" w:rsidRPr="008A1DB4">
        <w:rPr>
          <w:spacing w:val="-2"/>
          <w:lang w:val="en-US" w:eastAsia="es-CR"/>
        </w:rPr>
        <w:t xml:space="preserve"> to the State on July 30, 2013, </w:t>
      </w:r>
      <w:r w:rsidR="00531C4E">
        <w:rPr>
          <w:spacing w:val="-2"/>
          <w:lang w:val="en-US" w:eastAsia="es-CR"/>
        </w:rPr>
        <w:t>granting it</w:t>
      </w:r>
      <w:r w:rsidR="006409A1" w:rsidRPr="008A1DB4">
        <w:rPr>
          <w:spacing w:val="-2"/>
          <w:lang w:val="en-US" w:eastAsia="es-CR"/>
        </w:rPr>
        <w:t xml:space="preserve"> two months to report on compliance with the recommendations. The State presented a report on the measures </w:t>
      </w:r>
      <w:r w:rsidR="00531C4E">
        <w:rPr>
          <w:spacing w:val="-2"/>
          <w:lang w:val="en-US" w:eastAsia="es-CR"/>
        </w:rPr>
        <w:t>taken</w:t>
      </w:r>
      <w:r w:rsidR="006409A1" w:rsidRPr="008A1DB4">
        <w:rPr>
          <w:spacing w:val="-2"/>
          <w:lang w:val="en-US" w:eastAsia="es-CR"/>
        </w:rPr>
        <w:t xml:space="preserve"> to </w:t>
      </w:r>
      <w:r w:rsidR="008A1DB4" w:rsidRPr="008A1DB4">
        <w:rPr>
          <w:spacing w:val="-2"/>
          <w:lang w:val="en-US" w:eastAsia="es-CR"/>
        </w:rPr>
        <w:t>comply</w:t>
      </w:r>
      <w:r w:rsidR="006409A1" w:rsidRPr="008A1DB4">
        <w:rPr>
          <w:spacing w:val="-2"/>
          <w:lang w:val="en-US" w:eastAsia="es-CR"/>
        </w:rPr>
        <w:t xml:space="preserve"> with the said recommendations on September 30, </w:t>
      </w:r>
      <w:r w:rsidR="00EC38D9" w:rsidRPr="008A1DB4">
        <w:rPr>
          <w:spacing w:val="-2"/>
          <w:lang w:val="en-US" w:eastAsia="es-CR"/>
        </w:rPr>
        <w:t xml:space="preserve">2013. </w:t>
      </w:r>
    </w:p>
    <w:p w14:paraId="6E0C012D" w14:textId="77777777" w:rsidR="00EC38D9" w:rsidRPr="008A1DB4" w:rsidRDefault="00EC38D9" w:rsidP="00956E97">
      <w:pPr>
        <w:pStyle w:val="ListParagraph"/>
        <w:tabs>
          <w:tab w:val="left" w:pos="426"/>
        </w:tabs>
        <w:ind w:left="0"/>
        <w:rPr>
          <w:b/>
          <w:bCs/>
          <w:spacing w:val="-2"/>
          <w:lang w:val="en-US" w:eastAsia="es-CR"/>
        </w:rPr>
      </w:pPr>
    </w:p>
    <w:p w14:paraId="5D960AB1" w14:textId="577CE980" w:rsidR="00EC38D9" w:rsidRPr="008A1DB4" w:rsidRDefault="00C45946" w:rsidP="00956E97">
      <w:pPr>
        <w:pStyle w:val="ListParagraph"/>
        <w:numPr>
          <w:ilvl w:val="0"/>
          <w:numId w:val="2"/>
        </w:numPr>
        <w:tabs>
          <w:tab w:val="left" w:pos="426"/>
        </w:tabs>
        <w:rPr>
          <w:b/>
          <w:bCs/>
          <w:spacing w:val="-2"/>
          <w:lang w:val="en-US" w:eastAsia="es-CR"/>
        </w:rPr>
      </w:pPr>
      <w:bookmarkStart w:id="166" w:name="_Ref430087509"/>
      <w:r w:rsidRPr="0039093A">
        <w:rPr>
          <w:i/>
          <w:iCs/>
          <w:spacing w:val="-2"/>
          <w:lang w:val="en-US" w:eastAsia="es-CR"/>
        </w:rPr>
        <w:t xml:space="preserve">Submission to </w:t>
      </w:r>
      <w:r w:rsidR="00F36400" w:rsidRPr="0039093A">
        <w:rPr>
          <w:i/>
          <w:iCs/>
          <w:spacing w:val="-2"/>
          <w:lang w:val="en-US" w:eastAsia="es-CR"/>
        </w:rPr>
        <w:t>the Court</w:t>
      </w:r>
      <w:r w:rsidRPr="0039093A">
        <w:rPr>
          <w:i/>
          <w:iCs/>
          <w:spacing w:val="-2"/>
          <w:lang w:val="en-US" w:eastAsia="es-CR"/>
        </w:rPr>
        <w:t xml:space="preserve">. </w:t>
      </w:r>
      <w:r w:rsidRPr="0039093A">
        <w:rPr>
          <w:spacing w:val="-2"/>
          <w:lang w:val="en-US" w:eastAsia="es-CR"/>
        </w:rPr>
        <w:t xml:space="preserve">On October 30, </w:t>
      </w:r>
      <w:r w:rsidR="009D230F" w:rsidRPr="0039093A">
        <w:rPr>
          <w:spacing w:val="-2"/>
          <w:lang w:val="en-US" w:eastAsia="es-CR"/>
        </w:rPr>
        <w:t>201</w:t>
      </w:r>
      <w:r w:rsidR="00F71D6F" w:rsidRPr="0039093A">
        <w:rPr>
          <w:spacing w:val="-2"/>
          <w:lang w:val="en-US" w:eastAsia="es-CR"/>
        </w:rPr>
        <w:t>3</w:t>
      </w:r>
      <w:r w:rsidRPr="0039093A">
        <w:rPr>
          <w:spacing w:val="-2"/>
          <w:lang w:val="en-US" w:eastAsia="es-CR"/>
        </w:rPr>
        <w:t>,</w:t>
      </w:r>
      <w:r w:rsidR="009D230F" w:rsidRPr="0039093A">
        <w:rPr>
          <w:spacing w:val="-2"/>
          <w:lang w:val="en-US" w:eastAsia="es-CR"/>
        </w:rPr>
        <w:t xml:space="preserve"> </w:t>
      </w:r>
      <w:r w:rsidR="00F36400" w:rsidRPr="0039093A">
        <w:rPr>
          <w:spacing w:val="-2"/>
          <w:lang w:val="en-US" w:eastAsia="es-CR"/>
        </w:rPr>
        <w:t>the Commission</w:t>
      </w:r>
      <w:r w:rsidR="009D230F" w:rsidRPr="0039093A">
        <w:rPr>
          <w:spacing w:val="-2"/>
          <w:lang w:val="en-US"/>
        </w:rPr>
        <w:t xml:space="preserve"> </w:t>
      </w:r>
      <w:r w:rsidR="008A1DB4" w:rsidRPr="0039093A">
        <w:rPr>
          <w:spacing w:val="-2"/>
          <w:lang w:val="en-US"/>
        </w:rPr>
        <w:t>submitted</w:t>
      </w:r>
      <w:r w:rsidRPr="0039093A">
        <w:rPr>
          <w:spacing w:val="-2"/>
          <w:lang w:val="en-US"/>
        </w:rPr>
        <w:t xml:space="preserve"> this case to the Court</w:t>
      </w:r>
      <w:r w:rsidRPr="008A1DB4">
        <w:rPr>
          <w:spacing w:val="-2"/>
          <w:lang w:val="en-US"/>
        </w:rPr>
        <w:t xml:space="preserve"> “in order to obtain justice for the [presumed] victim.” </w:t>
      </w:r>
      <w:r w:rsidR="00F36400" w:rsidRPr="008A1DB4">
        <w:rPr>
          <w:spacing w:val="-2"/>
          <w:lang w:val="en-US"/>
        </w:rPr>
        <w:t>The Commission</w:t>
      </w:r>
      <w:r w:rsidRPr="008A1DB4">
        <w:rPr>
          <w:spacing w:val="-2"/>
          <w:lang w:val="en-US"/>
        </w:rPr>
        <w:t xml:space="preserve"> appointed Commissioner </w:t>
      </w:r>
      <w:r w:rsidR="009D230F" w:rsidRPr="008A1DB4">
        <w:rPr>
          <w:spacing w:val="-2"/>
          <w:lang w:val="en-US"/>
        </w:rPr>
        <w:t xml:space="preserve">José de </w:t>
      </w:r>
      <w:proofErr w:type="spellStart"/>
      <w:r w:rsidR="009D230F" w:rsidRPr="008A1DB4">
        <w:rPr>
          <w:spacing w:val="-2"/>
          <w:lang w:val="en-US"/>
        </w:rPr>
        <w:t>Jesús</w:t>
      </w:r>
      <w:proofErr w:type="spellEnd"/>
      <w:r w:rsidR="009D230F" w:rsidRPr="008A1DB4">
        <w:rPr>
          <w:spacing w:val="-2"/>
          <w:lang w:val="en-US"/>
        </w:rPr>
        <w:t xml:space="preserve"> Orozco </w:t>
      </w:r>
      <w:proofErr w:type="spellStart"/>
      <w:r w:rsidR="009D230F" w:rsidRPr="008A1DB4">
        <w:rPr>
          <w:spacing w:val="-2"/>
          <w:lang w:val="en-US"/>
        </w:rPr>
        <w:t>Henríquez</w:t>
      </w:r>
      <w:proofErr w:type="spellEnd"/>
      <w:r w:rsidR="00F36400" w:rsidRPr="008A1DB4">
        <w:rPr>
          <w:spacing w:val="-2"/>
          <w:lang w:val="en-US"/>
        </w:rPr>
        <w:t xml:space="preserve"> and </w:t>
      </w:r>
      <w:r w:rsidRPr="008A1DB4">
        <w:rPr>
          <w:spacing w:val="-2"/>
          <w:lang w:val="en-US"/>
        </w:rPr>
        <w:t>Executive Secretary,</w:t>
      </w:r>
      <w:r w:rsidR="009D230F" w:rsidRPr="008A1DB4">
        <w:rPr>
          <w:spacing w:val="-2"/>
          <w:lang w:val="en-US"/>
        </w:rPr>
        <w:t xml:space="preserve"> </w:t>
      </w:r>
      <w:r w:rsidR="00F71D6F" w:rsidRPr="008A1DB4">
        <w:rPr>
          <w:spacing w:val="-2"/>
          <w:lang w:val="en-US"/>
        </w:rPr>
        <w:t xml:space="preserve">Emilio </w:t>
      </w:r>
      <w:proofErr w:type="spellStart"/>
      <w:r w:rsidR="00F71D6F" w:rsidRPr="008A1DB4">
        <w:rPr>
          <w:spacing w:val="-2"/>
          <w:lang w:val="en-US"/>
        </w:rPr>
        <w:t>Álvarez</w:t>
      </w:r>
      <w:proofErr w:type="spellEnd"/>
      <w:r w:rsidR="00F71D6F" w:rsidRPr="008A1DB4">
        <w:rPr>
          <w:spacing w:val="-2"/>
          <w:lang w:val="en-US"/>
        </w:rPr>
        <w:t xml:space="preserve"> </w:t>
      </w:r>
      <w:proofErr w:type="spellStart"/>
      <w:r w:rsidR="00F71D6F" w:rsidRPr="008A1DB4">
        <w:rPr>
          <w:spacing w:val="-2"/>
          <w:lang w:val="en-US"/>
        </w:rPr>
        <w:t>Icaza</w:t>
      </w:r>
      <w:proofErr w:type="spellEnd"/>
      <w:r w:rsidRPr="008A1DB4">
        <w:rPr>
          <w:spacing w:val="-2"/>
          <w:lang w:val="en-US"/>
        </w:rPr>
        <w:t>, as delegates</w:t>
      </w:r>
      <w:r w:rsidR="009D230F" w:rsidRPr="008A1DB4">
        <w:rPr>
          <w:spacing w:val="-2"/>
          <w:lang w:val="en-US"/>
        </w:rPr>
        <w:t>,</w:t>
      </w:r>
      <w:r w:rsidR="00F36400" w:rsidRPr="008A1DB4">
        <w:rPr>
          <w:spacing w:val="-2"/>
          <w:lang w:val="en-US"/>
        </w:rPr>
        <w:t xml:space="preserve"> and </w:t>
      </w:r>
      <w:r w:rsidR="009D230F" w:rsidRPr="008A1DB4">
        <w:rPr>
          <w:spacing w:val="-2"/>
          <w:lang w:val="en-US" w:eastAsia="es-CR"/>
        </w:rPr>
        <w:t xml:space="preserve">Elizabeth </w:t>
      </w:r>
      <w:proofErr w:type="spellStart"/>
      <w:r w:rsidR="009D230F" w:rsidRPr="008A1DB4">
        <w:rPr>
          <w:spacing w:val="-2"/>
          <w:lang w:val="en-US" w:eastAsia="es-CR"/>
        </w:rPr>
        <w:t>Abi-Mershed</w:t>
      </w:r>
      <w:proofErr w:type="spellEnd"/>
      <w:r w:rsidR="009D230F" w:rsidRPr="008A1DB4">
        <w:rPr>
          <w:spacing w:val="-2"/>
          <w:lang w:val="en-US" w:eastAsia="es-CR"/>
        </w:rPr>
        <w:t xml:space="preserve">, </w:t>
      </w:r>
      <w:r w:rsidRPr="008A1DB4">
        <w:rPr>
          <w:spacing w:val="-2"/>
          <w:lang w:val="en-US" w:eastAsia="es-CR"/>
        </w:rPr>
        <w:t>Deputy Executive Secretary</w:t>
      </w:r>
      <w:r w:rsidR="009D230F" w:rsidRPr="008A1DB4">
        <w:rPr>
          <w:spacing w:val="-2"/>
          <w:lang w:val="en-US" w:eastAsia="es-CR"/>
        </w:rPr>
        <w:t>,</w:t>
      </w:r>
      <w:r w:rsidR="00F36400" w:rsidRPr="008A1DB4">
        <w:rPr>
          <w:spacing w:val="-2"/>
          <w:lang w:val="en-US" w:eastAsia="es-CR"/>
        </w:rPr>
        <w:t xml:space="preserve"> and </w:t>
      </w:r>
      <w:r w:rsidR="00F71D6F" w:rsidRPr="008A1DB4">
        <w:rPr>
          <w:spacing w:val="-2"/>
          <w:lang w:val="en-US" w:eastAsia="es-CR"/>
        </w:rPr>
        <w:t xml:space="preserve">Silvia Serrano </w:t>
      </w:r>
      <w:proofErr w:type="spellStart"/>
      <w:r w:rsidR="00F71D6F" w:rsidRPr="008A1DB4">
        <w:rPr>
          <w:spacing w:val="-2"/>
          <w:lang w:val="en-US" w:eastAsia="es-CR"/>
        </w:rPr>
        <w:t>Guzmán</w:t>
      </w:r>
      <w:proofErr w:type="spellEnd"/>
      <w:r w:rsidRPr="008A1DB4">
        <w:rPr>
          <w:spacing w:val="-2"/>
          <w:lang w:val="en-US" w:eastAsia="es-CR"/>
        </w:rPr>
        <w:t xml:space="preserve"> as legal advisers.</w:t>
      </w:r>
      <w:bookmarkEnd w:id="166"/>
      <w:r w:rsidR="009D230F" w:rsidRPr="008A1DB4">
        <w:rPr>
          <w:bCs/>
          <w:spacing w:val="-2"/>
          <w:lang w:val="en-US" w:eastAsia="es-CR"/>
        </w:rPr>
        <w:t xml:space="preserve"> </w:t>
      </w:r>
      <w:bookmarkStart w:id="167" w:name="_Ref374883169"/>
    </w:p>
    <w:p w14:paraId="6024FF24" w14:textId="77777777" w:rsidR="00EC38D9" w:rsidRPr="008A1DB4" w:rsidRDefault="00EC38D9" w:rsidP="00956E97">
      <w:pPr>
        <w:pStyle w:val="ListParagraph"/>
        <w:tabs>
          <w:tab w:val="left" w:pos="426"/>
        </w:tabs>
        <w:ind w:left="0"/>
        <w:rPr>
          <w:b/>
          <w:bCs/>
          <w:spacing w:val="-2"/>
          <w:lang w:val="en-US" w:eastAsia="es-CR"/>
        </w:rPr>
      </w:pPr>
    </w:p>
    <w:p w14:paraId="065CF5ED" w14:textId="0FCAF5F7" w:rsidR="00AF17C2" w:rsidRPr="008A1DB4" w:rsidRDefault="00C45946" w:rsidP="00956E97">
      <w:pPr>
        <w:pStyle w:val="ListParagraph"/>
        <w:numPr>
          <w:ilvl w:val="0"/>
          <w:numId w:val="2"/>
        </w:numPr>
        <w:tabs>
          <w:tab w:val="left" w:pos="426"/>
        </w:tabs>
        <w:rPr>
          <w:b/>
          <w:bCs/>
          <w:spacing w:val="-2"/>
          <w:lang w:val="en-US" w:eastAsia="es-CR"/>
        </w:rPr>
      </w:pPr>
      <w:r w:rsidRPr="008A1DB4">
        <w:rPr>
          <w:i/>
          <w:iCs/>
          <w:spacing w:val="-2"/>
          <w:lang w:val="en-US" w:eastAsia="es-CR"/>
        </w:rPr>
        <w:t xml:space="preserve">Requests of </w:t>
      </w:r>
      <w:r w:rsidR="00F36400" w:rsidRPr="008A1DB4">
        <w:rPr>
          <w:i/>
          <w:iCs/>
          <w:spacing w:val="-2"/>
          <w:lang w:val="en-US" w:eastAsia="es-CR"/>
        </w:rPr>
        <w:t>the Inter-American Commission</w:t>
      </w:r>
      <w:r w:rsidRPr="008A1DB4">
        <w:rPr>
          <w:i/>
          <w:iCs/>
          <w:spacing w:val="-2"/>
          <w:lang w:val="en-US" w:eastAsia="es-CR"/>
        </w:rPr>
        <w:t>.</w:t>
      </w:r>
      <w:r w:rsidR="009D230F" w:rsidRPr="008A1DB4">
        <w:rPr>
          <w:i/>
          <w:iCs/>
          <w:spacing w:val="-2"/>
          <w:lang w:val="en-US" w:eastAsia="es-CR"/>
        </w:rPr>
        <w:t xml:space="preserve"> </w:t>
      </w:r>
      <w:r w:rsidRPr="008A1DB4">
        <w:rPr>
          <w:spacing w:val="-2"/>
          <w:lang w:val="en-US" w:eastAsia="es-CR"/>
        </w:rPr>
        <w:t xml:space="preserve">Based on the foregoing, </w:t>
      </w:r>
      <w:r w:rsidR="00F36400" w:rsidRPr="008A1DB4">
        <w:rPr>
          <w:spacing w:val="-2"/>
          <w:lang w:val="en-US" w:eastAsia="es-CR"/>
        </w:rPr>
        <w:t>the Inter-American Commission</w:t>
      </w:r>
      <w:r w:rsidR="009D230F" w:rsidRPr="008A1DB4">
        <w:rPr>
          <w:spacing w:val="-2"/>
          <w:lang w:val="en-US" w:eastAsia="es-CR"/>
        </w:rPr>
        <w:t xml:space="preserve"> </w:t>
      </w:r>
      <w:r w:rsidRPr="008A1DB4">
        <w:rPr>
          <w:spacing w:val="-2"/>
          <w:lang w:val="en-US" w:eastAsia="es-CR"/>
        </w:rPr>
        <w:t>asked</w:t>
      </w:r>
      <w:r w:rsidR="009D230F" w:rsidRPr="008A1DB4">
        <w:rPr>
          <w:spacing w:val="-2"/>
          <w:lang w:val="en-US" w:eastAsia="es-CR"/>
        </w:rPr>
        <w:t xml:space="preserve"> </w:t>
      </w:r>
      <w:r w:rsidR="00F36400" w:rsidRPr="008A1DB4">
        <w:rPr>
          <w:spacing w:val="-2"/>
          <w:lang w:val="en-US" w:eastAsia="es-CR"/>
        </w:rPr>
        <w:t>this Court</w:t>
      </w:r>
      <w:r w:rsidR="009D230F" w:rsidRPr="008A1DB4">
        <w:rPr>
          <w:spacing w:val="-2"/>
          <w:lang w:val="en-US" w:eastAsia="es-CR"/>
        </w:rPr>
        <w:t xml:space="preserve"> </w:t>
      </w:r>
      <w:r w:rsidRPr="008A1DB4">
        <w:rPr>
          <w:spacing w:val="-2"/>
          <w:lang w:val="en-US" w:eastAsia="es-CR"/>
        </w:rPr>
        <w:t xml:space="preserve">to conclude and declare the international responsibility of Peru for the violations contained in its </w:t>
      </w:r>
      <w:r w:rsidR="00F36400" w:rsidRPr="008A1DB4">
        <w:rPr>
          <w:spacing w:val="-2"/>
          <w:lang w:val="en-US" w:eastAsia="es-CR"/>
        </w:rPr>
        <w:t xml:space="preserve">Merits Report and </w:t>
      </w:r>
      <w:r w:rsidRPr="008A1DB4">
        <w:rPr>
          <w:spacing w:val="-2"/>
          <w:lang w:val="en-US" w:eastAsia="es-CR"/>
        </w:rPr>
        <w:t>to o</w:t>
      </w:r>
      <w:r w:rsidR="0039093A">
        <w:rPr>
          <w:spacing w:val="-2"/>
          <w:lang w:val="en-US" w:eastAsia="es-CR"/>
        </w:rPr>
        <w:t xml:space="preserve">rder the State, as measures of </w:t>
      </w:r>
      <w:r w:rsidRPr="008A1DB4">
        <w:rPr>
          <w:spacing w:val="-2"/>
          <w:lang w:val="en-US" w:eastAsia="es-CR"/>
        </w:rPr>
        <w:t xml:space="preserve">reparation, to comply with the recommendations included in </w:t>
      </w:r>
      <w:r w:rsidR="0039093A">
        <w:rPr>
          <w:spacing w:val="-2"/>
          <w:lang w:val="en-US" w:eastAsia="es-CR"/>
        </w:rPr>
        <w:t>that</w:t>
      </w:r>
      <w:r w:rsidRPr="008A1DB4">
        <w:rPr>
          <w:spacing w:val="-2"/>
          <w:lang w:val="en-US" w:eastAsia="es-CR"/>
        </w:rPr>
        <w:t xml:space="preserve"> report </w:t>
      </w:r>
      <w:r w:rsidR="009D230F" w:rsidRPr="008A1DB4">
        <w:rPr>
          <w:spacing w:val="-2"/>
          <w:lang w:val="en-US" w:eastAsia="es-CR"/>
        </w:rPr>
        <w:t>(</w:t>
      </w:r>
      <w:r w:rsidR="009D230F" w:rsidRPr="008A1DB4">
        <w:rPr>
          <w:i/>
          <w:spacing w:val="-2"/>
          <w:lang w:val="en-US" w:eastAsia="es-CR"/>
        </w:rPr>
        <w:t>supra</w:t>
      </w:r>
      <w:r w:rsidR="009D230F" w:rsidRPr="008A1DB4">
        <w:rPr>
          <w:spacing w:val="-2"/>
          <w:lang w:val="en-US" w:eastAsia="es-CR"/>
        </w:rPr>
        <w:t xml:space="preserve"> </w:t>
      </w:r>
      <w:r w:rsidRPr="008A1DB4">
        <w:rPr>
          <w:spacing w:val="-2"/>
          <w:lang w:val="en-US" w:eastAsia="es-CR"/>
        </w:rPr>
        <w:t xml:space="preserve">para. </w:t>
      </w:r>
      <w:r w:rsidR="00803862" w:rsidRPr="008A1DB4">
        <w:rPr>
          <w:spacing w:val="-2"/>
          <w:lang w:val="en-US"/>
        </w:rPr>
        <w:fldChar w:fldCharType="begin"/>
      </w:r>
      <w:r w:rsidR="00DB228B" w:rsidRPr="008A1DB4">
        <w:rPr>
          <w:spacing w:val="-2"/>
          <w:lang w:val="en-US" w:eastAsia="es-CR"/>
        </w:rPr>
        <w:instrText xml:space="preserve"> REF _Ref419215596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eastAsia="es-CR"/>
        </w:rPr>
        <w:t>2</w:t>
      </w:r>
      <w:r w:rsidR="00803862" w:rsidRPr="008A1DB4">
        <w:rPr>
          <w:spacing w:val="-2"/>
          <w:lang w:val="en-US"/>
        </w:rPr>
        <w:fldChar w:fldCharType="end"/>
      </w:r>
      <w:r w:rsidR="009D230F" w:rsidRPr="008A1DB4">
        <w:rPr>
          <w:spacing w:val="-2"/>
          <w:lang w:val="en-US" w:eastAsia="es-CR"/>
        </w:rPr>
        <w:t>).</w:t>
      </w:r>
      <w:bookmarkEnd w:id="167"/>
      <w:r w:rsidR="009D230F" w:rsidRPr="008A1DB4">
        <w:rPr>
          <w:spacing w:val="-2"/>
          <w:lang w:val="en-US" w:eastAsia="es-CR"/>
        </w:rPr>
        <w:t xml:space="preserve"> </w:t>
      </w:r>
      <w:bookmarkStart w:id="168" w:name="_Ref375074590"/>
      <w:bookmarkStart w:id="169" w:name="_Ref305145760"/>
      <w:bookmarkStart w:id="170" w:name="_Ref343193232"/>
      <w:bookmarkStart w:id="171" w:name="_Ref354764277"/>
      <w:bookmarkStart w:id="172" w:name="_Ref292815256"/>
      <w:bookmarkEnd w:id="130"/>
    </w:p>
    <w:p w14:paraId="37534384" w14:textId="77777777" w:rsidR="009C37D1" w:rsidRPr="008A1DB4" w:rsidRDefault="009C37D1" w:rsidP="00956E97">
      <w:pPr>
        <w:pStyle w:val="ListParagraph"/>
        <w:tabs>
          <w:tab w:val="left" w:pos="426"/>
        </w:tabs>
        <w:ind w:left="0"/>
        <w:rPr>
          <w:b/>
          <w:bCs/>
          <w:spacing w:val="-2"/>
          <w:lang w:val="en-US" w:eastAsia="es-CR"/>
        </w:rPr>
      </w:pPr>
    </w:p>
    <w:p w14:paraId="1051DE32" w14:textId="097F3D52" w:rsidR="009C37D1" w:rsidRPr="008A1DB4" w:rsidRDefault="00C45946" w:rsidP="00956E97">
      <w:pPr>
        <w:pStyle w:val="ListParagraph"/>
        <w:numPr>
          <w:ilvl w:val="0"/>
          <w:numId w:val="2"/>
        </w:numPr>
        <w:tabs>
          <w:tab w:val="left" w:pos="426"/>
        </w:tabs>
        <w:rPr>
          <w:bCs/>
          <w:spacing w:val="-2"/>
          <w:lang w:val="en-US" w:eastAsia="es-CR"/>
        </w:rPr>
      </w:pPr>
      <w:r w:rsidRPr="008A1DB4">
        <w:rPr>
          <w:bCs/>
          <w:i/>
          <w:spacing w:val="-2"/>
          <w:lang w:val="en-US" w:eastAsia="es-CR"/>
        </w:rPr>
        <w:t>Provisional measures</w:t>
      </w:r>
      <w:r w:rsidRPr="008A1DB4">
        <w:rPr>
          <w:bCs/>
          <w:spacing w:val="-2"/>
          <w:lang w:val="en-US" w:eastAsia="es-CR"/>
        </w:rPr>
        <w:t xml:space="preserve">. In the instant case, </w:t>
      </w:r>
      <w:r w:rsidR="0039093A" w:rsidRPr="008A1DB4">
        <w:rPr>
          <w:bCs/>
          <w:spacing w:val="-2"/>
          <w:lang w:val="en-US" w:eastAsia="es-CR"/>
        </w:rPr>
        <w:t>starting in May 2010</w:t>
      </w:r>
      <w:r w:rsidR="0039093A">
        <w:rPr>
          <w:bCs/>
          <w:spacing w:val="-2"/>
          <w:lang w:val="en-US" w:eastAsia="es-CR"/>
        </w:rPr>
        <w:t xml:space="preserve">, </w:t>
      </w:r>
      <w:r w:rsidRPr="008A1DB4">
        <w:rPr>
          <w:bCs/>
          <w:spacing w:val="-2"/>
          <w:lang w:val="en-US" w:eastAsia="es-CR"/>
        </w:rPr>
        <w:t xml:space="preserve">provisional measures were granted under </w:t>
      </w:r>
      <w:r w:rsidR="00F36400" w:rsidRPr="008A1DB4">
        <w:rPr>
          <w:bCs/>
          <w:spacing w:val="-2"/>
          <w:lang w:val="en-US" w:eastAsia="es-CR"/>
        </w:rPr>
        <w:t>Article</w:t>
      </w:r>
      <w:r w:rsidR="00673EBF" w:rsidRPr="008A1DB4">
        <w:rPr>
          <w:bCs/>
          <w:spacing w:val="-2"/>
          <w:lang w:val="en-US" w:eastAsia="es-CR"/>
        </w:rPr>
        <w:t xml:space="preserve"> </w:t>
      </w:r>
      <w:r w:rsidRPr="008A1DB4">
        <w:rPr>
          <w:bCs/>
          <w:spacing w:val="-2"/>
          <w:lang w:val="en-US" w:eastAsia="es-CR"/>
        </w:rPr>
        <w:t>63(2)</w:t>
      </w:r>
      <w:r w:rsidR="00F36400" w:rsidRPr="008A1DB4">
        <w:rPr>
          <w:bCs/>
          <w:spacing w:val="-2"/>
          <w:lang w:val="en-US" w:eastAsia="es-CR"/>
        </w:rPr>
        <w:t xml:space="preserve"> of the Convention</w:t>
      </w:r>
      <w:r w:rsidR="00673EBF" w:rsidRPr="008A1DB4">
        <w:rPr>
          <w:bCs/>
          <w:spacing w:val="-2"/>
          <w:lang w:val="en-US" w:eastAsia="es-CR"/>
        </w:rPr>
        <w:t xml:space="preserve"> </w:t>
      </w:r>
      <w:r w:rsidRPr="008A1DB4">
        <w:rPr>
          <w:bCs/>
          <w:spacing w:val="-2"/>
          <w:lang w:val="en-US" w:eastAsia="es-CR"/>
        </w:rPr>
        <w:t xml:space="preserve">for the State to refrain from extraditing </w:t>
      </w:r>
      <w:r w:rsidR="009C37D1" w:rsidRPr="008A1DB4">
        <w:rPr>
          <w:bCs/>
          <w:spacing w:val="-2"/>
          <w:lang w:val="en-US" w:eastAsia="es-CR"/>
        </w:rPr>
        <w:t xml:space="preserve">Wong Ho Wing </w:t>
      </w:r>
      <w:r w:rsidRPr="008A1DB4">
        <w:rPr>
          <w:bCs/>
          <w:spacing w:val="-2"/>
          <w:lang w:val="en-US" w:eastAsia="es-CR"/>
        </w:rPr>
        <w:t>until the organs of the inter-American human rights system</w:t>
      </w:r>
      <w:r w:rsidR="009C37D1" w:rsidRPr="008A1DB4">
        <w:rPr>
          <w:bCs/>
          <w:spacing w:val="-2"/>
          <w:lang w:val="en-US" w:eastAsia="es-CR"/>
        </w:rPr>
        <w:t xml:space="preserve"> </w:t>
      </w:r>
      <w:r w:rsidRPr="008A1DB4">
        <w:rPr>
          <w:bCs/>
          <w:spacing w:val="-2"/>
          <w:lang w:val="en-US" w:eastAsia="es-CR"/>
        </w:rPr>
        <w:t xml:space="preserve">had examined and ruled on the case </w:t>
      </w:r>
      <w:r w:rsidR="009C37D1" w:rsidRPr="008A1DB4">
        <w:rPr>
          <w:bCs/>
          <w:spacing w:val="-2"/>
          <w:lang w:val="en-US" w:eastAsia="es-CR"/>
        </w:rPr>
        <w:t>(</w:t>
      </w:r>
      <w:r w:rsidR="009C37D1" w:rsidRPr="008A1DB4">
        <w:rPr>
          <w:bCs/>
          <w:i/>
          <w:spacing w:val="-2"/>
          <w:lang w:val="en-US" w:eastAsia="es-CR"/>
        </w:rPr>
        <w:t>infra</w:t>
      </w:r>
      <w:r w:rsidR="009C37D1" w:rsidRPr="008A1DB4">
        <w:rPr>
          <w:bCs/>
          <w:spacing w:val="-2"/>
          <w:lang w:val="en-US" w:eastAsia="es-CR"/>
        </w:rPr>
        <w:t xml:space="preserve"> </w:t>
      </w:r>
      <w:r w:rsidRPr="008A1DB4">
        <w:rPr>
          <w:bCs/>
          <w:spacing w:val="-2"/>
          <w:lang w:val="en-US" w:eastAsia="es-CR"/>
        </w:rPr>
        <w:t xml:space="preserve">para. </w:t>
      </w:r>
      <w:r w:rsidR="00803862" w:rsidRPr="008A1DB4">
        <w:rPr>
          <w:bCs/>
          <w:spacing w:val="-2"/>
          <w:lang w:val="en-US" w:eastAsia="es-CR"/>
        </w:rPr>
        <w:fldChar w:fldCharType="begin"/>
      </w:r>
      <w:r w:rsidR="009C37D1" w:rsidRPr="008A1DB4">
        <w:rPr>
          <w:bCs/>
          <w:spacing w:val="-2"/>
          <w:lang w:val="en-US" w:eastAsia="es-CR"/>
        </w:rPr>
        <w:instrText xml:space="preserve"> REF _Ref418904879 \r \h </w:instrText>
      </w:r>
      <w:r w:rsidR="00DC41F4" w:rsidRPr="008A1DB4">
        <w:rPr>
          <w:bCs/>
          <w:spacing w:val="-2"/>
          <w:lang w:val="en-US" w:eastAsia="es-CR"/>
        </w:rPr>
        <w:instrText xml:space="preserve"> \* MERGEFORMAT </w:instrText>
      </w:r>
      <w:r w:rsidR="00803862" w:rsidRPr="008A1DB4">
        <w:rPr>
          <w:bCs/>
          <w:spacing w:val="-2"/>
          <w:lang w:val="en-US" w:eastAsia="es-CR"/>
        </w:rPr>
      </w:r>
      <w:r w:rsidR="00803862" w:rsidRPr="008A1DB4">
        <w:rPr>
          <w:bCs/>
          <w:spacing w:val="-2"/>
          <w:lang w:val="en-US" w:eastAsia="es-CR"/>
        </w:rPr>
        <w:fldChar w:fldCharType="separate"/>
      </w:r>
      <w:r w:rsidR="00E961FA" w:rsidRPr="008A1DB4">
        <w:rPr>
          <w:bCs/>
          <w:spacing w:val="-2"/>
          <w:lang w:val="en-US" w:eastAsia="es-CR"/>
        </w:rPr>
        <w:t>31</w:t>
      </w:r>
      <w:r w:rsidR="00803862" w:rsidRPr="008A1DB4">
        <w:rPr>
          <w:bCs/>
          <w:spacing w:val="-2"/>
          <w:lang w:val="en-US" w:eastAsia="es-CR"/>
        </w:rPr>
        <w:fldChar w:fldCharType="end"/>
      </w:r>
      <w:r w:rsidR="009C37D1" w:rsidRPr="008A1DB4">
        <w:rPr>
          <w:bCs/>
          <w:spacing w:val="-2"/>
          <w:lang w:val="en-US" w:eastAsia="es-CR"/>
        </w:rPr>
        <w:t>)</w:t>
      </w:r>
      <w:r w:rsidR="00513300" w:rsidRPr="008A1DB4">
        <w:rPr>
          <w:bCs/>
          <w:spacing w:val="-2"/>
          <w:lang w:val="en-US" w:eastAsia="es-CR"/>
        </w:rPr>
        <w:t>.</w:t>
      </w:r>
    </w:p>
    <w:p w14:paraId="2FC5E354" w14:textId="77777777" w:rsidR="00AF17C2" w:rsidRPr="008A1DB4" w:rsidRDefault="00AF17C2" w:rsidP="00956E97">
      <w:pPr>
        <w:pStyle w:val="ListParagraph"/>
        <w:tabs>
          <w:tab w:val="left" w:pos="426"/>
        </w:tabs>
        <w:ind w:left="0"/>
        <w:rPr>
          <w:i/>
          <w:iCs/>
          <w:spacing w:val="-2"/>
          <w:lang w:val="en-US" w:eastAsia="es-CR"/>
        </w:rPr>
      </w:pPr>
    </w:p>
    <w:p w14:paraId="55AEEC13" w14:textId="77777777" w:rsidR="00AF17C2" w:rsidRPr="008A1DB4" w:rsidRDefault="00AF17C2" w:rsidP="00956E97">
      <w:pPr>
        <w:pStyle w:val="Title"/>
        <w:rPr>
          <w:spacing w:val="-2"/>
          <w:lang w:val="en-US"/>
        </w:rPr>
      </w:pPr>
      <w:bookmarkStart w:id="173" w:name="_Toc395213476"/>
      <w:bookmarkStart w:id="174" w:name="_Toc396514835"/>
      <w:bookmarkStart w:id="175" w:name="_Toc396515104"/>
      <w:bookmarkStart w:id="176" w:name="_Toc418912582"/>
      <w:bookmarkStart w:id="177" w:name="_Toc419394364"/>
      <w:bookmarkStart w:id="178" w:name="_Toc429490230"/>
      <w:bookmarkStart w:id="179" w:name="_Toc429503742"/>
      <w:bookmarkStart w:id="180" w:name="_Toc429504248"/>
      <w:bookmarkStart w:id="181" w:name="_Toc429677961"/>
      <w:bookmarkStart w:id="182" w:name="_Toc430017124"/>
      <w:bookmarkStart w:id="183" w:name="_Toc430017353"/>
      <w:bookmarkStart w:id="184" w:name="_Toc430018635"/>
      <w:bookmarkStart w:id="185" w:name="_Toc430125233"/>
      <w:bookmarkStart w:id="186" w:name="_Toc430125341"/>
      <w:r w:rsidRPr="008A1DB4">
        <w:rPr>
          <w:spacing w:val="-2"/>
          <w:lang w:val="en-US"/>
        </w:rPr>
        <w:t>II</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2A37796" w14:textId="3A4375C5" w:rsidR="00AF17C2" w:rsidRPr="008A1DB4" w:rsidRDefault="00C45946" w:rsidP="00956E97">
      <w:pPr>
        <w:pStyle w:val="Title"/>
        <w:rPr>
          <w:spacing w:val="-2"/>
          <w:lang w:val="en-US"/>
        </w:rPr>
      </w:pPr>
      <w:r w:rsidRPr="008A1DB4">
        <w:rPr>
          <w:spacing w:val="-2"/>
          <w:lang w:val="en-US"/>
        </w:rPr>
        <w:t>PROCEEDINGS BEFORE THE COURT</w:t>
      </w:r>
    </w:p>
    <w:p w14:paraId="442F716F" w14:textId="77777777" w:rsidR="00AF17C2" w:rsidRPr="008A1DB4" w:rsidRDefault="00AF17C2" w:rsidP="00956E97">
      <w:pPr>
        <w:pStyle w:val="ListParagraph"/>
        <w:tabs>
          <w:tab w:val="left" w:pos="426"/>
        </w:tabs>
        <w:ind w:left="0"/>
        <w:rPr>
          <w:b/>
          <w:bCs/>
          <w:spacing w:val="-2"/>
          <w:lang w:val="en-US" w:eastAsia="es-CR"/>
        </w:rPr>
      </w:pPr>
    </w:p>
    <w:p w14:paraId="6B1F9526" w14:textId="58DC6D94" w:rsidR="00AF17C2" w:rsidRPr="008A1DB4" w:rsidRDefault="0039093A" w:rsidP="00956E97">
      <w:pPr>
        <w:pStyle w:val="ListParagraph"/>
        <w:numPr>
          <w:ilvl w:val="0"/>
          <w:numId w:val="2"/>
        </w:numPr>
        <w:tabs>
          <w:tab w:val="left" w:pos="426"/>
        </w:tabs>
        <w:rPr>
          <w:b/>
          <w:bCs/>
          <w:spacing w:val="-2"/>
          <w:lang w:val="en-US" w:eastAsia="es-CR"/>
        </w:rPr>
      </w:pPr>
      <w:r>
        <w:rPr>
          <w:i/>
          <w:iCs/>
          <w:spacing w:val="-2"/>
          <w:lang w:val="en-US"/>
        </w:rPr>
        <w:t>Notification of</w:t>
      </w:r>
      <w:r w:rsidR="00C45946" w:rsidRPr="008A1DB4">
        <w:rPr>
          <w:i/>
          <w:iCs/>
          <w:spacing w:val="-2"/>
          <w:lang w:val="en-US"/>
        </w:rPr>
        <w:t xml:space="preserve"> the State </w:t>
      </w:r>
      <w:r>
        <w:rPr>
          <w:i/>
          <w:iCs/>
          <w:spacing w:val="-2"/>
          <w:lang w:val="en-US"/>
        </w:rPr>
        <w:t>and</w:t>
      </w:r>
      <w:r w:rsidR="00C45946" w:rsidRPr="008A1DB4">
        <w:rPr>
          <w:i/>
          <w:iCs/>
          <w:spacing w:val="-2"/>
          <w:lang w:val="en-US"/>
        </w:rPr>
        <w:t xml:space="preserve"> the representative</w:t>
      </w:r>
      <w:r w:rsidR="00E40E2B" w:rsidRPr="008A1DB4">
        <w:rPr>
          <w:i/>
          <w:iCs/>
          <w:spacing w:val="-2"/>
          <w:lang w:val="en-US"/>
        </w:rPr>
        <w:t>.</w:t>
      </w:r>
      <w:r w:rsidR="009D230F" w:rsidRPr="008A1DB4">
        <w:rPr>
          <w:i/>
          <w:iCs/>
          <w:spacing w:val="-2"/>
          <w:lang w:val="en-US"/>
        </w:rPr>
        <w:t xml:space="preserve"> </w:t>
      </w:r>
      <w:r w:rsidR="00C45946" w:rsidRPr="008A1DB4">
        <w:rPr>
          <w:spacing w:val="-2"/>
          <w:lang w:val="en-US"/>
        </w:rPr>
        <w:t xml:space="preserve">The submission of the case was notified to the State </w:t>
      </w:r>
      <w:r w:rsidR="00F36400" w:rsidRPr="008A1DB4">
        <w:rPr>
          <w:spacing w:val="-2"/>
          <w:lang w:val="en-US"/>
        </w:rPr>
        <w:t xml:space="preserve">and </w:t>
      </w:r>
      <w:r w:rsidR="00C45946" w:rsidRPr="008A1DB4">
        <w:rPr>
          <w:spacing w:val="-2"/>
          <w:lang w:val="en-US"/>
        </w:rPr>
        <w:t xml:space="preserve">to the representative of the </w:t>
      </w:r>
      <w:r w:rsidR="00F36400" w:rsidRPr="008A1DB4">
        <w:rPr>
          <w:spacing w:val="-2"/>
          <w:lang w:val="en-US"/>
        </w:rPr>
        <w:t>presumed victim</w:t>
      </w:r>
      <w:r w:rsidR="009D230F" w:rsidRPr="008A1DB4">
        <w:rPr>
          <w:spacing w:val="-2"/>
          <w:lang w:val="en-US"/>
        </w:rPr>
        <w:t xml:space="preserve"> </w:t>
      </w:r>
      <w:r w:rsidR="00C45946" w:rsidRPr="008A1DB4">
        <w:rPr>
          <w:spacing w:val="-2"/>
          <w:lang w:val="en-US"/>
        </w:rPr>
        <w:t>on December 9,</w:t>
      </w:r>
      <w:r w:rsidR="009D230F" w:rsidRPr="008A1DB4">
        <w:rPr>
          <w:spacing w:val="-2"/>
          <w:lang w:val="en-US"/>
        </w:rPr>
        <w:t xml:space="preserve"> 201</w:t>
      </w:r>
      <w:bookmarkEnd w:id="168"/>
      <w:r w:rsidR="000A1BFE" w:rsidRPr="008A1DB4">
        <w:rPr>
          <w:spacing w:val="-2"/>
          <w:lang w:val="en-US"/>
        </w:rPr>
        <w:t>3</w:t>
      </w:r>
      <w:r w:rsidR="009D230F" w:rsidRPr="008A1DB4">
        <w:rPr>
          <w:spacing w:val="-2"/>
          <w:lang w:val="en-US"/>
        </w:rPr>
        <w:t xml:space="preserve">. </w:t>
      </w:r>
      <w:bookmarkStart w:id="187" w:name="_Ref395204673"/>
      <w:bookmarkStart w:id="188" w:name="_Ref303528952"/>
      <w:bookmarkStart w:id="189" w:name="_Ref313874640"/>
      <w:bookmarkStart w:id="190" w:name="_Ref374884896"/>
      <w:bookmarkStart w:id="191" w:name="_Ref367870867"/>
      <w:bookmarkEnd w:id="169"/>
    </w:p>
    <w:p w14:paraId="35A9CD3D" w14:textId="77777777" w:rsidR="00AF17C2" w:rsidRPr="008A1DB4" w:rsidRDefault="00AF17C2" w:rsidP="00956E97">
      <w:pPr>
        <w:pStyle w:val="ListParagraph"/>
        <w:tabs>
          <w:tab w:val="left" w:pos="426"/>
        </w:tabs>
        <w:ind w:left="0"/>
        <w:rPr>
          <w:b/>
          <w:bCs/>
          <w:spacing w:val="-2"/>
          <w:lang w:val="en-US" w:eastAsia="es-CR"/>
        </w:rPr>
      </w:pPr>
    </w:p>
    <w:p w14:paraId="4E336F81" w14:textId="5BAD6932" w:rsidR="00AF17C2" w:rsidRPr="008A1DB4" w:rsidRDefault="00C45946" w:rsidP="00956E97">
      <w:pPr>
        <w:pStyle w:val="ListParagraph"/>
        <w:numPr>
          <w:ilvl w:val="0"/>
          <w:numId w:val="2"/>
        </w:numPr>
        <w:tabs>
          <w:tab w:val="left" w:pos="426"/>
        </w:tabs>
        <w:rPr>
          <w:b/>
          <w:bCs/>
          <w:spacing w:val="-2"/>
          <w:lang w:val="en-US" w:eastAsia="es-CR"/>
        </w:rPr>
      </w:pPr>
      <w:bookmarkStart w:id="192" w:name="_Ref416371728"/>
      <w:r w:rsidRPr="008A1DB4">
        <w:rPr>
          <w:i/>
          <w:iCs/>
          <w:spacing w:val="-2"/>
          <w:lang w:val="en-US"/>
        </w:rPr>
        <w:t>Brief with motions, arguments and evidence</w:t>
      </w:r>
      <w:r w:rsidR="00E40E2B" w:rsidRPr="008A1DB4">
        <w:rPr>
          <w:i/>
          <w:iCs/>
          <w:spacing w:val="-2"/>
          <w:lang w:val="en-US"/>
        </w:rPr>
        <w:t>.</w:t>
      </w:r>
      <w:r w:rsidR="009D230F" w:rsidRPr="008A1DB4">
        <w:rPr>
          <w:i/>
          <w:iCs/>
          <w:spacing w:val="-2"/>
          <w:lang w:val="en-US"/>
        </w:rPr>
        <w:t xml:space="preserve"> </w:t>
      </w:r>
      <w:r w:rsidRPr="008A1DB4">
        <w:rPr>
          <w:spacing w:val="-2"/>
          <w:lang w:val="en-US"/>
        </w:rPr>
        <w:t>On February</w:t>
      </w:r>
      <w:r w:rsidR="009D230F" w:rsidRPr="008A1DB4">
        <w:rPr>
          <w:spacing w:val="-2"/>
          <w:lang w:val="en-US"/>
        </w:rPr>
        <w:t xml:space="preserve"> 5</w:t>
      </w:r>
      <w:r w:rsidR="00290420" w:rsidRPr="008A1DB4">
        <w:rPr>
          <w:spacing w:val="-2"/>
          <w:lang w:val="en-US"/>
        </w:rPr>
        <w:t>, 6</w:t>
      </w:r>
      <w:r w:rsidR="00F36400" w:rsidRPr="008A1DB4">
        <w:rPr>
          <w:spacing w:val="-2"/>
          <w:lang w:val="en-US"/>
        </w:rPr>
        <w:t xml:space="preserve"> and </w:t>
      </w:r>
      <w:r w:rsidRPr="008A1DB4">
        <w:rPr>
          <w:spacing w:val="-2"/>
          <w:lang w:val="en-US"/>
        </w:rPr>
        <w:t xml:space="preserve">9, </w:t>
      </w:r>
      <w:r w:rsidR="009D230F" w:rsidRPr="008A1DB4">
        <w:rPr>
          <w:spacing w:val="-2"/>
          <w:lang w:val="en-US"/>
        </w:rPr>
        <w:t>201</w:t>
      </w:r>
      <w:r w:rsidR="00421524" w:rsidRPr="008A1DB4">
        <w:rPr>
          <w:spacing w:val="-2"/>
          <w:lang w:val="en-US"/>
        </w:rPr>
        <w:t>4</w:t>
      </w:r>
      <w:r w:rsidRPr="008A1DB4">
        <w:rPr>
          <w:spacing w:val="-2"/>
          <w:lang w:val="en-US"/>
        </w:rPr>
        <w:t xml:space="preserve">, the lawyer, </w:t>
      </w:r>
      <w:r w:rsidR="00421524" w:rsidRPr="008A1DB4">
        <w:rPr>
          <w:spacing w:val="-2"/>
          <w:lang w:val="en-US"/>
        </w:rPr>
        <w:t xml:space="preserve">Luis Lamas </w:t>
      </w:r>
      <w:proofErr w:type="spellStart"/>
      <w:r w:rsidR="00421524" w:rsidRPr="008A1DB4">
        <w:rPr>
          <w:spacing w:val="-2"/>
          <w:lang w:val="en-US"/>
        </w:rPr>
        <w:t>Puccio</w:t>
      </w:r>
      <w:proofErr w:type="spellEnd"/>
      <w:r w:rsidR="009D230F" w:rsidRPr="008A1DB4">
        <w:rPr>
          <w:spacing w:val="-2"/>
          <w:lang w:val="en-US"/>
        </w:rPr>
        <w:t>, act</w:t>
      </w:r>
      <w:r w:rsidRPr="008A1DB4">
        <w:rPr>
          <w:spacing w:val="-2"/>
          <w:lang w:val="en-US"/>
        </w:rPr>
        <w:t xml:space="preserve">ing on behalf of the </w:t>
      </w:r>
      <w:r w:rsidR="00F36400" w:rsidRPr="008A1DB4">
        <w:rPr>
          <w:spacing w:val="-2"/>
          <w:lang w:val="en-US"/>
        </w:rPr>
        <w:t>presumed victim</w:t>
      </w:r>
      <w:r w:rsidR="009D230F" w:rsidRPr="008A1DB4">
        <w:rPr>
          <w:spacing w:val="-2"/>
          <w:lang w:val="en-US"/>
        </w:rPr>
        <w:t xml:space="preserve"> (</w:t>
      </w:r>
      <w:r w:rsidR="00F36400" w:rsidRPr="008A1DB4">
        <w:rPr>
          <w:spacing w:val="-2"/>
          <w:lang w:val="en-US"/>
        </w:rPr>
        <w:t>hereinafter</w:t>
      </w:r>
      <w:r w:rsidR="009D230F" w:rsidRPr="008A1DB4">
        <w:rPr>
          <w:spacing w:val="-2"/>
          <w:lang w:val="en-US"/>
        </w:rPr>
        <w:t xml:space="preserve"> “</w:t>
      </w:r>
      <w:r w:rsidRPr="008A1DB4">
        <w:rPr>
          <w:spacing w:val="-2"/>
          <w:lang w:val="en-US"/>
        </w:rPr>
        <w:t>the representative</w:t>
      </w:r>
      <w:r w:rsidR="009D230F" w:rsidRPr="008A1DB4">
        <w:rPr>
          <w:spacing w:val="-2"/>
          <w:lang w:val="en-US"/>
        </w:rPr>
        <w:t>”), present</w:t>
      </w:r>
      <w:r w:rsidRPr="008A1DB4">
        <w:rPr>
          <w:spacing w:val="-2"/>
          <w:lang w:val="en-US"/>
        </w:rPr>
        <w:t>ed the</w:t>
      </w:r>
      <w:r w:rsidR="009D230F" w:rsidRPr="008A1DB4">
        <w:rPr>
          <w:spacing w:val="-2"/>
          <w:lang w:val="en-US"/>
        </w:rPr>
        <w:t xml:space="preserve"> </w:t>
      </w:r>
      <w:r w:rsidRPr="008A1DB4">
        <w:rPr>
          <w:spacing w:val="-2"/>
          <w:lang w:val="en-US"/>
        </w:rPr>
        <w:t>brief with motions, arguments and evidence</w:t>
      </w:r>
      <w:r w:rsidR="009D230F" w:rsidRPr="008A1DB4">
        <w:rPr>
          <w:spacing w:val="-2"/>
          <w:lang w:val="en-US"/>
        </w:rPr>
        <w:t xml:space="preserve"> (</w:t>
      </w:r>
      <w:r w:rsidR="00F36400" w:rsidRPr="008A1DB4">
        <w:rPr>
          <w:spacing w:val="-2"/>
          <w:lang w:val="en-US"/>
        </w:rPr>
        <w:t>hereinafter</w:t>
      </w:r>
      <w:r w:rsidR="009D230F" w:rsidRPr="008A1DB4">
        <w:rPr>
          <w:spacing w:val="-2"/>
          <w:lang w:val="en-US"/>
        </w:rPr>
        <w:t xml:space="preserve"> “</w:t>
      </w:r>
      <w:r w:rsidRPr="008A1DB4">
        <w:rPr>
          <w:spacing w:val="-2"/>
          <w:lang w:val="en-US"/>
        </w:rPr>
        <w:t>the motions and arguments brief</w:t>
      </w:r>
      <w:r w:rsidR="009D230F" w:rsidRPr="008A1DB4">
        <w:rPr>
          <w:spacing w:val="-2"/>
          <w:lang w:val="en-US"/>
        </w:rPr>
        <w:t>”)</w:t>
      </w:r>
      <w:r w:rsidRPr="008A1DB4">
        <w:rPr>
          <w:spacing w:val="-2"/>
          <w:lang w:val="en-US"/>
        </w:rPr>
        <w:t xml:space="preserve">, in accordance with </w:t>
      </w:r>
      <w:r w:rsidR="00F36400" w:rsidRPr="008A1DB4">
        <w:rPr>
          <w:spacing w:val="-2"/>
          <w:lang w:val="en-US"/>
        </w:rPr>
        <w:t>Article</w:t>
      </w:r>
      <w:r w:rsidR="009D230F" w:rsidRPr="008A1DB4">
        <w:rPr>
          <w:spacing w:val="-2"/>
          <w:lang w:val="en-US"/>
        </w:rPr>
        <w:t>s 25</w:t>
      </w:r>
      <w:r w:rsidR="00F36400" w:rsidRPr="008A1DB4">
        <w:rPr>
          <w:spacing w:val="-2"/>
          <w:lang w:val="en-US"/>
        </w:rPr>
        <w:t xml:space="preserve"> and </w:t>
      </w:r>
      <w:r w:rsidR="009D230F" w:rsidRPr="008A1DB4">
        <w:rPr>
          <w:spacing w:val="-2"/>
          <w:lang w:val="en-US"/>
        </w:rPr>
        <w:t xml:space="preserve">40 </w:t>
      </w:r>
      <w:r w:rsidR="00F36400" w:rsidRPr="008A1DB4">
        <w:rPr>
          <w:spacing w:val="-2"/>
          <w:lang w:val="en-US"/>
        </w:rPr>
        <w:t>of the Court’s Rules of Procedure</w:t>
      </w:r>
      <w:r w:rsidR="009D230F" w:rsidRPr="008A1DB4">
        <w:rPr>
          <w:spacing w:val="-2"/>
          <w:lang w:val="en-US"/>
        </w:rPr>
        <w:t>.</w:t>
      </w:r>
      <w:bookmarkEnd w:id="187"/>
      <w:r w:rsidR="009D230F" w:rsidRPr="008A1DB4">
        <w:rPr>
          <w:b/>
          <w:spacing w:val="-2"/>
          <w:lang w:val="en-US"/>
        </w:rPr>
        <w:t xml:space="preserve"> </w:t>
      </w:r>
      <w:bookmarkStart w:id="193" w:name="_Ref303528956"/>
      <w:bookmarkStart w:id="194" w:name="_Ref313874647"/>
      <w:bookmarkStart w:id="195" w:name="_Ref343193237"/>
      <w:bookmarkStart w:id="196" w:name="_Ref334975428"/>
      <w:bookmarkStart w:id="197" w:name="_Ref351393893"/>
      <w:bookmarkStart w:id="198" w:name="_Ref381264559"/>
      <w:bookmarkEnd w:id="170"/>
      <w:bookmarkEnd w:id="171"/>
      <w:bookmarkEnd w:id="188"/>
      <w:bookmarkEnd w:id="189"/>
      <w:bookmarkEnd w:id="190"/>
      <w:bookmarkEnd w:id="191"/>
      <w:bookmarkEnd w:id="192"/>
    </w:p>
    <w:p w14:paraId="2649999B" w14:textId="77777777" w:rsidR="00AF17C2" w:rsidRPr="008A1DB4" w:rsidRDefault="00AF17C2" w:rsidP="00956E97">
      <w:pPr>
        <w:pStyle w:val="ListParagraph"/>
        <w:tabs>
          <w:tab w:val="left" w:pos="426"/>
        </w:tabs>
        <w:ind w:left="0"/>
        <w:rPr>
          <w:b/>
          <w:bCs/>
          <w:spacing w:val="-2"/>
          <w:lang w:val="en-US" w:eastAsia="es-CR"/>
        </w:rPr>
      </w:pPr>
    </w:p>
    <w:p w14:paraId="70969ECE" w14:textId="42E2E6C4" w:rsidR="00AF17C2" w:rsidRPr="008A1DB4" w:rsidRDefault="00C45946" w:rsidP="00956E97">
      <w:pPr>
        <w:pStyle w:val="ListParagraph"/>
        <w:numPr>
          <w:ilvl w:val="0"/>
          <w:numId w:val="2"/>
        </w:numPr>
        <w:tabs>
          <w:tab w:val="left" w:pos="426"/>
        </w:tabs>
        <w:rPr>
          <w:b/>
          <w:bCs/>
          <w:spacing w:val="-2"/>
          <w:lang w:val="en-US" w:eastAsia="es-CR"/>
        </w:rPr>
      </w:pPr>
      <w:bookmarkStart w:id="199" w:name="_Ref430087496"/>
      <w:r w:rsidRPr="008A1DB4">
        <w:rPr>
          <w:i/>
          <w:spacing w:val="-2"/>
          <w:lang w:val="en-US" w:eastAsia="es-CR"/>
        </w:rPr>
        <w:t>Answering brief</w:t>
      </w:r>
      <w:r w:rsidR="00E40E2B" w:rsidRPr="008A1DB4">
        <w:rPr>
          <w:spacing w:val="-2"/>
          <w:lang w:val="en-US" w:eastAsia="es-CR"/>
        </w:rPr>
        <w:t>.</w:t>
      </w:r>
      <w:r w:rsidR="009D230F" w:rsidRPr="008A1DB4">
        <w:rPr>
          <w:spacing w:val="-2"/>
          <w:lang w:val="en-US" w:eastAsia="es-CR"/>
        </w:rPr>
        <w:t xml:space="preserve"> </w:t>
      </w:r>
      <w:r w:rsidRPr="008A1DB4">
        <w:rPr>
          <w:spacing w:val="-2"/>
          <w:lang w:val="en-US" w:eastAsia="es-CR"/>
        </w:rPr>
        <w:t>On May 6,</w:t>
      </w:r>
      <w:r w:rsidR="006B4DD8" w:rsidRPr="008A1DB4">
        <w:rPr>
          <w:spacing w:val="-2"/>
          <w:lang w:val="en-US" w:eastAsia="es-CR"/>
        </w:rPr>
        <w:t xml:space="preserve"> 2014</w:t>
      </w:r>
      <w:r w:rsidRPr="008A1DB4">
        <w:rPr>
          <w:spacing w:val="-2"/>
          <w:lang w:val="en-US" w:eastAsia="es-CR"/>
        </w:rPr>
        <w:t xml:space="preserve">, </w:t>
      </w:r>
      <w:r w:rsidR="00F36400" w:rsidRPr="008A1DB4">
        <w:rPr>
          <w:spacing w:val="-2"/>
          <w:lang w:val="en-US" w:eastAsia="es-CR"/>
        </w:rPr>
        <w:t>Peru</w:t>
      </w:r>
      <w:r w:rsidR="009D230F" w:rsidRPr="008A1DB4">
        <w:rPr>
          <w:spacing w:val="-2"/>
          <w:lang w:val="en-US" w:eastAsia="es-CR"/>
        </w:rPr>
        <w:t xml:space="preserve"> </w:t>
      </w:r>
      <w:r w:rsidRPr="008A1DB4">
        <w:rPr>
          <w:spacing w:val="-2"/>
          <w:lang w:val="en-US" w:eastAsia="es-CR"/>
        </w:rPr>
        <w:t xml:space="preserve">submitted to the Court its brief with a preliminary objection, answering the </w:t>
      </w:r>
      <w:r w:rsidR="0039093A">
        <w:rPr>
          <w:spacing w:val="-2"/>
          <w:lang w:val="en-US" w:eastAsia="es-CR"/>
        </w:rPr>
        <w:t xml:space="preserve">Commission’s </w:t>
      </w:r>
      <w:r w:rsidRPr="008A1DB4">
        <w:rPr>
          <w:spacing w:val="-2"/>
          <w:lang w:val="en-US" w:eastAsia="es-CR"/>
        </w:rPr>
        <w:t>submission of the case,</w:t>
      </w:r>
      <w:r w:rsidR="00F36400" w:rsidRPr="008A1DB4">
        <w:rPr>
          <w:spacing w:val="-2"/>
          <w:lang w:val="en-US" w:eastAsia="es-CR"/>
        </w:rPr>
        <w:t xml:space="preserve"> and</w:t>
      </w:r>
      <w:r w:rsidRPr="008A1DB4">
        <w:rPr>
          <w:spacing w:val="-2"/>
          <w:lang w:val="en-US" w:eastAsia="es-CR"/>
        </w:rPr>
        <w:t xml:space="preserve"> with observations on the motions and arguments brief</w:t>
      </w:r>
      <w:r w:rsidR="009D230F" w:rsidRPr="008A1DB4">
        <w:rPr>
          <w:spacing w:val="-2"/>
          <w:lang w:val="en-US" w:eastAsia="es-CR"/>
        </w:rPr>
        <w:t xml:space="preserve"> (</w:t>
      </w:r>
      <w:r w:rsidR="00F36400" w:rsidRPr="008A1DB4">
        <w:rPr>
          <w:spacing w:val="-2"/>
          <w:lang w:val="en-US" w:eastAsia="es-CR"/>
        </w:rPr>
        <w:t>hereinafter</w:t>
      </w:r>
      <w:r w:rsidR="009D230F" w:rsidRPr="008A1DB4">
        <w:rPr>
          <w:spacing w:val="-2"/>
          <w:lang w:val="en-US" w:eastAsia="es-CR"/>
        </w:rPr>
        <w:t xml:space="preserve"> “</w:t>
      </w:r>
      <w:r w:rsidRPr="008A1DB4">
        <w:rPr>
          <w:spacing w:val="-2"/>
          <w:lang w:val="en-US" w:eastAsia="es-CR"/>
        </w:rPr>
        <w:t>the answering brief</w:t>
      </w:r>
      <w:r w:rsidR="009D230F" w:rsidRPr="008A1DB4">
        <w:rPr>
          <w:spacing w:val="-2"/>
          <w:lang w:val="en-US" w:eastAsia="es-CR"/>
        </w:rPr>
        <w:t xml:space="preserve">”). </w:t>
      </w:r>
      <w:r w:rsidRPr="008A1DB4">
        <w:rPr>
          <w:spacing w:val="-2"/>
          <w:lang w:val="en-US" w:eastAsia="es-CR"/>
        </w:rPr>
        <w:t>In this brief, the State fil</w:t>
      </w:r>
      <w:r w:rsidR="008A1DB4">
        <w:rPr>
          <w:spacing w:val="-2"/>
          <w:lang w:val="en-US" w:eastAsia="es-CR"/>
        </w:rPr>
        <w:t xml:space="preserve">ed </w:t>
      </w:r>
      <w:r w:rsidRPr="008A1DB4">
        <w:rPr>
          <w:spacing w:val="-2"/>
          <w:lang w:val="en-US"/>
        </w:rPr>
        <w:t>a preliminary objection</w:t>
      </w:r>
      <w:r w:rsidR="00532EF7" w:rsidRPr="008A1DB4">
        <w:rPr>
          <w:spacing w:val="-2"/>
          <w:lang w:val="en-US"/>
        </w:rPr>
        <w:t xml:space="preserve"> </w:t>
      </w:r>
      <w:r w:rsidRPr="008A1DB4">
        <w:rPr>
          <w:spacing w:val="-2"/>
          <w:lang w:val="en-US"/>
        </w:rPr>
        <w:t>owing to the presumed failure to exhaust domestic remedies, described the facts</w:t>
      </w:r>
      <w:r w:rsidR="0039093A">
        <w:rPr>
          <w:spacing w:val="-2"/>
          <w:lang w:val="en-US"/>
        </w:rPr>
        <w:t>,</w:t>
      </w:r>
      <w:r w:rsidRPr="008A1DB4">
        <w:rPr>
          <w:spacing w:val="-2"/>
          <w:lang w:val="en-US"/>
        </w:rPr>
        <w:t xml:space="preserve"> and contested all the alleged violations</w:t>
      </w:r>
      <w:bookmarkStart w:id="200" w:name="_Ref384647687"/>
      <w:bookmarkEnd w:id="172"/>
      <w:bookmarkEnd w:id="193"/>
      <w:bookmarkEnd w:id="194"/>
      <w:bookmarkEnd w:id="195"/>
      <w:bookmarkEnd w:id="196"/>
      <w:bookmarkEnd w:id="197"/>
      <w:bookmarkEnd w:id="198"/>
      <w:bookmarkEnd w:id="199"/>
      <w:r w:rsidRPr="008A1DB4">
        <w:rPr>
          <w:spacing w:val="-2"/>
          <w:lang w:val="en-US"/>
        </w:rPr>
        <w:t>.</w:t>
      </w:r>
    </w:p>
    <w:p w14:paraId="5D573A52" w14:textId="77777777" w:rsidR="00AF17C2" w:rsidRPr="008A1DB4" w:rsidRDefault="00AF17C2" w:rsidP="00956E97">
      <w:pPr>
        <w:pStyle w:val="ListParagraph"/>
        <w:tabs>
          <w:tab w:val="left" w:pos="426"/>
        </w:tabs>
        <w:ind w:left="0"/>
        <w:rPr>
          <w:b/>
          <w:bCs/>
          <w:spacing w:val="-2"/>
          <w:lang w:val="en-US" w:eastAsia="es-CR"/>
        </w:rPr>
      </w:pPr>
    </w:p>
    <w:p w14:paraId="2872FD5D" w14:textId="67BA8392" w:rsidR="00AF17C2" w:rsidRPr="008A1DB4" w:rsidRDefault="00CC1BA5" w:rsidP="00956E97">
      <w:pPr>
        <w:pStyle w:val="ListParagraph"/>
        <w:numPr>
          <w:ilvl w:val="0"/>
          <w:numId w:val="2"/>
        </w:numPr>
        <w:tabs>
          <w:tab w:val="left" w:pos="426"/>
        </w:tabs>
        <w:rPr>
          <w:b/>
          <w:bCs/>
          <w:spacing w:val="-2"/>
          <w:lang w:val="en-US" w:eastAsia="es-CR"/>
        </w:rPr>
      </w:pPr>
      <w:r w:rsidRPr="008A1DB4">
        <w:rPr>
          <w:i/>
          <w:spacing w:val="-2"/>
          <w:lang w:val="en-US" w:eastAsia="es-CR"/>
        </w:rPr>
        <w:t>Observa</w:t>
      </w:r>
      <w:r w:rsidR="00C45946" w:rsidRPr="008A1DB4">
        <w:rPr>
          <w:i/>
          <w:spacing w:val="-2"/>
          <w:lang w:val="en-US" w:eastAsia="es-CR"/>
        </w:rPr>
        <w:t>tions on the preliminary objection</w:t>
      </w:r>
      <w:r w:rsidR="00C45946" w:rsidRPr="008A1DB4">
        <w:rPr>
          <w:spacing w:val="-2"/>
          <w:lang w:val="en-US" w:eastAsia="es-CR"/>
        </w:rPr>
        <w:t>.</w:t>
      </w:r>
      <w:r w:rsidR="009D230F" w:rsidRPr="008A1DB4">
        <w:rPr>
          <w:spacing w:val="-2"/>
          <w:lang w:val="en-US" w:eastAsia="es-CR"/>
        </w:rPr>
        <w:t xml:space="preserve"> </w:t>
      </w:r>
      <w:r w:rsidR="00C45946" w:rsidRPr="008A1DB4">
        <w:rPr>
          <w:spacing w:val="-2"/>
          <w:lang w:val="en-US" w:eastAsia="es-CR"/>
        </w:rPr>
        <w:t>On June</w:t>
      </w:r>
      <w:r w:rsidR="009D230F" w:rsidRPr="008A1DB4">
        <w:rPr>
          <w:spacing w:val="-2"/>
          <w:lang w:val="en-US" w:eastAsia="es-CR"/>
        </w:rPr>
        <w:t xml:space="preserve"> </w:t>
      </w:r>
      <w:r w:rsidR="002074DA" w:rsidRPr="008A1DB4">
        <w:rPr>
          <w:spacing w:val="-2"/>
          <w:lang w:val="en-US" w:eastAsia="es-CR"/>
        </w:rPr>
        <w:t>2</w:t>
      </w:r>
      <w:r w:rsidR="009D230F" w:rsidRPr="008A1DB4">
        <w:rPr>
          <w:spacing w:val="-2"/>
          <w:lang w:val="en-US" w:eastAsia="es-CR"/>
        </w:rPr>
        <w:t>7</w:t>
      </w:r>
      <w:r w:rsidR="00F36400" w:rsidRPr="008A1DB4">
        <w:rPr>
          <w:spacing w:val="-2"/>
          <w:lang w:val="en-US" w:eastAsia="es-CR"/>
        </w:rPr>
        <w:t xml:space="preserve"> and </w:t>
      </w:r>
      <w:r w:rsidR="002074DA" w:rsidRPr="008A1DB4">
        <w:rPr>
          <w:spacing w:val="-2"/>
          <w:lang w:val="en-US" w:eastAsia="es-CR"/>
        </w:rPr>
        <w:t>28</w:t>
      </w:r>
      <w:r w:rsidR="00C45946" w:rsidRPr="008A1DB4">
        <w:rPr>
          <w:spacing w:val="-2"/>
          <w:lang w:val="en-US" w:eastAsia="es-CR"/>
        </w:rPr>
        <w:t>,</w:t>
      </w:r>
      <w:r w:rsidR="002074DA" w:rsidRPr="008A1DB4">
        <w:rPr>
          <w:spacing w:val="-2"/>
          <w:lang w:val="en-US" w:eastAsia="es-CR"/>
        </w:rPr>
        <w:t xml:space="preserve"> 2014</w:t>
      </w:r>
      <w:r w:rsidR="00C45946" w:rsidRPr="008A1DB4">
        <w:rPr>
          <w:spacing w:val="-2"/>
          <w:lang w:val="en-US" w:eastAsia="es-CR"/>
        </w:rPr>
        <w:t>,</w:t>
      </w:r>
      <w:r w:rsidR="00F23056" w:rsidRPr="008A1DB4">
        <w:rPr>
          <w:spacing w:val="-2"/>
          <w:lang w:val="en-US" w:eastAsia="es-CR"/>
        </w:rPr>
        <w:t xml:space="preserve"> </w:t>
      </w:r>
      <w:r w:rsidR="00C45946" w:rsidRPr="008A1DB4">
        <w:rPr>
          <w:spacing w:val="-2"/>
          <w:lang w:val="en-US" w:eastAsia="es-CR"/>
        </w:rPr>
        <w:t>the representative</w:t>
      </w:r>
      <w:r w:rsidR="00F36400" w:rsidRPr="008A1DB4">
        <w:rPr>
          <w:spacing w:val="-2"/>
          <w:lang w:val="en-US" w:eastAsia="es-CR"/>
        </w:rPr>
        <w:t xml:space="preserve"> and the Inter-American Commission</w:t>
      </w:r>
      <w:r w:rsidR="00C45946" w:rsidRPr="008A1DB4">
        <w:rPr>
          <w:spacing w:val="-2"/>
          <w:lang w:val="en-US" w:eastAsia="es-CR"/>
        </w:rPr>
        <w:t>, respectively, presented their observations on the preliminary objection</w:t>
      </w:r>
      <w:r w:rsidR="00F83642" w:rsidRPr="008A1DB4">
        <w:rPr>
          <w:spacing w:val="-2"/>
          <w:lang w:val="en-US" w:eastAsia="es-CR"/>
        </w:rPr>
        <w:t xml:space="preserve"> </w:t>
      </w:r>
      <w:r w:rsidR="00C45946" w:rsidRPr="008A1DB4">
        <w:rPr>
          <w:spacing w:val="-2"/>
          <w:lang w:val="en-US" w:eastAsia="es-CR"/>
        </w:rPr>
        <w:t>filed by</w:t>
      </w:r>
      <w:r w:rsidR="009D230F" w:rsidRPr="008A1DB4">
        <w:rPr>
          <w:spacing w:val="-2"/>
          <w:lang w:val="en-US" w:eastAsia="es-CR"/>
        </w:rPr>
        <w:t xml:space="preserve"> </w:t>
      </w:r>
      <w:r w:rsidR="00F36400" w:rsidRPr="008A1DB4">
        <w:rPr>
          <w:spacing w:val="-2"/>
          <w:lang w:val="en-US" w:eastAsia="es-CR"/>
        </w:rPr>
        <w:t>the State</w:t>
      </w:r>
      <w:r w:rsidR="009D230F" w:rsidRPr="008A1DB4">
        <w:rPr>
          <w:spacing w:val="-2"/>
          <w:lang w:val="en-US" w:eastAsia="es-CR"/>
        </w:rPr>
        <w:t xml:space="preserve">. </w:t>
      </w:r>
      <w:bookmarkStart w:id="201" w:name="_Ref336443781"/>
      <w:bookmarkStart w:id="202" w:name="_Ref343193354"/>
      <w:bookmarkStart w:id="203" w:name="_Ref374885387"/>
      <w:bookmarkStart w:id="204" w:name="_Ref395204720"/>
      <w:bookmarkStart w:id="205" w:name="_Ref367194812"/>
      <w:bookmarkEnd w:id="200"/>
    </w:p>
    <w:p w14:paraId="53C823D6" w14:textId="69E4691F" w:rsidR="009858B3" w:rsidRPr="008A1DB4" w:rsidRDefault="008C4EFC" w:rsidP="008C4EFC">
      <w:pPr>
        <w:pStyle w:val="ListParagraph"/>
        <w:numPr>
          <w:ilvl w:val="0"/>
          <w:numId w:val="2"/>
        </w:numPr>
        <w:tabs>
          <w:tab w:val="left" w:pos="426"/>
        </w:tabs>
        <w:rPr>
          <w:b/>
          <w:bCs/>
          <w:spacing w:val="-2"/>
          <w:lang w:val="en-US" w:eastAsia="es-CR"/>
        </w:rPr>
      </w:pPr>
      <w:bookmarkStart w:id="206" w:name="_Ref299563748"/>
      <w:r w:rsidRPr="008A1DB4">
        <w:rPr>
          <w:i/>
          <w:spacing w:val="-2"/>
          <w:lang w:val="en-US" w:eastAsia="es-CR"/>
        </w:rPr>
        <w:lastRenderedPageBreak/>
        <w:t>Public hearing.</w:t>
      </w:r>
      <w:r w:rsidR="003D1504" w:rsidRPr="008A1DB4">
        <w:rPr>
          <w:spacing w:val="-2"/>
          <w:lang w:val="en-US" w:eastAsia="es-CR"/>
        </w:rPr>
        <w:t xml:space="preserve"> </w:t>
      </w:r>
      <w:r w:rsidRPr="008A1DB4">
        <w:rPr>
          <w:spacing w:val="-2"/>
          <w:lang w:val="en-US" w:eastAsia="es-CR"/>
        </w:rPr>
        <w:t>On July 28,</w:t>
      </w:r>
      <w:r w:rsidR="003D1504" w:rsidRPr="008A1DB4">
        <w:rPr>
          <w:spacing w:val="-2"/>
          <w:lang w:val="en-US" w:eastAsia="es-CR"/>
        </w:rPr>
        <w:t xml:space="preserve"> 2014</w:t>
      </w:r>
      <w:r w:rsidRPr="008A1DB4">
        <w:rPr>
          <w:spacing w:val="-2"/>
          <w:lang w:val="en-US" w:eastAsia="es-CR"/>
        </w:rPr>
        <w:t>,</w:t>
      </w:r>
      <w:r w:rsidR="009D230F" w:rsidRPr="008A1DB4">
        <w:rPr>
          <w:spacing w:val="-2"/>
          <w:lang w:val="en-US" w:eastAsia="es-CR"/>
        </w:rPr>
        <w:t xml:space="preserve"> </w:t>
      </w:r>
      <w:r w:rsidRPr="008A1DB4">
        <w:rPr>
          <w:spacing w:val="-2"/>
          <w:lang w:val="en-US" w:eastAsia="es-CR"/>
        </w:rPr>
        <w:t>the President</w:t>
      </w:r>
      <w:r w:rsidR="00F36400" w:rsidRPr="008A1DB4">
        <w:rPr>
          <w:spacing w:val="-2"/>
          <w:lang w:val="en-US" w:eastAsia="es-CR"/>
        </w:rPr>
        <w:t xml:space="preserve"> of the Court</w:t>
      </w:r>
      <w:r w:rsidR="009D230F" w:rsidRPr="008A1DB4">
        <w:rPr>
          <w:spacing w:val="-2"/>
          <w:lang w:val="en-US" w:eastAsia="es-CR"/>
        </w:rPr>
        <w:t xml:space="preserve"> </w:t>
      </w:r>
      <w:r w:rsidRPr="008A1DB4">
        <w:rPr>
          <w:spacing w:val="-2"/>
          <w:lang w:val="en-US" w:eastAsia="es-CR"/>
        </w:rPr>
        <w:t>issued an order,</w:t>
      </w:r>
      <w:bookmarkStart w:id="207" w:name="_Ref352145724"/>
      <w:r w:rsidR="009D230F" w:rsidRPr="008A1DB4">
        <w:rPr>
          <w:spacing w:val="-2"/>
          <w:vertAlign w:val="superscript"/>
          <w:lang w:val="en-US"/>
        </w:rPr>
        <w:footnoteReference w:id="5"/>
      </w:r>
      <w:bookmarkEnd w:id="207"/>
      <w:r w:rsidRPr="008A1DB4">
        <w:rPr>
          <w:spacing w:val="-2"/>
          <w:lang w:val="en-US" w:eastAsia="es-CR"/>
        </w:rPr>
        <w:t xml:space="preserve"> in which he convened the State, </w:t>
      </w:r>
      <w:r w:rsidR="00C45946" w:rsidRPr="008A1DB4">
        <w:rPr>
          <w:spacing w:val="-2"/>
          <w:lang w:val="en-US" w:eastAsia="es-CR"/>
        </w:rPr>
        <w:t>the representative</w:t>
      </w:r>
      <w:r w:rsidR="0039093A">
        <w:rPr>
          <w:spacing w:val="-2"/>
          <w:lang w:val="en-US" w:eastAsia="es-CR"/>
        </w:rPr>
        <w:t xml:space="preserve">, </w:t>
      </w:r>
      <w:r w:rsidRPr="008A1DB4">
        <w:rPr>
          <w:spacing w:val="-2"/>
          <w:lang w:val="en-US" w:eastAsia="es-CR"/>
        </w:rPr>
        <w:t>and</w:t>
      </w:r>
      <w:r w:rsidR="009D230F" w:rsidRPr="008A1DB4">
        <w:rPr>
          <w:spacing w:val="-2"/>
          <w:lang w:val="en-US" w:eastAsia="es-CR"/>
        </w:rPr>
        <w:t xml:space="preserve"> </w:t>
      </w:r>
      <w:r w:rsidR="00F36400" w:rsidRPr="008A1DB4">
        <w:rPr>
          <w:spacing w:val="-2"/>
          <w:lang w:val="en-US" w:eastAsia="es-CR"/>
        </w:rPr>
        <w:t>the Inter-American Commission</w:t>
      </w:r>
      <w:r w:rsidR="009D230F" w:rsidRPr="008A1DB4">
        <w:rPr>
          <w:spacing w:val="-2"/>
          <w:lang w:val="en-US" w:eastAsia="es-CR"/>
        </w:rPr>
        <w:t xml:space="preserve"> </w:t>
      </w:r>
      <w:r w:rsidRPr="008A1DB4">
        <w:rPr>
          <w:spacing w:val="-2"/>
          <w:lang w:val="en-US" w:eastAsia="es-CR"/>
        </w:rPr>
        <w:t xml:space="preserve">to a public hearing on the </w:t>
      </w:r>
      <w:r w:rsidR="00C45946" w:rsidRPr="008A1DB4">
        <w:rPr>
          <w:spacing w:val="-2"/>
          <w:lang w:val="en-US" w:eastAsia="es-CR"/>
        </w:rPr>
        <w:t>preliminary objection</w:t>
      </w:r>
      <w:r w:rsidR="00F36400" w:rsidRPr="008A1DB4">
        <w:rPr>
          <w:spacing w:val="-2"/>
          <w:lang w:val="en-US" w:eastAsia="es-CR"/>
        </w:rPr>
        <w:t xml:space="preserve"> and </w:t>
      </w:r>
      <w:r w:rsidRPr="008A1DB4">
        <w:rPr>
          <w:spacing w:val="-2"/>
          <w:lang w:val="en-US" w:eastAsia="es-CR"/>
        </w:rPr>
        <w:t>eventual merits, reparations and costs</w:t>
      </w:r>
      <w:r w:rsidR="009D230F" w:rsidRPr="008A1DB4">
        <w:rPr>
          <w:spacing w:val="-2"/>
          <w:lang w:val="en-US" w:eastAsia="es-CR"/>
        </w:rPr>
        <w:t xml:space="preserve">, </w:t>
      </w:r>
      <w:r w:rsidRPr="008A1DB4">
        <w:rPr>
          <w:spacing w:val="-2"/>
          <w:lang w:val="en-US" w:eastAsia="es-CR"/>
        </w:rPr>
        <w:t xml:space="preserve">in order to hear the final </w:t>
      </w:r>
      <w:r w:rsidR="008A1DB4" w:rsidRPr="008A1DB4">
        <w:rPr>
          <w:spacing w:val="-2"/>
          <w:lang w:val="en-US" w:eastAsia="es-CR"/>
        </w:rPr>
        <w:t>oral</w:t>
      </w:r>
      <w:r w:rsidRPr="008A1DB4">
        <w:rPr>
          <w:spacing w:val="-2"/>
          <w:lang w:val="en-US" w:eastAsia="es-CR"/>
        </w:rPr>
        <w:t xml:space="preserve"> arguments of the parties, and the final oral observations</w:t>
      </w:r>
      <w:r w:rsidR="00C45946" w:rsidRPr="008A1DB4">
        <w:rPr>
          <w:spacing w:val="-2"/>
          <w:lang w:val="en-US" w:eastAsia="es-CR"/>
        </w:rPr>
        <w:t xml:space="preserve"> of the </w:t>
      </w:r>
      <w:r w:rsidR="00F36400" w:rsidRPr="008A1DB4">
        <w:rPr>
          <w:spacing w:val="-2"/>
          <w:lang w:val="en-US" w:eastAsia="es-CR"/>
        </w:rPr>
        <w:t>Commission</w:t>
      </w:r>
      <w:r w:rsidR="009D230F" w:rsidRPr="008A1DB4">
        <w:rPr>
          <w:spacing w:val="-2"/>
          <w:lang w:val="en-US" w:eastAsia="es-CR"/>
        </w:rPr>
        <w:t xml:space="preserve"> </w:t>
      </w:r>
      <w:r w:rsidRPr="008A1DB4">
        <w:rPr>
          <w:spacing w:val="-2"/>
          <w:lang w:val="en-US" w:eastAsia="es-CR"/>
        </w:rPr>
        <w:t xml:space="preserve">on those issues. In addition, in this order, he requested that the statements of </w:t>
      </w:r>
      <w:r w:rsidRPr="008A1DB4">
        <w:rPr>
          <w:rFonts w:cs="Times New Roman"/>
          <w:spacing w:val="-2"/>
          <w:lang w:val="en-US"/>
        </w:rPr>
        <w:t xml:space="preserve">the presumed victim, two witnesses and five expert witnesses be received by affidavit, and these were presented by the parties and the Commission on August 18, 25 and 29, 2014, </w:t>
      </w:r>
      <w:bookmarkStart w:id="208" w:name="_Ref334952616"/>
      <w:bookmarkStart w:id="209" w:name="_Ref343195762"/>
      <w:bookmarkStart w:id="210" w:name="_Ref340281601"/>
      <w:bookmarkEnd w:id="201"/>
      <w:bookmarkEnd w:id="202"/>
      <w:r w:rsidR="008A1DB4" w:rsidRPr="008A1DB4">
        <w:rPr>
          <w:rFonts w:cs="Times New Roman"/>
          <w:spacing w:val="-2"/>
          <w:lang w:val="en-US"/>
        </w:rPr>
        <w:t>respectively.</w:t>
      </w:r>
      <w:r w:rsidR="008A1DB4" w:rsidRPr="008A1DB4">
        <w:rPr>
          <w:bCs/>
          <w:spacing w:val="-2"/>
          <w:lang w:val="en-US" w:eastAsia="es-CR"/>
        </w:rPr>
        <w:t xml:space="preserve"> The</w:t>
      </w:r>
      <w:r w:rsidR="00C45946" w:rsidRPr="008A1DB4">
        <w:rPr>
          <w:bCs/>
          <w:spacing w:val="-2"/>
          <w:lang w:val="en-US" w:eastAsia="es-CR"/>
        </w:rPr>
        <w:t xml:space="preserve"> representative</w:t>
      </w:r>
      <w:r w:rsidR="00F36400" w:rsidRPr="008A1DB4">
        <w:rPr>
          <w:rFonts w:cs="Times New Roman"/>
          <w:spacing w:val="-2"/>
          <w:lang w:val="en-US"/>
        </w:rPr>
        <w:t xml:space="preserve"> and the State</w:t>
      </w:r>
      <w:r w:rsidR="009D230F" w:rsidRPr="008A1DB4">
        <w:rPr>
          <w:rFonts w:cs="Times New Roman"/>
          <w:spacing w:val="-2"/>
          <w:lang w:val="en-US"/>
        </w:rPr>
        <w:t xml:space="preserve"> </w:t>
      </w:r>
      <w:r w:rsidRPr="008A1DB4">
        <w:rPr>
          <w:rFonts w:cs="Times New Roman"/>
          <w:spacing w:val="-2"/>
          <w:lang w:val="en-US"/>
        </w:rPr>
        <w:t>were given the opportunity to pose questions and make observations to the deponents offered by the other party.</w:t>
      </w:r>
      <w:r w:rsidR="009858B3" w:rsidRPr="008A1DB4">
        <w:rPr>
          <w:rStyle w:val="FootnoteReference"/>
          <w:rFonts w:cs="Times New Roman"/>
          <w:spacing w:val="-2"/>
          <w:lang w:val="en-US"/>
        </w:rPr>
        <w:footnoteReference w:id="6"/>
      </w:r>
      <w:r w:rsidR="00426FB0" w:rsidRPr="008A1DB4">
        <w:rPr>
          <w:rFonts w:cs="Times New Roman"/>
          <w:spacing w:val="-2"/>
          <w:lang w:val="en-US"/>
        </w:rPr>
        <w:t xml:space="preserve"> </w:t>
      </w:r>
      <w:r w:rsidR="00F36400" w:rsidRPr="008A1DB4">
        <w:rPr>
          <w:rFonts w:cs="Times New Roman"/>
          <w:spacing w:val="-2"/>
          <w:lang w:val="en-US"/>
        </w:rPr>
        <w:t>The Commission</w:t>
      </w:r>
      <w:r w:rsidR="00426FB0" w:rsidRPr="008A1DB4">
        <w:rPr>
          <w:rFonts w:cs="Times New Roman"/>
          <w:spacing w:val="-2"/>
          <w:lang w:val="en-US"/>
        </w:rPr>
        <w:t xml:space="preserve"> </w:t>
      </w:r>
      <w:r w:rsidRPr="008A1DB4">
        <w:rPr>
          <w:rFonts w:cs="Times New Roman"/>
          <w:spacing w:val="-2"/>
          <w:lang w:val="en-US"/>
        </w:rPr>
        <w:t xml:space="preserve">was able to question one of the State’s expert witnesses. Also, in the same order, the President convened three expert witnesses proposed by the State to testify during the public hearing. The </w:t>
      </w:r>
      <w:r w:rsidRPr="008A1DB4">
        <w:rPr>
          <w:spacing w:val="-2"/>
          <w:lang w:val="en-US" w:eastAsia="es-CR"/>
        </w:rPr>
        <w:t>public hearing</w:t>
      </w:r>
      <w:r w:rsidR="009D230F" w:rsidRPr="008A1DB4">
        <w:rPr>
          <w:spacing w:val="-2"/>
          <w:lang w:val="en-US" w:eastAsia="es-CR"/>
        </w:rPr>
        <w:t xml:space="preserve"> </w:t>
      </w:r>
      <w:r w:rsidRPr="008A1DB4">
        <w:rPr>
          <w:spacing w:val="-2"/>
          <w:lang w:val="en-US" w:eastAsia="es-CR"/>
        </w:rPr>
        <w:t xml:space="preserve">took place on September 3, </w:t>
      </w:r>
      <w:r w:rsidR="009D230F" w:rsidRPr="008A1DB4">
        <w:rPr>
          <w:spacing w:val="-2"/>
          <w:lang w:val="en-US" w:eastAsia="es-CR"/>
        </w:rPr>
        <w:t>201</w:t>
      </w:r>
      <w:r w:rsidR="00921F3A" w:rsidRPr="008A1DB4">
        <w:rPr>
          <w:spacing w:val="-2"/>
          <w:lang w:val="en-US" w:eastAsia="es-CR"/>
        </w:rPr>
        <w:t>4</w:t>
      </w:r>
      <w:r w:rsidRPr="008A1DB4">
        <w:rPr>
          <w:spacing w:val="-2"/>
          <w:lang w:val="en-US" w:eastAsia="es-CR"/>
        </w:rPr>
        <w:t xml:space="preserve">, during the fifty-first special session of the Court, held in </w:t>
      </w:r>
      <w:r w:rsidR="00514D73" w:rsidRPr="008A1DB4">
        <w:rPr>
          <w:spacing w:val="-2"/>
          <w:lang w:val="en-US" w:eastAsia="es-CR"/>
        </w:rPr>
        <w:t xml:space="preserve">Asunción, </w:t>
      </w:r>
      <w:r w:rsidR="00921F3A" w:rsidRPr="008A1DB4">
        <w:rPr>
          <w:spacing w:val="-2"/>
          <w:lang w:val="en-US" w:eastAsia="es-CR"/>
        </w:rPr>
        <w:t>Paraguay</w:t>
      </w:r>
      <w:r w:rsidRPr="008A1DB4">
        <w:rPr>
          <w:spacing w:val="-2"/>
          <w:lang w:val="en-US" w:eastAsia="es-CR"/>
        </w:rPr>
        <w:t>.</w:t>
      </w:r>
      <w:r w:rsidR="009D230F" w:rsidRPr="008A1DB4">
        <w:rPr>
          <w:rFonts w:cs="Times New Roman"/>
          <w:spacing w:val="-2"/>
          <w:vertAlign w:val="superscript"/>
          <w:lang w:val="en-US" w:eastAsia="es-CR"/>
        </w:rPr>
        <w:footnoteReference w:id="7"/>
      </w:r>
      <w:r w:rsidRPr="008A1DB4">
        <w:rPr>
          <w:spacing w:val="-2"/>
          <w:lang w:val="en-US" w:eastAsia="es-CR"/>
        </w:rPr>
        <w:t xml:space="preserve"> During this hearing, the State presented certain documents and th</w:t>
      </w:r>
      <w:r w:rsidR="0039093A">
        <w:rPr>
          <w:spacing w:val="-2"/>
          <w:lang w:val="en-US" w:eastAsia="es-CR"/>
        </w:rPr>
        <w:t>e judges of the Court requested specific</w:t>
      </w:r>
      <w:r w:rsidRPr="008A1DB4">
        <w:rPr>
          <w:spacing w:val="-2"/>
          <w:lang w:val="en-US" w:eastAsia="es-CR"/>
        </w:rPr>
        <w:t xml:space="preserve"> helpful information and explanations.</w:t>
      </w:r>
      <w:bookmarkEnd w:id="203"/>
      <w:bookmarkEnd w:id="204"/>
      <w:bookmarkEnd w:id="205"/>
      <w:bookmarkEnd w:id="206"/>
      <w:bookmarkEnd w:id="208"/>
      <w:bookmarkEnd w:id="209"/>
      <w:bookmarkEnd w:id="210"/>
    </w:p>
    <w:p w14:paraId="416D5358" w14:textId="77777777" w:rsidR="00E315FD" w:rsidRPr="008A1DB4" w:rsidRDefault="00E315FD" w:rsidP="00956E97">
      <w:pPr>
        <w:pStyle w:val="ListParagraph"/>
        <w:tabs>
          <w:tab w:val="left" w:pos="426"/>
        </w:tabs>
        <w:ind w:left="0"/>
        <w:rPr>
          <w:b/>
          <w:bCs/>
          <w:spacing w:val="-2"/>
          <w:lang w:val="en-US" w:eastAsia="es-CR"/>
        </w:rPr>
      </w:pPr>
    </w:p>
    <w:p w14:paraId="4013AB6C" w14:textId="2E97BE89" w:rsidR="00751AF1" w:rsidRPr="008A1DB4" w:rsidRDefault="00AF7F22" w:rsidP="00956E97">
      <w:pPr>
        <w:pStyle w:val="ListParagraph"/>
        <w:numPr>
          <w:ilvl w:val="0"/>
          <w:numId w:val="2"/>
        </w:numPr>
        <w:tabs>
          <w:tab w:val="left" w:pos="567"/>
        </w:tabs>
        <w:rPr>
          <w:spacing w:val="-2"/>
          <w:lang w:val="en-US" w:eastAsia="es-CR"/>
        </w:rPr>
      </w:pPr>
      <w:r w:rsidRPr="008A1DB4">
        <w:rPr>
          <w:i/>
          <w:spacing w:val="-2"/>
          <w:lang w:val="en-US" w:eastAsia="es-CR"/>
        </w:rPr>
        <w:t>Amicus</w:t>
      </w:r>
      <w:r w:rsidR="00E40E2B" w:rsidRPr="008A1DB4">
        <w:rPr>
          <w:i/>
          <w:spacing w:val="-2"/>
          <w:lang w:val="en-US" w:eastAsia="es-CR"/>
        </w:rPr>
        <w:t xml:space="preserve"> curiae.</w:t>
      </w:r>
      <w:r w:rsidR="00F23056" w:rsidRPr="008A1DB4">
        <w:rPr>
          <w:spacing w:val="-2"/>
          <w:lang w:val="en-US" w:eastAsia="es-CR"/>
        </w:rPr>
        <w:t xml:space="preserve"> </w:t>
      </w:r>
      <w:r w:rsidR="008C4EFC" w:rsidRPr="008A1DB4">
        <w:rPr>
          <w:spacing w:val="-2"/>
          <w:lang w:val="en-US" w:eastAsia="es-CR"/>
        </w:rPr>
        <w:t>The</w:t>
      </w:r>
      <w:r w:rsidR="00F36400" w:rsidRPr="008A1DB4">
        <w:rPr>
          <w:spacing w:val="-2"/>
          <w:lang w:val="en-US" w:eastAsia="es-CR"/>
        </w:rPr>
        <w:t xml:space="preserve"> Court</w:t>
      </w:r>
      <w:r w:rsidR="00751AF1" w:rsidRPr="008A1DB4">
        <w:rPr>
          <w:spacing w:val="-2"/>
          <w:lang w:val="en-US" w:eastAsia="es-CR"/>
        </w:rPr>
        <w:t xml:space="preserve"> rec</w:t>
      </w:r>
      <w:r w:rsidR="008C4EFC" w:rsidRPr="008A1DB4">
        <w:rPr>
          <w:spacing w:val="-2"/>
          <w:lang w:val="en-US" w:eastAsia="es-CR"/>
        </w:rPr>
        <w:t xml:space="preserve">eived </w:t>
      </w:r>
      <w:proofErr w:type="gramStart"/>
      <w:r w:rsidR="008C4EFC" w:rsidRPr="008A1DB4">
        <w:rPr>
          <w:spacing w:val="-2"/>
          <w:lang w:val="en-US" w:eastAsia="es-CR"/>
        </w:rPr>
        <w:t xml:space="preserve">one </w:t>
      </w:r>
      <w:r w:rsidR="00751AF1" w:rsidRPr="008A1DB4">
        <w:rPr>
          <w:i/>
          <w:spacing w:val="-2"/>
          <w:lang w:val="en-US" w:eastAsia="es-CR"/>
        </w:rPr>
        <w:t>amicus curiae</w:t>
      </w:r>
      <w:r w:rsidR="008C4EFC" w:rsidRPr="008A1DB4">
        <w:rPr>
          <w:spacing w:val="-2"/>
          <w:lang w:val="en-US" w:eastAsia="es-CR"/>
        </w:rPr>
        <w:t xml:space="preserve"> brief from </w:t>
      </w:r>
      <w:proofErr w:type="spellStart"/>
      <w:r w:rsidRPr="008A1DB4">
        <w:rPr>
          <w:spacing w:val="-2"/>
          <w:lang w:val="en-US" w:eastAsia="es-CR"/>
        </w:rPr>
        <w:t>María</w:t>
      </w:r>
      <w:proofErr w:type="spellEnd"/>
      <w:r w:rsidRPr="008A1DB4">
        <w:rPr>
          <w:spacing w:val="-2"/>
          <w:lang w:val="en-US" w:eastAsia="es-CR"/>
        </w:rPr>
        <w:t xml:space="preserve"> Isabel </w:t>
      </w:r>
      <w:proofErr w:type="spellStart"/>
      <w:r w:rsidR="00F145BD" w:rsidRPr="008A1DB4">
        <w:rPr>
          <w:spacing w:val="-2"/>
          <w:lang w:val="en-US" w:eastAsia="es-CR"/>
        </w:rPr>
        <w:t>Mosquera</w:t>
      </w:r>
      <w:proofErr w:type="spellEnd"/>
      <w:r w:rsidR="00F145BD" w:rsidRPr="008A1DB4">
        <w:rPr>
          <w:spacing w:val="-2"/>
          <w:lang w:val="en-US" w:eastAsia="es-CR"/>
        </w:rPr>
        <w:t xml:space="preserve"> </w:t>
      </w:r>
      <w:r w:rsidRPr="008A1DB4">
        <w:rPr>
          <w:spacing w:val="-2"/>
          <w:lang w:val="en-US" w:eastAsia="es-CR"/>
        </w:rPr>
        <w:t>Ayala</w:t>
      </w:r>
      <w:r w:rsidR="00751AF1" w:rsidRPr="008A1DB4">
        <w:rPr>
          <w:spacing w:val="-2"/>
          <w:lang w:val="en-US" w:eastAsia="es-CR"/>
        </w:rPr>
        <w:t xml:space="preserve"> </w:t>
      </w:r>
      <w:r w:rsidR="008C4EFC" w:rsidRPr="008A1DB4">
        <w:rPr>
          <w:spacing w:val="-2"/>
          <w:lang w:val="en-US" w:eastAsia="es-CR"/>
        </w:rPr>
        <w:t xml:space="preserve">on September </w:t>
      </w:r>
      <w:r w:rsidRPr="008A1DB4">
        <w:rPr>
          <w:spacing w:val="-2"/>
          <w:lang w:val="en-US" w:eastAsia="es-CR"/>
        </w:rPr>
        <w:t>18</w:t>
      </w:r>
      <w:r w:rsidR="00F36400" w:rsidRPr="008A1DB4">
        <w:rPr>
          <w:spacing w:val="-2"/>
          <w:lang w:val="en-US" w:eastAsia="es-CR"/>
        </w:rPr>
        <w:t xml:space="preserve"> and </w:t>
      </w:r>
      <w:r w:rsidR="008C4EFC" w:rsidRPr="008A1DB4">
        <w:rPr>
          <w:spacing w:val="-2"/>
          <w:lang w:val="en-US" w:eastAsia="es-CR"/>
        </w:rPr>
        <w:t>23</w:t>
      </w:r>
      <w:proofErr w:type="gramEnd"/>
      <w:r w:rsidR="008C4EFC" w:rsidRPr="008A1DB4">
        <w:rPr>
          <w:spacing w:val="-2"/>
          <w:lang w:val="en-US" w:eastAsia="es-CR"/>
        </w:rPr>
        <w:t xml:space="preserve">, </w:t>
      </w:r>
      <w:r w:rsidRPr="008A1DB4">
        <w:rPr>
          <w:spacing w:val="-2"/>
          <w:lang w:val="en-US" w:eastAsia="es-CR"/>
        </w:rPr>
        <w:t>2014.</w:t>
      </w:r>
      <w:r w:rsidR="000D292B" w:rsidRPr="008A1DB4">
        <w:rPr>
          <w:spacing w:val="-2"/>
          <w:lang w:val="en-US" w:eastAsia="es-CR"/>
        </w:rPr>
        <w:t xml:space="preserve"> </w:t>
      </w:r>
    </w:p>
    <w:p w14:paraId="4DA4308A" w14:textId="77777777" w:rsidR="00AF7F22" w:rsidRPr="008A1DB4" w:rsidRDefault="00AF7F22" w:rsidP="00956E97">
      <w:pPr>
        <w:pStyle w:val="ListParagraph"/>
        <w:tabs>
          <w:tab w:val="left" w:pos="426"/>
        </w:tabs>
        <w:ind w:left="0"/>
        <w:rPr>
          <w:spacing w:val="-2"/>
          <w:lang w:val="en-US" w:eastAsia="es-CR"/>
        </w:rPr>
      </w:pPr>
    </w:p>
    <w:p w14:paraId="2EE703F6" w14:textId="2A7C98F1" w:rsidR="00751AF1" w:rsidRPr="008A1DB4" w:rsidRDefault="008C4EFC" w:rsidP="00956E97">
      <w:pPr>
        <w:pStyle w:val="ListParagraph"/>
        <w:numPr>
          <w:ilvl w:val="0"/>
          <w:numId w:val="2"/>
        </w:numPr>
        <w:rPr>
          <w:spacing w:val="-2"/>
          <w:lang w:val="en-US" w:eastAsia="es-CR"/>
        </w:rPr>
      </w:pPr>
      <w:bookmarkStart w:id="211" w:name="_Ref381264042"/>
      <w:bookmarkStart w:id="212" w:name="_Ref410316860"/>
      <w:r w:rsidRPr="008A1DB4">
        <w:rPr>
          <w:i/>
          <w:spacing w:val="-2"/>
          <w:lang w:val="en-US" w:eastAsia="es-CR"/>
        </w:rPr>
        <w:t xml:space="preserve">Final written arguments and observations. </w:t>
      </w:r>
      <w:r w:rsidRPr="008A1DB4">
        <w:rPr>
          <w:spacing w:val="-2"/>
          <w:lang w:val="en-US" w:eastAsia="es-CR"/>
        </w:rPr>
        <w:t>On October 3,</w:t>
      </w:r>
      <w:r w:rsidR="00C93F63" w:rsidRPr="008A1DB4">
        <w:rPr>
          <w:spacing w:val="-2"/>
          <w:lang w:val="en-US" w:eastAsia="es-CR"/>
        </w:rPr>
        <w:t xml:space="preserve"> 2014</w:t>
      </w:r>
      <w:r w:rsidRPr="008A1DB4">
        <w:rPr>
          <w:spacing w:val="-2"/>
          <w:lang w:val="en-US" w:eastAsia="es-CR"/>
        </w:rPr>
        <w:t>,</w:t>
      </w:r>
      <w:r w:rsidR="00751AF1" w:rsidRPr="008A1DB4">
        <w:rPr>
          <w:spacing w:val="-2"/>
          <w:lang w:val="en-US" w:eastAsia="es-CR"/>
        </w:rPr>
        <w:t xml:space="preserve"> </w:t>
      </w:r>
      <w:r w:rsidRPr="008A1DB4">
        <w:rPr>
          <w:spacing w:val="-2"/>
          <w:lang w:val="en-US" w:eastAsia="es-CR"/>
        </w:rPr>
        <w:t xml:space="preserve">the parties </w:t>
      </w:r>
      <w:r w:rsidR="00F36400" w:rsidRPr="008A1DB4">
        <w:rPr>
          <w:spacing w:val="-2"/>
          <w:lang w:val="en-US" w:eastAsia="es-CR"/>
        </w:rPr>
        <w:t>and the Commission</w:t>
      </w:r>
      <w:r w:rsidR="00751AF1" w:rsidRPr="008A1DB4">
        <w:rPr>
          <w:spacing w:val="-2"/>
          <w:lang w:val="en-US" w:eastAsia="es-CR"/>
        </w:rPr>
        <w:t xml:space="preserve"> present</w:t>
      </w:r>
      <w:r w:rsidRPr="008A1DB4">
        <w:rPr>
          <w:spacing w:val="-2"/>
          <w:lang w:val="en-US" w:eastAsia="es-CR"/>
        </w:rPr>
        <w:t>ed their final written arguments and observations, respectively. With their final written arguments, the parties pr</w:t>
      </w:r>
      <w:r w:rsidR="0039093A">
        <w:rPr>
          <w:spacing w:val="-2"/>
          <w:lang w:val="en-US" w:eastAsia="es-CR"/>
        </w:rPr>
        <w:t>ovided</w:t>
      </w:r>
      <w:r w:rsidRPr="008A1DB4">
        <w:rPr>
          <w:spacing w:val="-2"/>
          <w:lang w:val="en-US" w:eastAsia="es-CR"/>
        </w:rPr>
        <w:t xml:space="preserve"> some of the helpful information, explanations and evidence requested by the judges of </w:t>
      </w:r>
      <w:r w:rsidR="00F36400" w:rsidRPr="008A1DB4">
        <w:rPr>
          <w:spacing w:val="-2"/>
          <w:lang w:val="en-US" w:eastAsia="es-MX"/>
        </w:rPr>
        <w:t>this Court</w:t>
      </w:r>
      <w:r w:rsidR="00751AF1" w:rsidRPr="008A1DB4">
        <w:rPr>
          <w:spacing w:val="-2"/>
          <w:lang w:val="en-US" w:eastAsia="es-MX"/>
        </w:rPr>
        <w:t xml:space="preserve"> (</w:t>
      </w:r>
      <w:r w:rsidR="00751AF1" w:rsidRPr="008A1DB4">
        <w:rPr>
          <w:i/>
          <w:iCs/>
          <w:spacing w:val="-2"/>
          <w:lang w:val="en-US" w:eastAsia="es-MX"/>
        </w:rPr>
        <w:t>supra</w:t>
      </w:r>
      <w:r w:rsidR="00751AF1" w:rsidRPr="008A1DB4">
        <w:rPr>
          <w:spacing w:val="-2"/>
          <w:lang w:val="en-US" w:eastAsia="es-MX"/>
        </w:rPr>
        <w:t xml:space="preserve"> </w:t>
      </w:r>
      <w:r w:rsidR="00C45946" w:rsidRPr="008A1DB4">
        <w:rPr>
          <w:spacing w:val="-2"/>
          <w:lang w:val="en-US" w:eastAsia="es-MX"/>
        </w:rPr>
        <w:t xml:space="preserve">para. </w:t>
      </w:r>
      <w:r w:rsidR="00F145BD" w:rsidRPr="008A1DB4">
        <w:rPr>
          <w:spacing w:val="-2"/>
          <w:lang w:val="en-US"/>
        </w:rPr>
        <w:fldChar w:fldCharType="begin"/>
      </w:r>
      <w:r w:rsidR="00F145BD" w:rsidRPr="008A1DB4">
        <w:rPr>
          <w:spacing w:val="-2"/>
          <w:lang w:val="en-US"/>
        </w:rPr>
        <w:instrText xml:space="preserve"> REF _Ref299563748 \r \h </w:instrText>
      </w:r>
      <w:r w:rsidR="00DC41F4" w:rsidRPr="008A1DB4">
        <w:rPr>
          <w:spacing w:val="-2"/>
          <w:lang w:val="en-US"/>
        </w:rPr>
        <w:instrText xml:space="preserve"> \* MERGEFORMAT </w:instrText>
      </w:r>
      <w:r w:rsidR="00F145BD" w:rsidRPr="008A1DB4">
        <w:rPr>
          <w:spacing w:val="-2"/>
          <w:lang w:val="en-US"/>
        </w:rPr>
      </w:r>
      <w:r w:rsidR="00F145BD" w:rsidRPr="008A1DB4">
        <w:rPr>
          <w:spacing w:val="-2"/>
          <w:lang w:val="en-US"/>
        </w:rPr>
        <w:fldChar w:fldCharType="separate"/>
      </w:r>
      <w:r w:rsidR="00E961FA" w:rsidRPr="008A1DB4">
        <w:rPr>
          <w:spacing w:val="-2"/>
          <w:lang w:val="en-US"/>
        </w:rPr>
        <w:t>10</w:t>
      </w:r>
      <w:r w:rsidR="00F145BD" w:rsidRPr="008A1DB4">
        <w:rPr>
          <w:spacing w:val="-2"/>
          <w:lang w:val="en-US"/>
        </w:rPr>
        <w:fldChar w:fldCharType="end"/>
      </w:r>
      <w:r w:rsidR="00751AF1" w:rsidRPr="008A1DB4">
        <w:rPr>
          <w:spacing w:val="-2"/>
          <w:lang w:val="en-US" w:eastAsia="es-MX"/>
        </w:rPr>
        <w:t>), as</w:t>
      </w:r>
      <w:r w:rsidRPr="008A1DB4">
        <w:rPr>
          <w:spacing w:val="-2"/>
          <w:lang w:val="en-US" w:eastAsia="es-MX"/>
        </w:rPr>
        <w:t xml:space="preserve"> well as certain documentation. On November 3, 2014, the Secretariat of the Court, on </w:t>
      </w:r>
      <w:r w:rsidRPr="008A1DB4">
        <w:rPr>
          <w:rFonts w:eastAsia="Times New Roman"/>
          <w:color w:val="000000"/>
          <w:spacing w:val="-2"/>
          <w:lang w:val="en-US" w:eastAsia="es-CR"/>
        </w:rPr>
        <w:t xml:space="preserve">the President’s instructions, asked the parties and </w:t>
      </w:r>
      <w:r w:rsidR="00F36400" w:rsidRPr="008A1DB4">
        <w:rPr>
          <w:rFonts w:eastAsia="Times New Roman"/>
          <w:color w:val="000000"/>
          <w:spacing w:val="-2"/>
          <w:lang w:val="en-US" w:eastAsia="es-CR"/>
        </w:rPr>
        <w:t>the Commission</w:t>
      </w:r>
      <w:r w:rsidR="00751AF1" w:rsidRPr="008A1DB4">
        <w:rPr>
          <w:rFonts w:eastAsia="Times New Roman"/>
          <w:color w:val="000000"/>
          <w:spacing w:val="-2"/>
          <w:lang w:val="en-US" w:eastAsia="es-CR"/>
        </w:rPr>
        <w:t xml:space="preserve"> </w:t>
      </w:r>
      <w:r w:rsidRPr="008A1DB4">
        <w:rPr>
          <w:rFonts w:eastAsia="Times New Roman"/>
          <w:color w:val="000000"/>
          <w:spacing w:val="-2"/>
          <w:lang w:val="en-US" w:eastAsia="es-CR"/>
        </w:rPr>
        <w:t>to present any observations they deemed pertinent on this documentation.</w:t>
      </w:r>
      <w:r w:rsidR="00751AF1" w:rsidRPr="008A1DB4">
        <w:rPr>
          <w:rFonts w:eastAsia="Times New Roman"/>
          <w:color w:val="000000"/>
          <w:spacing w:val="-2"/>
          <w:lang w:val="en-US" w:eastAsia="es-CR"/>
        </w:rPr>
        <w:t xml:space="preserve"> </w:t>
      </w:r>
      <w:bookmarkEnd w:id="211"/>
      <w:bookmarkEnd w:id="212"/>
    </w:p>
    <w:p w14:paraId="6F8FC86F" w14:textId="77777777" w:rsidR="00C93F63" w:rsidRPr="008A1DB4" w:rsidRDefault="00C93F63" w:rsidP="00956E97">
      <w:pPr>
        <w:pStyle w:val="ListParagraph"/>
        <w:ind w:left="0"/>
        <w:rPr>
          <w:spacing w:val="-2"/>
          <w:lang w:val="en-US" w:eastAsia="es-CR"/>
        </w:rPr>
      </w:pPr>
    </w:p>
    <w:p w14:paraId="7A0942E1" w14:textId="7CA70E85" w:rsidR="00751AF1" w:rsidRPr="008A1DB4" w:rsidRDefault="007363F8" w:rsidP="00956E97">
      <w:pPr>
        <w:pStyle w:val="ListParagraph"/>
        <w:numPr>
          <w:ilvl w:val="0"/>
          <w:numId w:val="2"/>
        </w:numPr>
        <w:rPr>
          <w:rFonts w:eastAsia="Times New Roman"/>
          <w:b/>
          <w:bCs/>
          <w:spacing w:val="-2"/>
          <w:lang w:val="en-US" w:eastAsia="es-CR"/>
        </w:rPr>
      </w:pPr>
      <w:bookmarkStart w:id="213" w:name="_Ref374884810"/>
      <w:bookmarkStart w:id="214" w:name="_Ref367791100"/>
      <w:bookmarkStart w:id="215" w:name="_Ref394864019"/>
      <w:r w:rsidRPr="008A1DB4">
        <w:rPr>
          <w:i/>
          <w:spacing w:val="-2"/>
          <w:lang w:val="en-US" w:eastAsia="es-CR"/>
        </w:rPr>
        <w:t>Helpful information and evidence</w:t>
      </w:r>
      <w:r w:rsidR="00751AF1" w:rsidRPr="008A1DB4">
        <w:rPr>
          <w:spacing w:val="-2"/>
          <w:lang w:val="en-US" w:eastAsia="es-CR"/>
        </w:rPr>
        <w:t>.</w:t>
      </w:r>
      <w:bookmarkStart w:id="216" w:name="_Ref351399275"/>
      <w:r w:rsidR="00751AF1" w:rsidRPr="008A1DB4">
        <w:rPr>
          <w:rFonts w:eastAsia="Times New Roman"/>
          <w:color w:val="000000"/>
          <w:spacing w:val="-2"/>
          <w:lang w:val="en-US" w:eastAsia="es-CR"/>
        </w:rPr>
        <w:t xml:space="preserve"> </w:t>
      </w:r>
      <w:bookmarkEnd w:id="213"/>
      <w:bookmarkEnd w:id="214"/>
      <w:bookmarkEnd w:id="216"/>
      <w:r w:rsidRPr="008A1DB4">
        <w:rPr>
          <w:rFonts w:eastAsia="Times New Roman"/>
          <w:color w:val="000000"/>
          <w:spacing w:val="-2"/>
          <w:lang w:val="en-US" w:eastAsia="es-CR"/>
        </w:rPr>
        <w:t>On November 3,</w:t>
      </w:r>
      <w:r w:rsidR="00751AF1" w:rsidRPr="008A1DB4">
        <w:rPr>
          <w:rFonts w:eastAsia="Times New Roman"/>
          <w:color w:val="000000"/>
          <w:spacing w:val="-2"/>
          <w:lang w:val="en-US" w:eastAsia="es-CR"/>
        </w:rPr>
        <w:t xml:space="preserve"> 2014</w:t>
      </w:r>
      <w:r w:rsidRPr="008A1DB4">
        <w:rPr>
          <w:rFonts w:eastAsia="Times New Roman"/>
          <w:color w:val="000000"/>
          <w:spacing w:val="-2"/>
          <w:lang w:val="en-US" w:eastAsia="es-CR"/>
        </w:rPr>
        <w:t>,</w:t>
      </w:r>
      <w:r w:rsidR="00F36400" w:rsidRPr="008A1DB4">
        <w:rPr>
          <w:rFonts w:eastAsia="Times New Roman"/>
          <w:color w:val="000000"/>
          <w:spacing w:val="-2"/>
          <w:lang w:val="en-US" w:eastAsia="es-CR"/>
        </w:rPr>
        <w:t xml:space="preserve"> and </w:t>
      </w:r>
      <w:r w:rsidRPr="008A1DB4">
        <w:rPr>
          <w:rFonts w:eastAsia="Times New Roman"/>
          <w:color w:val="000000"/>
          <w:spacing w:val="-2"/>
          <w:lang w:val="en-US" w:eastAsia="es-CR"/>
        </w:rPr>
        <w:t>March 25,</w:t>
      </w:r>
      <w:r w:rsidR="0047698E" w:rsidRPr="008A1DB4">
        <w:rPr>
          <w:rFonts w:eastAsia="Times New Roman"/>
          <w:color w:val="000000"/>
          <w:spacing w:val="-2"/>
          <w:lang w:val="en-US" w:eastAsia="es-CR"/>
        </w:rPr>
        <w:t xml:space="preserve"> 2015</w:t>
      </w:r>
      <w:r w:rsidRPr="008A1DB4">
        <w:rPr>
          <w:rFonts w:eastAsia="Times New Roman"/>
          <w:color w:val="000000"/>
          <w:spacing w:val="-2"/>
          <w:lang w:val="en-US" w:eastAsia="es-CR"/>
        </w:rPr>
        <w:t>,</w:t>
      </w:r>
      <w:r w:rsidR="0047698E" w:rsidRPr="008A1DB4">
        <w:rPr>
          <w:rFonts w:eastAsia="Times New Roman"/>
          <w:color w:val="000000"/>
          <w:spacing w:val="-2"/>
          <w:lang w:val="en-US" w:eastAsia="es-CR"/>
        </w:rPr>
        <w:t xml:space="preserve"> </w:t>
      </w:r>
      <w:r w:rsidR="008C4EFC" w:rsidRPr="008A1DB4">
        <w:rPr>
          <w:rFonts w:eastAsia="Times New Roman"/>
          <w:color w:val="000000"/>
          <w:spacing w:val="-2"/>
          <w:lang w:val="en-US" w:eastAsia="es-CR"/>
        </w:rPr>
        <w:t>the President</w:t>
      </w:r>
      <w:r w:rsidR="00F36400" w:rsidRPr="008A1DB4">
        <w:rPr>
          <w:rFonts w:eastAsia="Times New Roman"/>
          <w:color w:val="000000"/>
          <w:spacing w:val="-2"/>
          <w:lang w:val="en-US" w:eastAsia="es-CR"/>
        </w:rPr>
        <w:t xml:space="preserve"> of the Court</w:t>
      </w:r>
      <w:r w:rsidRPr="008A1DB4">
        <w:rPr>
          <w:rFonts w:eastAsia="Times New Roman"/>
          <w:color w:val="000000"/>
          <w:spacing w:val="-2"/>
          <w:lang w:val="en-US" w:eastAsia="es-CR"/>
        </w:rPr>
        <w:t xml:space="preserve"> asked the State and </w:t>
      </w:r>
      <w:r w:rsidR="00C45946" w:rsidRPr="008A1DB4">
        <w:rPr>
          <w:rFonts w:eastAsia="Times New Roman"/>
          <w:color w:val="000000"/>
          <w:spacing w:val="-2"/>
          <w:lang w:val="en-US" w:eastAsia="es-CR"/>
        </w:rPr>
        <w:t>the representative</w:t>
      </w:r>
      <w:r w:rsidR="0051453F" w:rsidRPr="008A1DB4">
        <w:rPr>
          <w:rFonts w:eastAsia="Times New Roman"/>
          <w:color w:val="000000"/>
          <w:spacing w:val="-2"/>
          <w:lang w:val="en-US" w:eastAsia="es-CR"/>
        </w:rPr>
        <w:t xml:space="preserve"> </w:t>
      </w:r>
      <w:r w:rsidRPr="008A1DB4">
        <w:rPr>
          <w:rFonts w:eastAsia="Times New Roman"/>
          <w:color w:val="000000"/>
          <w:spacing w:val="-2"/>
          <w:lang w:val="en-US" w:eastAsia="es-CR"/>
        </w:rPr>
        <w:t xml:space="preserve">for </w:t>
      </w:r>
      <w:r w:rsidR="0039093A">
        <w:rPr>
          <w:rFonts w:eastAsia="Times New Roman"/>
          <w:color w:val="000000"/>
          <w:spacing w:val="-2"/>
          <w:lang w:val="en-US" w:eastAsia="es-CR"/>
        </w:rPr>
        <w:t>specific</w:t>
      </w:r>
      <w:r w:rsidRPr="008A1DB4">
        <w:rPr>
          <w:rFonts w:eastAsia="Times New Roman"/>
          <w:color w:val="000000"/>
          <w:spacing w:val="-2"/>
          <w:lang w:val="en-US" w:eastAsia="es-CR"/>
        </w:rPr>
        <w:t xml:space="preserve"> helpful information and documentation</w:t>
      </w:r>
      <w:r w:rsidR="0051453F" w:rsidRPr="008A1DB4">
        <w:rPr>
          <w:rFonts w:eastAsia="Times New Roman"/>
          <w:color w:val="000000"/>
          <w:spacing w:val="-2"/>
          <w:lang w:val="en-US" w:eastAsia="es-CR"/>
        </w:rPr>
        <w:t xml:space="preserve">. </w:t>
      </w:r>
      <w:r w:rsidR="00F36400" w:rsidRPr="008A1DB4">
        <w:rPr>
          <w:rFonts w:eastAsia="Times New Roman"/>
          <w:color w:val="000000"/>
          <w:spacing w:val="-2"/>
          <w:lang w:val="en-US" w:eastAsia="es-CR"/>
        </w:rPr>
        <w:t>The State</w:t>
      </w:r>
      <w:r w:rsidRPr="008A1DB4">
        <w:rPr>
          <w:rFonts w:eastAsia="Times New Roman"/>
          <w:color w:val="000000"/>
          <w:spacing w:val="-2"/>
          <w:lang w:val="en-US" w:eastAsia="es-CR"/>
        </w:rPr>
        <w:t xml:space="preserve"> presented the requested information and explanations on November 17 and December 1, 2014, and on April 10, </w:t>
      </w:r>
      <w:r w:rsidR="0047698E" w:rsidRPr="008A1DB4">
        <w:rPr>
          <w:rFonts w:eastAsia="Times New Roman"/>
          <w:color w:val="000000"/>
          <w:spacing w:val="-2"/>
          <w:lang w:val="en-US" w:eastAsia="es-CR"/>
        </w:rPr>
        <w:t>2015</w:t>
      </w:r>
      <w:r w:rsidR="00751AF1" w:rsidRPr="008A1DB4">
        <w:rPr>
          <w:rFonts w:eastAsia="Times New Roman"/>
          <w:color w:val="000000"/>
          <w:spacing w:val="-2"/>
          <w:lang w:val="en-US" w:eastAsia="es-CR"/>
        </w:rPr>
        <w:t xml:space="preserve">. </w:t>
      </w:r>
      <w:bookmarkEnd w:id="215"/>
    </w:p>
    <w:p w14:paraId="5057BBFB" w14:textId="77777777" w:rsidR="00C93F63" w:rsidRPr="008A1DB4" w:rsidRDefault="00C93F63" w:rsidP="00956E97">
      <w:pPr>
        <w:pStyle w:val="ListParagraph"/>
        <w:ind w:left="0"/>
        <w:rPr>
          <w:rFonts w:eastAsia="Times New Roman"/>
          <w:b/>
          <w:bCs/>
          <w:spacing w:val="-2"/>
          <w:lang w:val="en-US" w:eastAsia="es-CR"/>
        </w:rPr>
      </w:pPr>
    </w:p>
    <w:p w14:paraId="726D8095" w14:textId="16747151" w:rsidR="007363F8" w:rsidRPr="008A1DB4" w:rsidRDefault="00751AF1" w:rsidP="00956E97">
      <w:pPr>
        <w:pStyle w:val="ListParagraph"/>
        <w:numPr>
          <w:ilvl w:val="0"/>
          <w:numId w:val="2"/>
        </w:numPr>
        <w:rPr>
          <w:spacing w:val="-2"/>
          <w:lang w:val="en-US" w:eastAsia="es-CR"/>
        </w:rPr>
      </w:pPr>
      <w:bookmarkStart w:id="217" w:name="_Ref374886052"/>
      <w:bookmarkStart w:id="218" w:name="_Ref368677486"/>
      <w:r w:rsidRPr="008A1DB4">
        <w:rPr>
          <w:i/>
          <w:spacing w:val="-2"/>
          <w:lang w:val="en-US" w:eastAsia="es-CR"/>
        </w:rPr>
        <w:t>Observ</w:t>
      </w:r>
      <w:r w:rsidR="007363F8" w:rsidRPr="008A1DB4">
        <w:rPr>
          <w:i/>
          <w:spacing w:val="-2"/>
          <w:lang w:val="en-US" w:eastAsia="es-CR"/>
        </w:rPr>
        <w:t xml:space="preserve">ations on the helpful information and evidence, </w:t>
      </w:r>
      <w:r w:rsidR="0039093A">
        <w:rPr>
          <w:i/>
          <w:spacing w:val="-2"/>
          <w:lang w:val="en-US" w:eastAsia="es-CR"/>
        </w:rPr>
        <w:t>as well as</w:t>
      </w:r>
      <w:r w:rsidR="007363F8" w:rsidRPr="008A1DB4">
        <w:rPr>
          <w:i/>
          <w:spacing w:val="-2"/>
          <w:lang w:val="en-US" w:eastAsia="es-CR"/>
        </w:rPr>
        <w:t xml:space="preserve"> on the supervening evidence on costs and expenses. </w:t>
      </w:r>
      <w:r w:rsidR="007363F8" w:rsidRPr="008A1DB4">
        <w:rPr>
          <w:spacing w:val="-2"/>
          <w:lang w:val="en-US" w:eastAsia="es-CR"/>
        </w:rPr>
        <w:t>On November 17,</w:t>
      </w:r>
      <w:r w:rsidRPr="008A1DB4">
        <w:rPr>
          <w:spacing w:val="-2"/>
          <w:lang w:val="en-US" w:eastAsia="es-CR"/>
        </w:rPr>
        <w:t xml:space="preserve"> 2014</w:t>
      </w:r>
      <w:r w:rsidR="007363F8" w:rsidRPr="008A1DB4">
        <w:rPr>
          <w:spacing w:val="-2"/>
          <w:lang w:val="en-US" w:eastAsia="es-CR"/>
        </w:rPr>
        <w:t>,</w:t>
      </w:r>
      <w:r w:rsidRPr="008A1DB4">
        <w:rPr>
          <w:spacing w:val="-2"/>
          <w:lang w:val="en-US" w:eastAsia="es-CR"/>
        </w:rPr>
        <w:t xml:space="preserve"> </w:t>
      </w:r>
      <w:r w:rsidR="00F36400" w:rsidRPr="008A1DB4">
        <w:rPr>
          <w:spacing w:val="-2"/>
          <w:lang w:val="en-US" w:eastAsia="es-CR"/>
        </w:rPr>
        <w:t xml:space="preserve">the State and </w:t>
      </w:r>
      <w:r w:rsidR="00C45946" w:rsidRPr="008A1DB4">
        <w:rPr>
          <w:spacing w:val="-2"/>
          <w:lang w:val="en-US" w:eastAsia="es-CR"/>
        </w:rPr>
        <w:t>the representative</w:t>
      </w:r>
      <w:r w:rsidRPr="008A1DB4">
        <w:rPr>
          <w:spacing w:val="-2"/>
          <w:lang w:val="en-US" w:eastAsia="es-CR"/>
        </w:rPr>
        <w:t xml:space="preserve"> present</w:t>
      </w:r>
      <w:r w:rsidR="007363F8" w:rsidRPr="008A1DB4">
        <w:rPr>
          <w:spacing w:val="-2"/>
          <w:lang w:val="en-US" w:eastAsia="es-CR"/>
        </w:rPr>
        <w:t>ed their observations on the helpful information, explanations and documentation pr</w:t>
      </w:r>
      <w:r w:rsidR="0039093A">
        <w:rPr>
          <w:spacing w:val="-2"/>
          <w:lang w:val="en-US" w:eastAsia="es-CR"/>
        </w:rPr>
        <w:t>ovided</w:t>
      </w:r>
      <w:r w:rsidR="007363F8" w:rsidRPr="008A1DB4">
        <w:rPr>
          <w:spacing w:val="-2"/>
          <w:lang w:val="en-US" w:eastAsia="es-CR"/>
        </w:rPr>
        <w:t xml:space="preserve"> with the final written arguments </w:t>
      </w:r>
      <w:bookmarkEnd w:id="217"/>
      <w:r w:rsidR="00515473" w:rsidRPr="008A1DB4">
        <w:rPr>
          <w:spacing w:val="-2"/>
          <w:lang w:val="en-US"/>
        </w:rPr>
        <w:t>(</w:t>
      </w:r>
      <w:r w:rsidR="00515473" w:rsidRPr="008A1DB4">
        <w:rPr>
          <w:i/>
          <w:spacing w:val="-2"/>
          <w:lang w:val="en-US"/>
        </w:rPr>
        <w:t>supra</w:t>
      </w:r>
      <w:r w:rsidR="00515473"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_Ref410316860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12</w:t>
      </w:r>
      <w:r w:rsidR="00BE2225" w:rsidRPr="008A1DB4">
        <w:rPr>
          <w:spacing w:val="-2"/>
          <w:lang w:val="en-US"/>
        </w:rPr>
        <w:fldChar w:fldCharType="end"/>
      </w:r>
      <w:r w:rsidR="00515473" w:rsidRPr="008A1DB4">
        <w:rPr>
          <w:spacing w:val="-2"/>
          <w:lang w:val="en-US"/>
        </w:rPr>
        <w:t>)</w:t>
      </w:r>
      <w:r w:rsidRPr="008A1DB4">
        <w:rPr>
          <w:spacing w:val="-2"/>
          <w:lang w:val="en-US"/>
        </w:rPr>
        <w:t xml:space="preserve">. </w:t>
      </w:r>
      <w:bookmarkEnd w:id="218"/>
      <w:r w:rsidR="007363F8" w:rsidRPr="008A1DB4">
        <w:rPr>
          <w:spacing w:val="-2"/>
          <w:lang w:val="en-US"/>
        </w:rPr>
        <w:t>On December 19,</w:t>
      </w:r>
      <w:r w:rsidR="00B075F0" w:rsidRPr="008A1DB4">
        <w:rPr>
          <w:spacing w:val="-2"/>
          <w:lang w:val="en-US"/>
        </w:rPr>
        <w:t xml:space="preserve"> 2014</w:t>
      </w:r>
      <w:r w:rsidR="007363F8" w:rsidRPr="008A1DB4">
        <w:rPr>
          <w:spacing w:val="-2"/>
          <w:lang w:val="en-US"/>
        </w:rPr>
        <w:t>,</w:t>
      </w:r>
      <w:r w:rsidR="00B075F0" w:rsidRPr="008A1DB4">
        <w:rPr>
          <w:spacing w:val="-2"/>
          <w:lang w:val="en-US"/>
        </w:rPr>
        <w:t xml:space="preserve"> </w:t>
      </w:r>
      <w:r w:rsidR="00F36400" w:rsidRPr="008A1DB4">
        <w:rPr>
          <w:spacing w:val="-2"/>
          <w:lang w:val="en-US"/>
        </w:rPr>
        <w:t>the Commission</w:t>
      </w:r>
      <w:r w:rsidR="00B075F0" w:rsidRPr="008A1DB4">
        <w:rPr>
          <w:spacing w:val="-2"/>
          <w:lang w:val="en-US"/>
        </w:rPr>
        <w:t xml:space="preserve"> </w:t>
      </w:r>
      <w:r w:rsidR="00021379" w:rsidRPr="008A1DB4">
        <w:rPr>
          <w:spacing w:val="-2"/>
          <w:lang w:val="en-US"/>
        </w:rPr>
        <w:t>indic</w:t>
      </w:r>
      <w:r w:rsidR="007363F8" w:rsidRPr="008A1DB4">
        <w:rPr>
          <w:spacing w:val="-2"/>
          <w:lang w:val="en-US"/>
        </w:rPr>
        <w:t>ated that it had no observations to make on the documentation submitted by the State on November 17 and December 1, 2014, and, on May 4, 2015, it forwarded its observation</w:t>
      </w:r>
      <w:r w:rsidR="008A1DB4">
        <w:rPr>
          <w:spacing w:val="-2"/>
          <w:lang w:val="en-US"/>
        </w:rPr>
        <w:t xml:space="preserve">s on the documentation </w:t>
      </w:r>
      <w:r w:rsidR="0039093A">
        <w:rPr>
          <w:spacing w:val="-2"/>
          <w:lang w:val="en-US"/>
        </w:rPr>
        <w:t>provided</w:t>
      </w:r>
      <w:r w:rsidR="008A1DB4">
        <w:rPr>
          <w:spacing w:val="-2"/>
          <w:lang w:val="en-US"/>
        </w:rPr>
        <w:t xml:space="preserve"> </w:t>
      </w:r>
      <w:r w:rsidR="007363F8" w:rsidRPr="008A1DB4">
        <w:rPr>
          <w:spacing w:val="-2"/>
          <w:lang w:val="en-US"/>
        </w:rPr>
        <w:t xml:space="preserve">on April 10, 2015. </w:t>
      </w:r>
      <w:r w:rsidR="00C45946" w:rsidRPr="008A1DB4">
        <w:rPr>
          <w:spacing w:val="-2"/>
          <w:lang w:val="en-US"/>
        </w:rPr>
        <w:t>The representative</w:t>
      </w:r>
      <w:r w:rsidR="00465AE2" w:rsidRPr="008A1DB4">
        <w:rPr>
          <w:spacing w:val="-2"/>
          <w:lang w:val="en-US"/>
        </w:rPr>
        <w:t xml:space="preserve"> </w:t>
      </w:r>
      <w:r w:rsidR="007363F8" w:rsidRPr="008A1DB4">
        <w:rPr>
          <w:spacing w:val="-2"/>
          <w:lang w:val="en-US"/>
        </w:rPr>
        <w:t xml:space="preserve">did not present observations on the helpful information and documentation submitted by the State on November </w:t>
      </w:r>
      <w:r w:rsidR="0039093A">
        <w:rPr>
          <w:spacing w:val="-2"/>
          <w:lang w:val="en-US"/>
        </w:rPr>
        <w:t xml:space="preserve">17 and December 1, 2014, and </w:t>
      </w:r>
      <w:r w:rsidR="007363F8" w:rsidRPr="008A1DB4">
        <w:rPr>
          <w:spacing w:val="-2"/>
          <w:lang w:val="en-US"/>
        </w:rPr>
        <w:t>April 10, 2015.</w:t>
      </w:r>
    </w:p>
    <w:p w14:paraId="59BB7D51" w14:textId="77777777" w:rsidR="000E530E" w:rsidRPr="008A1DB4" w:rsidRDefault="000E530E" w:rsidP="00956E97">
      <w:pPr>
        <w:pStyle w:val="ListParagraph"/>
        <w:ind w:left="0"/>
        <w:rPr>
          <w:spacing w:val="-2"/>
          <w:lang w:val="en-US" w:eastAsia="es-CR"/>
        </w:rPr>
      </w:pPr>
    </w:p>
    <w:p w14:paraId="08C3625F" w14:textId="2D85D36B" w:rsidR="000E530E" w:rsidRPr="008A1DB4" w:rsidRDefault="0058668C" w:rsidP="00956E97">
      <w:pPr>
        <w:pStyle w:val="ListParagraph"/>
        <w:numPr>
          <w:ilvl w:val="0"/>
          <w:numId w:val="2"/>
        </w:numPr>
        <w:rPr>
          <w:spacing w:val="-2"/>
          <w:lang w:val="en-US" w:eastAsia="es-CR"/>
        </w:rPr>
      </w:pPr>
      <w:r w:rsidRPr="008A1DB4">
        <w:rPr>
          <w:i/>
          <w:spacing w:val="-2"/>
          <w:lang w:val="en-US" w:eastAsia="es-CR"/>
        </w:rPr>
        <w:lastRenderedPageBreak/>
        <w:t>Supervening facts.</w:t>
      </w:r>
      <w:r w:rsidR="000E530E" w:rsidRPr="008A1DB4">
        <w:rPr>
          <w:spacing w:val="-2"/>
          <w:lang w:val="en-US" w:eastAsia="es-CR"/>
        </w:rPr>
        <w:t xml:space="preserve"> </w:t>
      </w:r>
      <w:r w:rsidRPr="008A1DB4">
        <w:rPr>
          <w:spacing w:val="-2"/>
          <w:lang w:val="en-US" w:eastAsia="es-CR"/>
        </w:rPr>
        <w:t>On April</w:t>
      </w:r>
      <w:r w:rsidR="001E4B91" w:rsidRPr="008A1DB4">
        <w:rPr>
          <w:spacing w:val="-2"/>
          <w:lang w:val="en-US" w:eastAsia="es-CR"/>
        </w:rPr>
        <w:t xml:space="preserve"> </w:t>
      </w:r>
      <w:r w:rsidR="005C6BF5" w:rsidRPr="008A1DB4">
        <w:rPr>
          <w:spacing w:val="-2"/>
          <w:lang w:val="en-US" w:eastAsia="es-CR"/>
        </w:rPr>
        <w:t>13,</w:t>
      </w:r>
      <w:r w:rsidRPr="008A1DB4">
        <w:rPr>
          <w:spacing w:val="-2"/>
          <w:lang w:val="en-US" w:eastAsia="es-CR"/>
        </w:rPr>
        <w:t xml:space="preserve"> and June</w:t>
      </w:r>
      <w:r w:rsidR="005C6BF5" w:rsidRPr="008A1DB4">
        <w:rPr>
          <w:spacing w:val="-2"/>
          <w:lang w:val="en-US" w:eastAsia="es-CR"/>
        </w:rPr>
        <w:t xml:space="preserve"> </w:t>
      </w:r>
      <w:r w:rsidR="001E4B91" w:rsidRPr="008A1DB4">
        <w:rPr>
          <w:spacing w:val="-2"/>
          <w:lang w:val="en-US" w:eastAsia="es-CR"/>
        </w:rPr>
        <w:t>11</w:t>
      </w:r>
      <w:r w:rsidR="00F36400" w:rsidRPr="008A1DB4">
        <w:rPr>
          <w:spacing w:val="-2"/>
          <w:lang w:val="en-US" w:eastAsia="es-CR"/>
        </w:rPr>
        <w:t xml:space="preserve"> and </w:t>
      </w:r>
      <w:r w:rsidRPr="008A1DB4">
        <w:rPr>
          <w:spacing w:val="-2"/>
          <w:lang w:val="en-US" w:eastAsia="es-CR"/>
        </w:rPr>
        <w:t xml:space="preserve">18, </w:t>
      </w:r>
      <w:r w:rsidR="000E530E" w:rsidRPr="008A1DB4">
        <w:rPr>
          <w:spacing w:val="-2"/>
          <w:lang w:val="en-US" w:eastAsia="es-CR"/>
        </w:rPr>
        <w:t>2015</w:t>
      </w:r>
      <w:r w:rsidRPr="008A1DB4">
        <w:rPr>
          <w:spacing w:val="-2"/>
          <w:lang w:val="en-US" w:eastAsia="es-CR"/>
        </w:rPr>
        <w:t>,</w:t>
      </w:r>
      <w:r w:rsidR="000E530E" w:rsidRPr="008A1DB4">
        <w:rPr>
          <w:spacing w:val="-2"/>
          <w:lang w:val="en-US" w:eastAsia="es-CR"/>
        </w:rPr>
        <w:t xml:space="preserve"> </w:t>
      </w:r>
      <w:r w:rsidR="00C45946" w:rsidRPr="008A1DB4">
        <w:rPr>
          <w:spacing w:val="-2"/>
          <w:lang w:val="en-US" w:eastAsia="es-CR"/>
        </w:rPr>
        <w:t>the representative</w:t>
      </w:r>
      <w:r w:rsidR="000E530E" w:rsidRPr="008A1DB4">
        <w:rPr>
          <w:spacing w:val="-2"/>
          <w:lang w:val="en-US" w:eastAsia="es-CR"/>
        </w:rPr>
        <w:t xml:space="preserve"> </w:t>
      </w:r>
      <w:r w:rsidRPr="008A1DB4">
        <w:rPr>
          <w:spacing w:val="-2"/>
          <w:lang w:val="en-US" w:eastAsia="es-CR"/>
        </w:rPr>
        <w:t>forwarded information on a request to “</w:t>
      </w:r>
      <w:r w:rsidR="0039093A">
        <w:rPr>
          <w:spacing w:val="-2"/>
          <w:lang w:val="en-US" w:eastAsia="es-CR"/>
        </w:rPr>
        <w:t>change</w:t>
      </w:r>
      <w:r w:rsidRPr="008A1DB4">
        <w:rPr>
          <w:spacing w:val="-2"/>
          <w:lang w:val="en-US" w:eastAsia="es-CR"/>
        </w:rPr>
        <w:t xml:space="preserve"> the house arrest” of </w:t>
      </w:r>
      <w:r w:rsidR="000E530E" w:rsidRPr="008A1DB4">
        <w:rPr>
          <w:spacing w:val="-2"/>
          <w:lang w:val="en-US" w:eastAsia="es-CR"/>
        </w:rPr>
        <w:t>Wong Ho Wing</w:t>
      </w:r>
      <w:r w:rsidR="00E51933" w:rsidRPr="008A1DB4">
        <w:rPr>
          <w:spacing w:val="-2"/>
          <w:lang w:val="en-US" w:eastAsia="es-CR"/>
        </w:rPr>
        <w:t xml:space="preserve"> </w:t>
      </w:r>
      <w:r w:rsidR="0039093A">
        <w:rPr>
          <w:spacing w:val="-2"/>
          <w:lang w:val="en-US" w:eastAsia="es-CR"/>
        </w:rPr>
        <w:t>filed</w:t>
      </w:r>
      <w:r w:rsidRPr="008A1DB4">
        <w:rPr>
          <w:spacing w:val="-2"/>
          <w:lang w:val="en-US" w:eastAsia="es-CR"/>
        </w:rPr>
        <w:t xml:space="preserve"> </w:t>
      </w:r>
      <w:r w:rsidR="0039093A" w:rsidRPr="008A1DB4">
        <w:rPr>
          <w:spacing w:val="-2"/>
          <w:lang w:val="en-US" w:eastAsia="es-CR"/>
        </w:rPr>
        <w:t xml:space="preserve">in the domestic sphere </w:t>
      </w:r>
      <w:r w:rsidR="0039093A">
        <w:rPr>
          <w:spacing w:val="-2"/>
          <w:lang w:val="en-US" w:eastAsia="es-CR"/>
        </w:rPr>
        <w:t>on March 3, 2015</w:t>
      </w:r>
      <w:r w:rsidRPr="008A1DB4">
        <w:rPr>
          <w:spacing w:val="-2"/>
          <w:lang w:val="en-US" w:eastAsia="es-CR"/>
        </w:rPr>
        <w:t>. On April 20, May 4, and June</w:t>
      </w:r>
      <w:r w:rsidR="005C6BF5" w:rsidRPr="008A1DB4">
        <w:rPr>
          <w:spacing w:val="-2"/>
          <w:lang w:val="en-US" w:eastAsia="es-CR"/>
        </w:rPr>
        <w:t xml:space="preserve"> 19</w:t>
      </w:r>
      <w:r w:rsidR="00F36400" w:rsidRPr="008A1DB4">
        <w:rPr>
          <w:spacing w:val="-2"/>
          <w:lang w:val="en-US" w:eastAsia="es-CR"/>
        </w:rPr>
        <w:t xml:space="preserve"> and </w:t>
      </w:r>
      <w:r w:rsidRPr="008A1DB4">
        <w:rPr>
          <w:spacing w:val="-2"/>
          <w:lang w:val="en-US" w:eastAsia="es-CR"/>
        </w:rPr>
        <w:t xml:space="preserve">23, </w:t>
      </w:r>
      <w:r w:rsidR="005A35FB" w:rsidRPr="008A1DB4">
        <w:rPr>
          <w:spacing w:val="-2"/>
          <w:lang w:val="en-US" w:eastAsia="es-CR"/>
        </w:rPr>
        <w:t>2015</w:t>
      </w:r>
      <w:r w:rsidRPr="008A1DB4">
        <w:rPr>
          <w:spacing w:val="-2"/>
          <w:lang w:val="en-US" w:eastAsia="es-CR"/>
        </w:rPr>
        <w:t>,</w:t>
      </w:r>
      <w:r w:rsidR="005A35FB" w:rsidRPr="008A1DB4">
        <w:rPr>
          <w:spacing w:val="-2"/>
          <w:lang w:val="en-US" w:eastAsia="es-CR"/>
        </w:rPr>
        <w:t xml:space="preserve"> </w:t>
      </w:r>
      <w:r w:rsidR="00F36400" w:rsidRPr="008A1DB4">
        <w:rPr>
          <w:spacing w:val="-2"/>
          <w:lang w:val="en-US" w:eastAsia="es-CR"/>
        </w:rPr>
        <w:t>the State and the Commission</w:t>
      </w:r>
      <w:r w:rsidR="001E4B91" w:rsidRPr="008A1DB4">
        <w:rPr>
          <w:spacing w:val="-2"/>
          <w:lang w:val="en-US" w:eastAsia="es-CR"/>
        </w:rPr>
        <w:t xml:space="preserve"> </w:t>
      </w:r>
      <w:r w:rsidR="005A35FB" w:rsidRPr="008A1DB4">
        <w:rPr>
          <w:spacing w:val="-2"/>
          <w:lang w:val="en-US" w:eastAsia="es-CR"/>
        </w:rPr>
        <w:t>present</w:t>
      </w:r>
      <w:r w:rsidRPr="008A1DB4">
        <w:rPr>
          <w:spacing w:val="-2"/>
          <w:lang w:val="en-US" w:eastAsia="es-CR"/>
        </w:rPr>
        <w:t>ed their observations in this regard.</w:t>
      </w:r>
    </w:p>
    <w:p w14:paraId="4AA19719" w14:textId="77777777" w:rsidR="003106FE" w:rsidRPr="008A1DB4" w:rsidRDefault="003106FE" w:rsidP="00956E97">
      <w:pPr>
        <w:pStyle w:val="ListParagraph"/>
        <w:ind w:left="0"/>
        <w:rPr>
          <w:spacing w:val="-2"/>
          <w:lang w:val="en-US" w:eastAsia="es-CR"/>
        </w:rPr>
      </w:pPr>
    </w:p>
    <w:p w14:paraId="342E89F3" w14:textId="04D6B0DC" w:rsidR="003106FE" w:rsidRPr="008A1DB4" w:rsidRDefault="003106FE" w:rsidP="00956E97">
      <w:pPr>
        <w:widowControl w:val="0"/>
        <w:numPr>
          <w:ilvl w:val="0"/>
          <w:numId w:val="2"/>
        </w:numPr>
        <w:autoSpaceDE w:val="0"/>
        <w:autoSpaceDN w:val="0"/>
        <w:adjustRightInd w:val="0"/>
        <w:textAlignment w:val="baseline"/>
        <w:rPr>
          <w:rFonts w:eastAsia="Calibri" w:cs="Verdana"/>
          <w:spacing w:val="-2"/>
          <w:szCs w:val="20"/>
          <w:lang w:val="en-US" w:eastAsia="es-CR"/>
        </w:rPr>
      </w:pPr>
      <w:r w:rsidRPr="008A1DB4">
        <w:rPr>
          <w:rFonts w:eastAsia="Calibri" w:cs="Verdana"/>
          <w:i/>
          <w:spacing w:val="-2"/>
          <w:szCs w:val="20"/>
          <w:lang w:val="en-US" w:eastAsia="es-CR"/>
        </w:rPr>
        <w:t>Delibera</w:t>
      </w:r>
      <w:r w:rsidR="0058668C" w:rsidRPr="008A1DB4">
        <w:rPr>
          <w:rFonts w:eastAsia="Calibri" w:cs="Verdana"/>
          <w:i/>
          <w:spacing w:val="-2"/>
          <w:szCs w:val="20"/>
          <w:lang w:val="en-US" w:eastAsia="es-CR"/>
        </w:rPr>
        <w:t xml:space="preserve">tion of this Judgment. </w:t>
      </w:r>
      <w:r w:rsidR="00F36400" w:rsidRPr="008A1DB4">
        <w:rPr>
          <w:rFonts w:eastAsia="Calibri" w:cs="Verdana"/>
          <w:spacing w:val="-2"/>
          <w:szCs w:val="20"/>
          <w:lang w:val="en-US" w:eastAsia="es-CR"/>
        </w:rPr>
        <w:t>The Court</w:t>
      </w:r>
      <w:r w:rsidRPr="008A1DB4">
        <w:rPr>
          <w:rFonts w:eastAsia="Calibri" w:cs="Verdana"/>
          <w:spacing w:val="-2"/>
          <w:szCs w:val="20"/>
          <w:lang w:val="en-US" w:eastAsia="es-CR"/>
        </w:rPr>
        <w:t xml:space="preserve"> </w:t>
      </w:r>
      <w:r w:rsidR="0039093A">
        <w:rPr>
          <w:rFonts w:eastAsia="Calibri" w:cs="Verdana"/>
          <w:spacing w:val="-2"/>
          <w:szCs w:val="20"/>
          <w:lang w:val="en-US" w:eastAsia="es-CR"/>
        </w:rPr>
        <w:t>began its deliberation of</w:t>
      </w:r>
      <w:r w:rsidR="0058668C" w:rsidRPr="008A1DB4">
        <w:rPr>
          <w:rFonts w:eastAsia="Calibri" w:cs="Verdana"/>
          <w:spacing w:val="-2"/>
          <w:szCs w:val="20"/>
          <w:lang w:val="en-US" w:eastAsia="es-CR"/>
        </w:rPr>
        <w:t xml:space="preserve"> this Judgment on June 24, </w:t>
      </w:r>
      <w:r w:rsidRPr="008A1DB4">
        <w:rPr>
          <w:rFonts w:eastAsia="Calibri" w:cs="Verdana"/>
          <w:spacing w:val="-2"/>
          <w:szCs w:val="20"/>
          <w:lang w:val="en-US" w:eastAsia="es-CR"/>
        </w:rPr>
        <w:t>2015.</w:t>
      </w:r>
    </w:p>
    <w:p w14:paraId="786F1062" w14:textId="77777777" w:rsidR="001A3275" w:rsidRPr="008A1DB4" w:rsidRDefault="001A3275" w:rsidP="00956E97">
      <w:pPr>
        <w:pStyle w:val="ListParagraph"/>
        <w:ind w:left="0"/>
        <w:rPr>
          <w:spacing w:val="-2"/>
          <w:lang w:val="en-US" w:eastAsia="es-CR"/>
        </w:rPr>
      </w:pPr>
    </w:p>
    <w:p w14:paraId="57D46906" w14:textId="77777777" w:rsidR="004E1D7E" w:rsidRPr="008A1DB4" w:rsidRDefault="004E1D7E" w:rsidP="00956E97">
      <w:pPr>
        <w:pStyle w:val="Title"/>
        <w:rPr>
          <w:spacing w:val="-2"/>
          <w:lang w:val="en-US"/>
        </w:rPr>
      </w:pPr>
      <w:bookmarkStart w:id="219" w:name="_Toc418912584"/>
      <w:bookmarkStart w:id="220" w:name="_Toc419394366"/>
      <w:bookmarkStart w:id="221" w:name="_Toc429490232"/>
      <w:bookmarkStart w:id="222" w:name="_Toc429503744"/>
      <w:bookmarkStart w:id="223" w:name="_Toc429504250"/>
      <w:bookmarkStart w:id="224" w:name="_Toc429677963"/>
      <w:bookmarkStart w:id="225" w:name="_Toc430017126"/>
      <w:bookmarkStart w:id="226" w:name="_Toc430017355"/>
      <w:bookmarkStart w:id="227" w:name="_Toc430018637"/>
      <w:bookmarkStart w:id="228" w:name="_Toc430125235"/>
      <w:bookmarkStart w:id="229" w:name="_Toc430125343"/>
      <w:r w:rsidRPr="008A1DB4">
        <w:rPr>
          <w:spacing w:val="-2"/>
          <w:lang w:val="en-US"/>
        </w:rPr>
        <w:t>III</w:t>
      </w:r>
      <w:bookmarkEnd w:id="219"/>
      <w:bookmarkEnd w:id="220"/>
      <w:bookmarkEnd w:id="221"/>
      <w:bookmarkEnd w:id="222"/>
      <w:bookmarkEnd w:id="223"/>
      <w:bookmarkEnd w:id="224"/>
      <w:bookmarkEnd w:id="225"/>
      <w:bookmarkEnd w:id="226"/>
      <w:bookmarkEnd w:id="227"/>
      <w:bookmarkEnd w:id="228"/>
      <w:bookmarkEnd w:id="229"/>
    </w:p>
    <w:p w14:paraId="0ACDFAE7" w14:textId="1529B646" w:rsidR="005B2420" w:rsidRPr="008A1DB4" w:rsidRDefault="0039093A" w:rsidP="00956E97">
      <w:pPr>
        <w:pStyle w:val="Title"/>
        <w:rPr>
          <w:spacing w:val="-2"/>
          <w:lang w:val="en-US"/>
        </w:rPr>
      </w:pPr>
      <w:bookmarkStart w:id="230" w:name="_Toc418072837"/>
      <w:bookmarkStart w:id="231" w:name="_Toc418074056"/>
      <w:r>
        <w:rPr>
          <w:spacing w:val="-2"/>
          <w:lang w:val="en-US"/>
        </w:rPr>
        <w:t>JURISDICTION</w:t>
      </w:r>
    </w:p>
    <w:p w14:paraId="1B1F1CBA" w14:textId="77777777" w:rsidR="005B2420" w:rsidRPr="008A1DB4" w:rsidRDefault="005B2420" w:rsidP="00956E97">
      <w:pPr>
        <w:rPr>
          <w:spacing w:val="-2"/>
          <w:lang w:val="en-US"/>
        </w:rPr>
      </w:pPr>
    </w:p>
    <w:p w14:paraId="139DD6E0" w14:textId="53F14FE6" w:rsidR="005B2420" w:rsidRPr="008A1DB4" w:rsidRDefault="00F36400" w:rsidP="00956E97">
      <w:pPr>
        <w:numPr>
          <w:ilvl w:val="0"/>
          <w:numId w:val="2"/>
        </w:numPr>
        <w:tabs>
          <w:tab w:val="left" w:pos="567"/>
        </w:tabs>
        <w:autoSpaceDE w:val="0"/>
        <w:autoSpaceDN w:val="0"/>
        <w:adjustRightInd w:val="0"/>
        <w:rPr>
          <w:rFonts w:eastAsia="Calibri" w:cs="Verdana"/>
          <w:spacing w:val="-2"/>
          <w:szCs w:val="20"/>
          <w:lang w:val="en-US" w:eastAsia="en-US"/>
        </w:rPr>
      </w:pPr>
      <w:r w:rsidRPr="008A1DB4">
        <w:rPr>
          <w:rFonts w:eastAsia="Calibri" w:cs="Verdana"/>
          <w:spacing w:val="-2"/>
          <w:szCs w:val="20"/>
          <w:lang w:val="en-US" w:eastAsia="en-US"/>
        </w:rPr>
        <w:t>The Court</w:t>
      </w:r>
      <w:r w:rsidR="0058668C" w:rsidRPr="008A1DB4">
        <w:rPr>
          <w:rFonts w:eastAsia="Calibri" w:cs="Verdana"/>
          <w:spacing w:val="-2"/>
          <w:szCs w:val="20"/>
          <w:lang w:val="en-US" w:eastAsia="en-US"/>
        </w:rPr>
        <w:t xml:space="preserve"> is competent to hear this case, in the terms of Article</w:t>
      </w:r>
      <w:r w:rsidR="00C16CE3" w:rsidRPr="008A1DB4">
        <w:rPr>
          <w:rFonts w:eastAsia="Calibri" w:cs="Verdana"/>
          <w:spacing w:val="-2"/>
          <w:szCs w:val="20"/>
          <w:lang w:val="en-US" w:eastAsia="en-US"/>
        </w:rPr>
        <w:t xml:space="preserve"> </w:t>
      </w:r>
      <w:r w:rsidRPr="008A1DB4">
        <w:rPr>
          <w:rFonts w:eastAsia="Calibri" w:cs="Verdana"/>
          <w:spacing w:val="-2"/>
          <w:szCs w:val="20"/>
          <w:lang w:val="en-US" w:eastAsia="en-US"/>
        </w:rPr>
        <w:t>62(3) of the Convention</w:t>
      </w:r>
      <w:r w:rsidR="005B2420" w:rsidRPr="008A1DB4">
        <w:rPr>
          <w:rFonts w:eastAsia="Calibri" w:cs="Verdana"/>
          <w:spacing w:val="-2"/>
          <w:szCs w:val="20"/>
          <w:lang w:val="en-US" w:eastAsia="en-US"/>
        </w:rPr>
        <w:t xml:space="preserve">, </w:t>
      </w:r>
      <w:r w:rsidR="0058668C" w:rsidRPr="008A1DB4">
        <w:rPr>
          <w:rFonts w:eastAsia="Calibri" w:cs="Verdana"/>
          <w:spacing w:val="-2"/>
          <w:szCs w:val="20"/>
          <w:lang w:val="en-US" w:eastAsia="en-US"/>
        </w:rPr>
        <w:t xml:space="preserve">because Peru has been a State Party to </w:t>
      </w:r>
      <w:r w:rsidRPr="008A1DB4">
        <w:rPr>
          <w:rFonts w:eastAsia="Calibri" w:cs="Verdana"/>
          <w:spacing w:val="-2"/>
          <w:szCs w:val="20"/>
          <w:lang w:val="en-US" w:eastAsia="en-US"/>
        </w:rPr>
        <w:t>the American Convention</w:t>
      </w:r>
      <w:r w:rsidR="005B2420" w:rsidRPr="008A1DB4">
        <w:rPr>
          <w:rFonts w:eastAsia="Calibri" w:cs="Verdana"/>
          <w:spacing w:val="-2"/>
          <w:szCs w:val="20"/>
          <w:lang w:val="en-US" w:eastAsia="en-US"/>
        </w:rPr>
        <w:t xml:space="preserve"> </w:t>
      </w:r>
      <w:r w:rsidR="0058668C" w:rsidRPr="008A1DB4">
        <w:rPr>
          <w:rFonts w:eastAsia="Calibri" w:cs="Verdana"/>
          <w:spacing w:val="-2"/>
          <w:szCs w:val="20"/>
          <w:lang w:val="en-US" w:eastAsia="en-US"/>
        </w:rPr>
        <w:t>since July 28,</w:t>
      </w:r>
      <w:r w:rsidR="005B2420" w:rsidRPr="008A1DB4">
        <w:rPr>
          <w:rFonts w:eastAsia="Calibri" w:cs="Verdana"/>
          <w:spacing w:val="-2"/>
          <w:szCs w:val="20"/>
          <w:lang w:val="en-US" w:eastAsia="en-US"/>
        </w:rPr>
        <w:t xml:space="preserve"> 1978</w:t>
      </w:r>
      <w:r w:rsidR="0058668C" w:rsidRPr="008A1DB4">
        <w:rPr>
          <w:rFonts w:eastAsia="Calibri" w:cs="Verdana"/>
          <w:spacing w:val="-2"/>
          <w:szCs w:val="20"/>
          <w:lang w:val="en-US" w:eastAsia="en-US"/>
        </w:rPr>
        <w:t>,</w:t>
      </w:r>
      <w:r w:rsidRPr="008A1DB4">
        <w:rPr>
          <w:rFonts w:eastAsia="Calibri" w:cs="Verdana"/>
          <w:spacing w:val="-2"/>
          <w:szCs w:val="20"/>
          <w:lang w:val="en-US" w:eastAsia="en-US"/>
        </w:rPr>
        <w:t xml:space="preserve"> and </w:t>
      </w:r>
      <w:r w:rsidR="0058668C" w:rsidRPr="008A1DB4">
        <w:rPr>
          <w:rFonts w:eastAsia="Calibri" w:cs="Verdana"/>
          <w:spacing w:val="-2"/>
          <w:szCs w:val="20"/>
          <w:lang w:val="en-US" w:eastAsia="en-US"/>
        </w:rPr>
        <w:t>ac</w:t>
      </w:r>
      <w:r w:rsidR="008A1DB4">
        <w:rPr>
          <w:rFonts w:eastAsia="Calibri" w:cs="Verdana"/>
          <w:spacing w:val="-2"/>
          <w:szCs w:val="20"/>
          <w:lang w:val="en-US" w:eastAsia="en-US"/>
        </w:rPr>
        <w:t>c</w:t>
      </w:r>
      <w:r w:rsidR="0058668C" w:rsidRPr="008A1DB4">
        <w:rPr>
          <w:rFonts w:eastAsia="Calibri" w:cs="Verdana"/>
          <w:spacing w:val="-2"/>
          <w:szCs w:val="20"/>
          <w:lang w:val="en-US" w:eastAsia="en-US"/>
        </w:rPr>
        <w:t>e</w:t>
      </w:r>
      <w:r w:rsidR="008A1DB4">
        <w:rPr>
          <w:rFonts w:eastAsia="Calibri" w:cs="Verdana"/>
          <w:spacing w:val="-2"/>
          <w:szCs w:val="20"/>
          <w:lang w:val="en-US" w:eastAsia="en-US"/>
        </w:rPr>
        <w:t>p</w:t>
      </w:r>
      <w:r w:rsidR="0058668C" w:rsidRPr="008A1DB4">
        <w:rPr>
          <w:rFonts w:eastAsia="Calibri" w:cs="Verdana"/>
          <w:spacing w:val="-2"/>
          <w:szCs w:val="20"/>
          <w:lang w:val="en-US" w:eastAsia="en-US"/>
        </w:rPr>
        <w:t xml:space="preserve">ted the contentious jurisdiction </w:t>
      </w:r>
      <w:r w:rsidRPr="008A1DB4">
        <w:rPr>
          <w:rFonts w:eastAsia="Calibri" w:cs="Verdana"/>
          <w:spacing w:val="-2"/>
          <w:szCs w:val="20"/>
          <w:lang w:val="en-US" w:eastAsia="en-US"/>
        </w:rPr>
        <w:t>of the Court</w:t>
      </w:r>
      <w:r w:rsidR="005B2420" w:rsidRPr="008A1DB4">
        <w:rPr>
          <w:rFonts w:eastAsia="Calibri" w:cs="Verdana"/>
          <w:spacing w:val="-2"/>
          <w:szCs w:val="20"/>
          <w:lang w:val="en-US" w:eastAsia="en-US"/>
        </w:rPr>
        <w:t xml:space="preserve"> </w:t>
      </w:r>
      <w:r w:rsidR="0058668C" w:rsidRPr="008A1DB4">
        <w:rPr>
          <w:rFonts w:eastAsia="Calibri" w:cs="Verdana"/>
          <w:spacing w:val="-2"/>
          <w:szCs w:val="20"/>
          <w:lang w:val="en-US" w:eastAsia="en-US"/>
        </w:rPr>
        <w:t xml:space="preserve">on January 21, </w:t>
      </w:r>
      <w:r w:rsidR="005B2420" w:rsidRPr="008A1DB4">
        <w:rPr>
          <w:rFonts w:eastAsia="Calibri" w:cs="Verdana"/>
          <w:spacing w:val="-2"/>
          <w:szCs w:val="20"/>
          <w:lang w:val="en-US" w:eastAsia="en-US"/>
        </w:rPr>
        <w:t xml:space="preserve">1981. </w:t>
      </w:r>
    </w:p>
    <w:p w14:paraId="294917E8" w14:textId="77777777" w:rsidR="005B2420" w:rsidRPr="008A1DB4" w:rsidRDefault="005B2420" w:rsidP="00956E97">
      <w:pPr>
        <w:rPr>
          <w:spacing w:val="-2"/>
          <w:lang w:val="en-US"/>
        </w:rPr>
      </w:pPr>
    </w:p>
    <w:p w14:paraId="7426F286" w14:textId="77777777" w:rsidR="005B2420" w:rsidRPr="008A1DB4" w:rsidRDefault="005B2420" w:rsidP="00956E97">
      <w:pPr>
        <w:pStyle w:val="Title"/>
        <w:rPr>
          <w:spacing w:val="-2"/>
          <w:lang w:val="en-US"/>
        </w:rPr>
      </w:pPr>
      <w:bookmarkStart w:id="232" w:name="_Toc418912586"/>
      <w:bookmarkStart w:id="233" w:name="_Toc419394368"/>
      <w:bookmarkStart w:id="234" w:name="_Toc429490234"/>
      <w:bookmarkStart w:id="235" w:name="_Toc429503746"/>
      <w:bookmarkStart w:id="236" w:name="_Toc429504252"/>
      <w:bookmarkStart w:id="237" w:name="_Toc429677965"/>
      <w:bookmarkStart w:id="238" w:name="_Toc430017128"/>
      <w:bookmarkStart w:id="239" w:name="_Toc430017357"/>
      <w:bookmarkStart w:id="240" w:name="_Toc430018639"/>
      <w:bookmarkStart w:id="241" w:name="_Toc430125237"/>
      <w:bookmarkStart w:id="242" w:name="_Toc430125345"/>
      <w:r w:rsidRPr="008A1DB4">
        <w:rPr>
          <w:spacing w:val="-2"/>
          <w:lang w:val="en-US"/>
        </w:rPr>
        <w:t>IV</w:t>
      </w:r>
      <w:bookmarkEnd w:id="232"/>
      <w:bookmarkEnd w:id="233"/>
      <w:bookmarkEnd w:id="234"/>
      <w:bookmarkEnd w:id="235"/>
      <w:bookmarkEnd w:id="236"/>
      <w:bookmarkEnd w:id="237"/>
      <w:bookmarkEnd w:id="238"/>
      <w:bookmarkEnd w:id="239"/>
      <w:bookmarkEnd w:id="240"/>
      <w:bookmarkEnd w:id="241"/>
      <w:bookmarkEnd w:id="242"/>
    </w:p>
    <w:p w14:paraId="1532F751" w14:textId="0864D9DC" w:rsidR="004E1D7E" w:rsidRPr="008A1DB4" w:rsidRDefault="00C45946" w:rsidP="00956E97">
      <w:pPr>
        <w:pStyle w:val="Title"/>
        <w:rPr>
          <w:spacing w:val="-2"/>
          <w:lang w:val="en-US"/>
        </w:rPr>
      </w:pPr>
      <w:r w:rsidRPr="008A1DB4">
        <w:rPr>
          <w:spacing w:val="-2"/>
          <w:lang w:val="en-US"/>
        </w:rPr>
        <w:t>PRELIMINARY OBJECTION</w:t>
      </w:r>
      <w:bookmarkEnd w:id="230"/>
      <w:bookmarkEnd w:id="231"/>
    </w:p>
    <w:p w14:paraId="5F46A2FC" w14:textId="77777777" w:rsidR="004E1D7E" w:rsidRPr="008A1DB4" w:rsidRDefault="004E1D7E" w:rsidP="00956E97">
      <w:pPr>
        <w:rPr>
          <w:spacing w:val="-2"/>
          <w:lang w:val="en-US"/>
        </w:rPr>
      </w:pPr>
    </w:p>
    <w:p w14:paraId="33E77F1B" w14:textId="0C780EF8" w:rsidR="004E1D7E" w:rsidRPr="008A1DB4" w:rsidRDefault="00D07BB8" w:rsidP="00956E97">
      <w:pPr>
        <w:pStyle w:val="Heading1"/>
        <w:rPr>
          <w:spacing w:val="-2"/>
          <w:lang w:val="en-US"/>
        </w:rPr>
      </w:pPr>
      <w:bookmarkStart w:id="243" w:name="_Toc418074057"/>
      <w:bookmarkStart w:id="244" w:name="_Toc418503864"/>
      <w:bookmarkStart w:id="245" w:name="_Toc418912588"/>
      <w:bookmarkStart w:id="246" w:name="_Toc419394370"/>
      <w:bookmarkStart w:id="247" w:name="_Toc429490236"/>
      <w:bookmarkStart w:id="248" w:name="_Toc429503748"/>
      <w:bookmarkStart w:id="249" w:name="_Toc429504254"/>
      <w:bookmarkStart w:id="250" w:name="_Toc429677967"/>
      <w:bookmarkStart w:id="251" w:name="_Toc430017130"/>
      <w:bookmarkStart w:id="252" w:name="_Toc430017359"/>
      <w:bookmarkStart w:id="253" w:name="_Toc430018641"/>
      <w:bookmarkStart w:id="254" w:name="_Toc430125239"/>
      <w:bookmarkStart w:id="255" w:name="_Toc430125347"/>
      <w:r w:rsidRPr="008A1DB4">
        <w:rPr>
          <w:spacing w:val="-2"/>
          <w:lang w:val="en-US"/>
        </w:rPr>
        <w:t xml:space="preserve">A. </w:t>
      </w:r>
      <w:r w:rsidR="0058668C" w:rsidRPr="008A1DB4">
        <w:rPr>
          <w:spacing w:val="-2"/>
          <w:lang w:val="en-US"/>
        </w:rPr>
        <w:t>Arguments</w:t>
      </w:r>
      <w:r w:rsidR="00C45946" w:rsidRPr="008A1DB4">
        <w:rPr>
          <w:spacing w:val="-2"/>
          <w:lang w:val="en-US"/>
        </w:rPr>
        <w:t xml:space="preserve"> of the </w:t>
      </w:r>
      <w:r w:rsidR="00F36400" w:rsidRPr="008A1DB4">
        <w:rPr>
          <w:spacing w:val="-2"/>
          <w:lang w:val="en-US"/>
        </w:rPr>
        <w:t xml:space="preserve">State and </w:t>
      </w:r>
      <w:r w:rsidR="0058668C" w:rsidRPr="008A1DB4">
        <w:rPr>
          <w:spacing w:val="-2"/>
          <w:lang w:val="en-US"/>
        </w:rPr>
        <w:t>observations</w:t>
      </w:r>
      <w:r w:rsidR="00C45946" w:rsidRPr="008A1DB4">
        <w:rPr>
          <w:spacing w:val="-2"/>
          <w:lang w:val="en-US"/>
        </w:rPr>
        <w:t xml:space="preserve"> of the representative</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243"/>
      <w:bookmarkEnd w:id="244"/>
      <w:bookmarkEnd w:id="245"/>
      <w:bookmarkEnd w:id="246"/>
      <w:bookmarkEnd w:id="247"/>
      <w:bookmarkEnd w:id="248"/>
      <w:bookmarkEnd w:id="249"/>
      <w:bookmarkEnd w:id="250"/>
      <w:bookmarkEnd w:id="251"/>
      <w:bookmarkEnd w:id="252"/>
      <w:bookmarkEnd w:id="253"/>
      <w:bookmarkEnd w:id="254"/>
      <w:bookmarkEnd w:id="255"/>
    </w:p>
    <w:p w14:paraId="5303F551" w14:textId="77777777" w:rsidR="004E1D7E" w:rsidRPr="008A1DB4" w:rsidRDefault="004E1D7E" w:rsidP="00956E97">
      <w:pPr>
        <w:pStyle w:val="ListParagraph"/>
        <w:tabs>
          <w:tab w:val="left" w:pos="567"/>
        </w:tabs>
        <w:ind w:left="0"/>
        <w:rPr>
          <w:spacing w:val="-2"/>
          <w:lang w:val="en-US"/>
        </w:rPr>
      </w:pPr>
    </w:p>
    <w:p w14:paraId="0D452D6C" w14:textId="41E4114D" w:rsidR="004E1D7E" w:rsidRPr="008A1DB4" w:rsidRDefault="00F36400" w:rsidP="00B67AC5">
      <w:pPr>
        <w:pStyle w:val="PrrafodeSentencia"/>
        <w:rPr>
          <w:spacing w:val="-2"/>
          <w:lang w:val="en-US"/>
        </w:rPr>
      </w:pPr>
      <w:bookmarkStart w:id="256" w:name="_Ref299566485"/>
      <w:r w:rsidRPr="008A1DB4">
        <w:rPr>
          <w:spacing w:val="-2"/>
          <w:lang w:val="en-US"/>
        </w:rPr>
        <w:t>The State</w:t>
      </w:r>
      <w:r w:rsidR="00B67AC5" w:rsidRPr="008A1DB4">
        <w:rPr>
          <w:spacing w:val="-2"/>
          <w:lang w:val="en-US"/>
        </w:rPr>
        <w:t xml:space="preserve"> indicated that “the petition was presented to the [Commission] on March 27, 2009, while an application for </w:t>
      </w:r>
      <w:r w:rsidR="00E022F9" w:rsidRPr="008A1DB4">
        <w:rPr>
          <w:i/>
          <w:spacing w:val="-2"/>
          <w:lang w:val="en-US"/>
        </w:rPr>
        <w:t>habeas corpus</w:t>
      </w:r>
      <w:r w:rsidR="00B67AC5" w:rsidRPr="008A1DB4">
        <w:rPr>
          <w:spacing w:val="-2"/>
          <w:lang w:val="en-US"/>
        </w:rPr>
        <w:t xml:space="preserve"> filed on January 26, 2009, was </w:t>
      </w:r>
      <w:r w:rsidR="0039093A">
        <w:rPr>
          <w:spacing w:val="-2"/>
          <w:lang w:val="en-US"/>
        </w:rPr>
        <w:t>being processed</w:t>
      </w:r>
      <w:r w:rsidR="00B67AC5" w:rsidRPr="008A1DB4">
        <w:rPr>
          <w:spacing w:val="-2"/>
          <w:lang w:val="en-US"/>
        </w:rPr>
        <w:t>,” and</w:t>
      </w:r>
      <w:r w:rsidR="0039093A">
        <w:rPr>
          <w:spacing w:val="-2"/>
          <w:lang w:val="en-US"/>
        </w:rPr>
        <w:t xml:space="preserve"> that</w:t>
      </w:r>
      <w:r w:rsidR="00B67AC5" w:rsidRPr="008A1DB4">
        <w:rPr>
          <w:spacing w:val="-2"/>
          <w:lang w:val="en-US"/>
        </w:rPr>
        <w:t xml:space="preserve"> this </w:t>
      </w:r>
      <w:r w:rsidR="0039093A">
        <w:rPr>
          <w:spacing w:val="-2"/>
          <w:lang w:val="en-US"/>
        </w:rPr>
        <w:t xml:space="preserve">application </w:t>
      </w:r>
      <w:r w:rsidR="00B67AC5" w:rsidRPr="008A1DB4">
        <w:rPr>
          <w:spacing w:val="-2"/>
          <w:lang w:val="en-US"/>
        </w:rPr>
        <w:t xml:space="preserve">was subsequently “declared partly justified.” In addition, at that time, “the extradition was being processed” and, even at the present time, the Executive Branch has not taken a </w:t>
      </w:r>
      <w:r w:rsidR="0039093A">
        <w:rPr>
          <w:spacing w:val="-2"/>
          <w:lang w:val="en-US"/>
        </w:rPr>
        <w:t xml:space="preserve">final </w:t>
      </w:r>
      <w:r w:rsidR="00B67AC5" w:rsidRPr="008A1DB4">
        <w:rPr>
          <w:spacing w:val="-2"/>
          <w:lang w:val="en-US"/>
        </w:rPr>
        <w:t>decision. The State underlined that, according to the Admissibility Report</w:t>
      </w:r>
      <w:r w:rsidR="0039093A">
        <w:rPr>
          <w:spacing w:val="-2"/>
          <w:lang w:val="en-US"/>
        </w:rPr>
        <w:t>,</w:t>
      </w:r>
      <w:r w:rsidR="00B67AC5" w:rsidRPr="008A1DB4">
        <w:rPr>
          <w:spacing w:val="-2"/>
          <w:lang w:val="en-US"/>
        </w:rPr>
        <w:t xml:space="preserve"> “the petitioner had exhausted the domestic remedies […] with the ruling [of the Supreme Court</w:t>
      </w:r>
      <w:r w:rsidR="004E1D7E" w:rsidRPr="008A1DB4">
        <w:rPr>
          <w:spacing w:val="-2"/>
          <w:lang w:val="en-US"/>
        </w:rPr>
        <w:t xml:space="preserve">] </w:t>
      </w:r>
      <w:r w:rsidR="00B67AC5" w:rsidRPr="008A1DB4">
        <w:rPr>
          <w:spacing w:val="-2"/>
          <w:lang w:val="en-US"/>
        </w:rPr>
        <w:t>of January 27,</w:t>
      </w:r>
      <w:r w:rsidR="004E1D7E" w:rsidRPr="008A1DB4">
        <w:rPr>
          <w:spacing w:val="-2"/>
          <w:lang w:val="en-US"/>
        </w:rPr>
        <w:t xml:space="preserve"> 2010</w:t>
      </w:r>
      <w:r w:rsidR="00B67AC5" w:rsidRPr="008A1DB4">
        <w:rPr>
          <w:spacing w:val="-2"/>
          <w:lang w:val="en-US"/>
        </w:rPr>
        <w:t>,”</w:t>
      </w:r>
      <w:r w:rsidR="004E1D7E" w:rsidRPr="008A1DB4">
        <w:rPr>
          <w:spacing w:val="-2"/>
          <w:lang w:val="en-US"/>
        </w:rPr>
        <w:t xml:space="preserve"> as</w:t>
      </w:r>
      <w:r w:rsidR="00B67AC5" w:rsidRPr="008A1DB4">
        <w:rPr>
          <w:spacing w:val="-2"/>
          <w:lang w:val="en-US"/>
        </w:rPr>
        <w:t xml:space="preserve"> well as with the application for </w:t>
      </w:r>
      <w:r w:rsidR="00E022F9" w:rsidRPr="008A1DB4">
        <w:rPr>
          <w:i/>
          <w:spacing w:val="-2"/>
          <w:lang w:val="en-US"/>
        </w:rPr>
        <w:t>habeas corpus</w:t>
      </w:r>
      <w:r w:rsidR="00B67AC5" w:rsidRPr="008A1DB4">
        <w:rPr>
          <w:spacing w:val="-2"/>
          <w:lang w:val="en-US"/>
        </w:rPr>
        <w:t xml:space="preserve">, all of them “decided following the filing of this petition.” Furthermore, it noted that, when the </w:t>
      </w:r>
      <w:r w:rsidRPr="008A1DB4">
        <w:rPr>
          <w:spacing w:val="-2"/>
          <w:lang w:val="en-US"/>
        </w:rPr>
        <w:t>Admissibility Report</w:t>
      </w:r>
      <w:r w:rsidR="004E1D7E" w:rsidRPr="008A1DB4">
        <w:rPr>
          <w:spacing w:val="-2"/>
          <w:lang w:val="en-US"/>
        </w:rPr>
        <w:t xml:space="preserve"> </w:t>
      </w:r>
      <w:r w:rsidR="00B67AC5" w:rsidRPr="008A1DB4">
        <w:rPr>
          <w:spacing w:val="-2"/>
          <w:lang w:val="en-US"/>
        </w:rPr>
        <w:t xml:space="preserve">was issued, other applications for </w:t>
      </w:r>
      <w:r w:rsidR="00E022F9" w:rsidRPr="008A1DB4">
        <w:rPr>
          <w:i/>
          <w:spacing w:val="-2"/>
          <w:lang w:val="en-US"/>
        </w:rPr>
        <w:t>habeas corpus</w:t>
      </w:r>
      <w:r w:rsidR="00B67AC5" w:rsidRPr="008A1DB4">
        <w:rPr>
          <w:i/>
          <w:spacing w:val="-2"/>
          <w:lang w:val="en-US"/>
        </w:rPr>
        <w:t xml:space="preserve"> </w:t>
      </w:r>
      <w:r w:rsidR="00B67AC5" w:rsidRPr="008A1DB4">
        <w:rPr>
          <w:spacing w:val="-2"/>
          <w:lang w:val="en-US"/>
        </w:rPr>
        <w:t>were awaiting a final decision.</w:t>
      </w:r>
      <w:r w:rsidR="000347EE" w:rsidRPr="008A1DB4">
        <w:rPr>
          <w:rStyle w:val="FootnoteReference"/>
          <w:bCs/>
          <w:spacing w:val="-2"/>
          <w:lang w:val="en-US"/>
        </w:rPr>
        <w:footnoteReference w:id="8"/>
      </w:r>
      <w:bookmarkEnd w:id="256"/>
      <w:r w:rsidR="004E1D7E" w:rsidRPr="008A1DB4">
        <w:rPr>
          <w:b/>
          <w:spacing w:val="-2"/>
          <w:lang w:val="en-US"/>
        </w:rPr>
        <w:t xml:space="preserve"> </w:t>
      </w:r>
    </w:p>
    <w:p w14:paraId="2415409E" w14:textId="77777777" w:rsidR="00556AC2" w:rsidRPr="008A1DB4" w:rsidRDefault="00556AC2" w:rsidP="00956E97">
      <w:pPr>
        <w:pStyle w:val="PrrafodeSentencia"/>
        <w:numPr>
          <w:ilvl w:val="0"/>
          <w:numId w:val="0"/>
        </w:numPr>
        <w:tabs>
          <w:tab w:val="left" w:pos="567"/>
        </w:tabs>
        <w:rPr>
          <w:spacing w:val="-2"/>
          <w:lang w:val="en-US"/>
        </w:rPr>
      </w:pPr>
    </w:p>
    <w:p w14:paraId="51E68459" w14:textId="5C29F0BE" w:rsidR="00B67AC5" w:rsidRPr="008A1DB4" w:rsidRDefault="00F36400" w:rsidP="00956E97">
      <w:pPr>
        <w:pStyle w:val="PrrafodeSentencia"/>
        <w:rPr>
          <w:spacing w:val="-2"/>
          <w:lang w:val="en-US"/>
        </w:rPr>
      </w:pPr>
      <w:r w:rsidRPr="008A1DB4">
        <w:rPr>
          <w:spacing w:val="-2"/>
          <w:lang w:val="en-US"/>
        </w:rPr>
        <w:t>The Commission</w:t>
      </w:r>
      <w:r w:rsidR="00556AC2" w:rsidRPr="008A1DB4">
        <w:rPr>
          <w:spacing w:val="-2"/>
          <w:lang w:val="en-US"/>
        </w:rPr>
        <w:t xml:space="preserve"> observ</w:t>
      </w:r>
      <w:r w:rsidR="00B67AC5" w:rsidRPr="008A1DB4">
        <w:rPr>
          <w:spacing w:val="-2"/>
          <w:lang w:val="en-US"/>
        </w:rPr>
        <w:t xml:space="preserve">ed that the State had filed the objection of failure to exhaust domestic remedies at the appropriate opportunity, during the admissibility stage. However, the Commission argued that it </w:t>
      </w:r>
      <w:r w:rsidR="003E7B0D">
        <w:rPr>
          <w:spacing w:val="-2"/>
          <w:lang w:val="en-US"/>
        </w:rPr>
        <w:t>had analyzes</w:t>
      </w:r>
      <w:r w:rsidR="00B67AC5" w:rsidRPr="008A1DB4">
        <w:rPr>
          <w:spacing w:val="-2"/>
          <w:lang w:val="en-US"/>
        </w:rPr>
        <w:t xml:space="preserve"> the exhaustion of domestic remedies “based on the situation in </w:t>
      </w:r>
      <w:r w:rsidR="0039093A">
        <w:rPr>
          <w:spacing w:val="-2"/>
          <w:lang w:val="en-US"/>
        </w:rPr>
        <w:t>force</w:t>
      </w:r>
      <w:r w:rsidR="00B67AC5" w:rsidRPr="008A1DB4">
        <w:rPr>
          <w:spacing w:val="-2"/>
          <w:lang w:val="en-US"/>
        </w:rPr>
        <w:t xml:space="preserve"> when </w:t>
      </w:r>
      <w:r w:rsidR="0079515C" w:rsidRPr="008A1DB4">
        <w:rPr>
          <w:spacing w:val="-2"/>
          <w:lang w:val="en-US"/>
        </w:rPr>
        <w:t>it</w:t>
      </w:r>
      <w:r w:rsidR="00B67AC5" w:rsidRPr="008A1DB4">
        <w:rPr>
          <w:spacing w:val="-2"/>
          <w:lang w:val="en-US"/>
        </w:rPr>
        <w:t xml:space="preserve"> </w:t>
      </w:r>
      <w:r w:rsidR="003E7B0D">
        <w:rPr>
          <w:spacing w:val="-2"/>
          <w:lang w:val="en-US"/>
        </w:rPr>
        <w:t>makes a ruling on admissibility</w:t>
      </w:r>
      <w:r w:rsidR="00B67AC5" w:rsidRPr="008A1DB4">
        <w:rPr>
          <w:spacing w:val="-2"/>
          <w:lang w:val="en-US"/>
        </w:rPr>
        <w:t>” because,</w:t>
      </w:r>
      <w:r w:rsidR="003E7B0D">
        <w:rPr>
          <w:spacing w:val="-2"/>
          <w:lang w:val="en-US"/>
        </w:rPr>
        <w:t xml:space="preserve"> in many cases, the situation regarding</w:t>
      </w:r>
      <w:r w:rsidR="00B67AC5" w:rsidRPr="008A1DB4">
        <w:rPr>
          <w:spacing w:val="-2"/>
          <w:lang w:val="en-US"/>
        </w:rPr>
        <w:t xml:space="preserve"> compliance with the admissibility requirements changes and/or is updated. Therefore, it examined “compliance with the </w:t>
      </w:r>
      <w:r w:rsidR="003E7B0D">
        <w:rPr>
          <w:spacing w:val="-2"/>
          <w:lang w:val="en-US"/>
        </w:rPr>
        <w:t>requirement of exhaustion of</w:t>
      </w:r>
      <w:r w:rsidR="00B67AC5" w:rsidRPr="008A1DB4">
        <w:rPr>
          <w:spacing w:val="-2"/>
          <w:lang w:val="en-US"/>
        </w:rPr>
        <w:t xml:space="preserve"> domestic remedies […], in light of the evolution of the facts and the information available at that time.” The Commission also “took into consideration the </w:t>
      </w:r>
      <w:r w:rsidR="008A1DB4">
        <w:rPr>
          <w:spacing w:val="-2"/>
          <w:lang w:val="en-US"/>
        </w:rPr>
        <w:t>length of time taken by</w:t>
      </w:r>
      <w:r w:rsidR="00B67AC5" w:rsidRPr="008A1DB4">
        <w:rPr>
          <w:spacing w:val="-2"/>
          <w:lang w:val="en-US"/>
        </w:rPr>
        <w:t xml:space="preserve"> the respective authorities to examine [the applications for </w:t>
      </w:r>
      <w:r w:rsidR="00E022F9" w:rsidRPr="008A1DB4">
        <w:rPr>
          <w:i/>
          <w:spacing w:val="-2"/>
          <w:lang w:val="en-US"/>
        </w:rPr>
        <w:t>habeas corpus</w:t>
      </w:r>
      <w:r w:rsidR="00B67AC5" w:rsidRPr="008A1DB4">
        <w:rPr>
          <w:spacing w:val="-2"/>
          <w:lang w:val="en-US"/>
        </w:rPr>
        <w:t xml:space="preserve">] that, by their nature, should be decided promptly.” </w:t>
      </w:r>
    </w:p>
    <w:p w14:paraId="1D1E9554" w14:textId="77777777" w:rsidR="00556AC2" w:rsidRPr="008A1DB4" w:rsidRDefault="00556AC2" w:rsidP="00956E97">
      <w:pPr>
        <w:pStyle w:val="PrrafodeSentencia"/>
        <w:numPr>
          <w:ilvl w:val="0"/>
          <w:numId w:val="0"/>
        </w:numPr>
        <w:rPr>
          <w:spacing w:val="-2"/>
          <w:lang w:val="en-US"/>
        </w:rPr>
      </w:pPr>
    </w:p>
    <w:p w14:paraId="31EC4288" w14:textId="7DFCE132" w:rsidR="004E1D7E" w:rsidRPr="008A1DB4" w:rsidRDefault="00C45946" w:rsidP="00B67AC5">
      <w:pPr>
        <w:pStyle w:val="PrrafodeSentencia"/>
        <w:rPr>
          <w:spacing w:val="-2"/>
          <w:lang w:val="en-US"/>
        </w:rPr>
      </w:pPr>
      <w:r w:rsidRPr="008A1DB4">
        <w:rPr>
          <w:spacing w:val="-2"/>
          <w:lang w:val="en-US"/>
        </w:rPr>
        <w:t>The representative</w:t>
      </w:r>
      <w:r w:rsidR="004E1D7E" w:rsidRPr="008A1DB4">
        <w:rPr>
          <w:spacing w:val="-2"/>
          <w:lang w:val="en-US"/>
        </w:rPr>
        <w:t xml:space="preserve"> </w:t>
      </w:r>
      <w:r w:rsidR="00B67AC5" w:rsidRPr="008A1DB4">
        <w:rPr>
          <w:spacing w:val="-2"/>
          <w:lang w:val="en-US"/>
        </w:rPr>
        <w:t>emphasized that “the situation that should be taken into account in order to establish whether the domestic reme</w:t>
      </w:r>
      <w:r w:rsidR="003E7B0D">
        <w:rPr>
          <w:spacing w:val="-2"/>
          <w:lang w:val="en-US"/>
        </w:rPr>
        <w:t>dies have been exhausted is the one</w:t>
      </w:r>
      <w:r w:rsidR="00B67AC5" w:rsidRPr="008A1DB4">
        <w:rPr>
          <w:spacing w:val="-2"/>
          <w:lang w:val="en-US"/>
        </w:rPr>
        <w:t xml:space="preserve"> which exists when deciding on admissibility.” Thus, he indicated that this interpretation “has entered the domain of international inter-American custom accepted and not rejected by the American States, including Peru.” </w:t>
      </w:r>
      <w:r w:rsidRPr="008A1DB4">
        <w:rPr>
          <w:spacing w:val="-2"/>
          <w:lang w:val="en-US"/>
        </w:rPr>
        <w:t>The representative</w:t>
      </w:r>
      <w:r w:rsidR="00B67AC5" w:rsidRPr="008A1DB4">
        <w:rPr>
          <w:spacing w:val="-2"/>
          <w:lang w:val="en-US"/>
        </w:rPr>
        <w:t xml:space="preserve"> indicated that, when the </w:t>
      </w:r>
      <w:r w:rsidR="00F36400" w:rsidRPr="008A1DB4">
        <w:rPr>
          <w:spacing w:val="-2"/>
          <w:lang w:val="en-US"/>
        </w:rPr>
        <w:t>Admissibility Report</w:t>
      </w:r>
      <w:r w:rsidR="00B67AC5" w:rsidRPr="008A1DB4">
        <w:rPr>
          <w:spacing w:val="-2"/>
          <w:lang w:val="en-US"/>
        </w:rPr>
        <w:t xml:space="preserve"> was issued</w:t>
      </w:r>
      <w:r w:rsidR="003E7B0D">
        <w:rPr>
          <w:spacing w:val="-2"/>
          <w:lang w:val="en-US"/>
        </w:rPr>
        <w:t>,</w:t>
      </w:r>
      <w:r w:rsidR="004E1D7E" w:rsidRPr="008A1DB4">
        <w:rPr>
          <w:spacing w:val="-2"/>
          <w:lang w:val="en-US"/>
        </w:rPr>
        <w:t xml:space="preserve"> “</w:t>
      </w:r>
      <w:r w:rsidR="003E7B0D">
        <w:rPr>
          <w:spacing w:val="-2"/>
          <w:lang w:val="en-US"/>
        </w:rPr>
        <w:t>the extradition proceedings</w:t>
      </w:r>
      <w:r w:rsidR="00B67AC5" w:rsidRPr="008A1DB4">
        <w:rPr>
          <w:spacing w:val="-2"/>
          <w:lang w:val="en-US"/>
        </w:rPr>
        <w:t xml:space="preserve"> </w:t>
      </w:r>
      <w:r w:rsidR="008A1DB4" w:rsidRPr="008A1DB4">
        <w:rPr>
          <w:spacing w:val="-2"/>
          <w:lang w:val="en-US"/>
        </w:rPr>
        <w:t>against</w:t>
      </w:r>
      <w:r w:rsidR="00B67AC5" w:rsidRPr="008A1DB4">
        <w:rPr>
          <w:spacing w:val="-2"/>
          <w:lang w:val="en-US"/>
        </w:rPr>
        <w:t xml:space="preserve"> Wong Ho Wing had been decided in a single and final court, by the Supreme Court</w:t>
      </w:r>
      <w:r w:rsidR="004E1D7E" w:rsidRPr="008A1DB4">
        <w:rPr>
          <w:spacing w:val="-2"/>
          <w:lang w:val="en-US"/>
        </w:rPr>
        <w:t xml:space="preserve"> </w:t>
      </w:r>
      <w:r w:rsidR="00B67AC5" w:rsidRPr="008A1DB4">
        <w:rPr>
          <w:spacing w:val="-2"/>
          <w:lang w:val="en-US"/>
        </w:rPr>
        <w:t>of</w:t>
      </w:r>
      <w:r w:rsidR="004E1D7E" w:rsidRPr="008A1DB4">
        <w:rPr>
          <w:spacing w:val="-2"/>
          <w:lang w:val="en-US"/>
        </w:rPr>
        <w:t xml:space="preserve"> </w:t>
      </w:r>
      <w:r w:rsidR="00F36400" w:rsidRPr="008A1DB4">
        <w:rPr>
          <w:spacing w:val="-2"/>
          <w:lang w:val="en-US"/>
        </w:rPr>
        <w:t>Peru</w:t>
      </w:r>
      <w:r w:rsidR="00B67AC5" w:rsidRPr="008A1DB4">
        <w:rPr>
          <w:spacing w:val="-2"/>
          <w:lang w:val="en-US"/>
        </w:rPr>
        <w:t>,</w:t>
      </w:r>
      <w:r w:rsidR="00F36400" w:rsidRPr="008A1DB4">
        <w:rPr>
          <w:spacing w:val="-2"/>
          <w:lang w:val="en-US"/>
        </w:rPr>
        <w:t xml:space="preserve"> and </w:t>
      </w:r>
      <w:r w:rsidR="003E7B0D">
        <w:rPr>
          <w:spacing w:val="-2"/>
          <w:lang w:val="en-US"/>
        </w:rPr>
        <w:t>during those proceedings</w:t>
      </w:r>
      <w:r w:rsidR="00B67AC5" w:rsidRPr="008A1DB4">
        <w:rPr>
          <w:spacing w:val="-2"/>
          <w:lang w:val="en-US"/>
        </w:rPr>
        <w:t xml:space="preserve">, a series of irregularities had occurred that violated </w:t>
      </w:r>
      <w:r w:rsidR="00B67AC5" w:rsidRPr="008A1DB4">
        <w:rPr>
          <w:spacing w:val="-2"/>
          <w:lang w:val="en-US"/>
        </w:rPr>
        <w:lastRenderedPageBreak/>
        <w:t xml:space="preserve">due process. Therefore, not only had the appropriate remedies offered by Peruvian law been exhausted, but also, the exception to the exhaustion of domestic remedies established in </w:t>
      </w:r>
      <w:r w:rsidR="00F36400" w:rsidRPr="008A1DB4">
        <w:rPr>
          <w:spacing w:val="-2"/>
          <w:lang w:val="en-US"/>
        </w:rPr>
        <w:t>Article</w:t>
      </w:r>
      <w:r w:rsidR="00B67AC5" w:rsidRPr="008A1DB4">
        <w:rPr>
          <w:spacing w:val="-2"/>
          <w:lang w:val="en-US"/>
        </w:rPr>
        <w:t xml:space="preserve"> 46(</w:t>
      </w:r>
      <w:r w:rsidR="004E1D7E" w:rsidRPr="008A1DB4">
        <w:rPr>
          <w:spacing w:val="-2"/>
          <w:lang w:val="en-US"/>
        </w:rPr>
        <w:t>2</w:t>
      </w:r>
      <w:r w:rsidR="00B67AC5" w:rsidRPr="008A1DB4">
        <w:rPr>
          <w:spacing w:val="-2"/>
          <w:lang w:val="en-US"/>
        </w:rPr>
        <w:t>)(</w:t>
      </w:r>
      <w:r w:rsidR="004E1D7E" w:rsidRPr="008A1DB4">
        <w:rPr>
          <w:spacing w:val="-2"/>
          <w:lang w:val="en-US"/>
        </w:rPr>
        <w:t>a)</w:t>
      </w:r>
      <w:r w:rsidR="00F36400" w:rsidRPr="008A1DB4">
        <w:rPr>
          <w:spacing w:val="-2"/>
          <w:lang w:val="en-US"/>
        </w:rPr>
        <w:t xml:space="preserve"> of the American Convention on Human Rights</w:t>
      </w:r>
      <w:r w:rsidR="00B67AC5" w:rsidRPr="008A1DB4">
        <w:rPr>
          <w:spacing w:val="-2"/>
          <w:lang w:val="en-US"/>
        </w:rPr>
        <w:t xml:space="preserve"> was applicable, because due process of law had not been ensured.” Regarding the State’s argument that the extradition </w:t>
      </w:r>
      <w:r w:rsidR="003E7B0D">
        <w:rPr>
          <w:spacing w:val="-2"/>
          <w:lang w:val="en-US"/>
        </w:rPr>
        <w:t>was still</w:t>
      </w:r>
      <w:r w:rsidR="00B67AC5" w:rsidRPr="008A1DB4">
        <w:rPr>
          <w:spacing w:val="-2"/>
          <w:lang w:val="en-US"/>
        </w:rPr>
        <w:t xml:space="preserve"> being processed</w:t>
      </w:r>
      <w:r w:rsidR="004E1D7E" w:rsidRPr="008A1DB4">
        <w:rPr>
          <w:bCs/>
          <w:spacing w:val="-2"/>
          <w:lang w:val="en-US"/>
        </w:rPr>
        <w:t xml:space="preserve">, </w:t>
      </w:r>
      <w:r w:rsidRPr="008A1DB4">
        <w:rPr>
          <w:bCs/>
          <w:spacing w:val="-2"/>
          <w:lang w:val="en-US"/>
        </w:rPr>
        <w:t>the representative</w:t>
      </w:r>
      <w:r w:rsidR="004E1D7E" w:rsidRPr="008A1DB4">
        <w:rPr>
          <w:bCs/>
          <w:spacing w:val="-2"/>
          <w:lang w:val="en-US"/>
        </w:rPr>
        <w:t xml:space="preserve"> a</w:t>
      </w:r>
      <w:r w:rsidR="00B67AC5" w:rsidRPr="008A1DB4">
        <w:rPr>
          <w:bCs/>
          <w:spacing w:val="-2"/>
          <w:lang w:val="en-US"/>
        </w:rPr>
        <w:t xml:space="preserve">rgued that the </w:t>
      </w:r>
      <w:r w:rsidR="00A33F97" w:rsidRPr="008A1DB4">
        <w:rPr>
          <w:bCs/>
          <w:spacing w:val="-2"/>
          <w:lang w:val="en-US"/>
        </w:rPr>
        <w:t>decision</w:t>
      </w:r>
      <w:r w:rsidR="00B67AC5" w:rsidRPr="008A1DB4">
        <w:rPr>
          <w:bCs/>
          <w:spacing w:val="-2"/>
          <w:lang w:val="en-US"/>
        </w:rPr>
        <w:t xml:space="preserve"> of the Executive Branch had been pending “for more t</w:t>
      </w:r>
      <w:r w:rsidR="009F24F8" w:rsidRPr="008A1DB4">
        <w:rPr>
          <w:bCs/>
          <w:spacing w:val="-2"/>
          <w:lang w:val="en-US"/>
        </w:rPr>
        <w:t>h</w:t>
      </w:r>
      <w:r w:rsidR="00B67AC5" w:rsidRPr="008A1DB4">
        <w:rPr>
          <w:bCs/>
          <w:spacing w:val="-2"/>
          <w:lang w:val="en-US"/>
        </w:rPr>
        <w:t>an four years,” so that there had been “an unjustified delay in the extradition decision.”</w:t>
      </w:r>
      <w:r w:rsidR="004E1D7E" w:rsidRPr="008A1DB4">
        <w:rPr>
          <w:spacing w:val="-2"/>
          <w:lang w:val="en-US"/>
        </w:rPr>
        <w:t xml:space="preserve"> </w:t>
      </w:r>
    </w:p>
    <w:p w14:paraId="4993189B" w14:textId="77777777" w:rsidR="004E1D7E" w:rsidRPr="008A1DB4" w:rsidRDefault="004E1D7E" w:rsidP="00956E97">
      <w:pPr>
        <w:rPr>
          <w:spacing w:val="-2"/>
          <w:lang w:val="en-US"/>
        </w:rPr>
      </w:pPr>
    </w:p>
    <w:p w14:paraId="2B23D6DD" w14:textId="36E5BD29" w:rsidR="004E1D7E" w:rsidRPr="008A1DB4" w:rsidRDefault="00D07BB8" w:rsidP="00956E97">
      <w:pPr>
        <w:pStyle w:val="Heading1"/>
        <w:rPr>
          <w:spacing w:val="-2"/>
          <w:lang w:val="en-US"/>
        </w:rPr>
      </w:pPr>
      <w:bookmarkStart w:id="257" w:name="_Toc418074058"/>
      <w:bookmarkStart w:id="258" w:name="_Toc418503865"/>
      <w:bookmarkStart w:id="259" w:name="_Toc418912589"/>
      <w:bookmarkStart w:id="260" w:name="_Toc419394371"/>
      <w:bookmarkStart w:id="261" w:name="_Toc429490237"/>
      <w:bookmarkStart w:id="262" w:name="_Toc429503749"/>
      <w:bookmarkStart w:id="263" w:name="_Toc429504255"/>
      <w:bookmarkStart w:id="264" w:name="_Toc429677968"/>
      <w:bookmarkStart w:id="265" w:name="_Toc430017131"/>
      <w:bookmarkStart w:id="266" w:name="_Toc430017360"/>
      <w:bookmarkStart w:id="267" w:name="_Toc430018642"/>
      <w:bookmarkStart w:id="268" w:name="_Toc430125240"/>
      <w:bookmarkStart w:id="269" w:name="_Toc430125348"/>
      <w:r w:rsidRPr="008A1DB4">
        <w:rPr>
          <w:spacing w:val="-2"/>
          <w:lang w:val="en-US"/>
        </w:rPr>
        <w:t xml:space="preserve">B. </w:t>
      </w:r>
      <w:r w:rsidR="00A836C4" w:rsidRPr="008A1DB4">
        <w:rPr>
          <w:spacing w:val="-2"/>
          <w:lang w:val="en-US"/>
        </w:rPr>
        <w:t>Considerations</w:t>
      </w:r>
      <w:r w:rsidR="00F36400" w:rsidRPr="008A1DB4">
        <w:rPr>
          <w:spacing w:val="-2"/>
          <w:lang w:val="en-US"/>
        </w:rPr>
        <w:t xml:space="preserve"> of the Court</w:t>
      </w:r>
      <w:bookmarkEnd w:id="257"/>
      <w:bookmarkEnd w:id="258"/>
      <w:bookmarkEnd w:id="259"/>
      <w:bookmarkEnd w:id="260"/>
      <w:bookmarkEnd w:id="261"/>
      <w:bookmarkEnd w:id="262"/>
      <w:bookmarkEnd w:id="263"/>
      <w:bookmarkEnd w:id="264"/>
      <w:bookmarkEnd w:id="265"/>
      <w:bookmarkEnd w:id="266"/>
      <w:bookmarkEnd w:id="267"/>
      <w:bookmarkEnd w:id="268"/>
      <w:bookmarkEnd w:id="269"/>
    </w:p>
    <w:p w14:paraId="18F6ACFC" w14:textId="77777777" w:rsidR="004E1D7E" w:rsidRPr="008A1DB4" w:rsidRDefault="004E1D7E" w:rsidP="00956E97">
      <w:pPr>
        <w:pStyle w:val="ListParagraph"/>
        <w:rPr>
          <w:spacing w:val="-2"/>
          <w:lang w:val="en-US"/>
        </w:rPr>
      </w:pPr>
    </w:p>
    <w:p w14:paraId="4A570B13" w14:textId="58F2CB8F" w:rsidR="004E1D7E" w:rsidRPr="008A1DB4" w:rsidRDefault="00F36400" w:rsidP="00956E97">
      <w:pPr>
        <w:pStyle w:val="PrrafodeSentencia"/>
        <w:rPr>
          <w:spacing w:val="-2"/>
          <w:lang w:val="en-US"/>
        </w:rPr>
      </w:pPr>
      <w:bookmarkStart w:id="270" w:name="_Ref419395286"/>
      <w:r w:rsidRPr="008A1DB4">
        <w:rPr>
          <w:spacing w:val="-2"/>
          <w:lang w:val="en-US"/>
        </w:rPr>
        <w:t>Article</w:t>
      </w:r>
      <w:r w:rsidR="004E1D7E" w:rsidRPr="008A1DB4">
        <w:rPr>
          <w:spacing w:val="-2"/>
          <w:lang w:val="en-US"/>
        </w:rPr>
        <w:t xml:space="preserve"> </w:t>
      </w:r>
      <w:r w:rsidR="00A836C4" w:rsidRPr="008A1DB4">
        <w:rPr>
          <w:spacing w:val="-2"/>
          <w:lang w:val="en-US"/>
        </w:rPr>
        <w:t>46(1)(a)</w:t>
      </w:r>
      <w:r w:rsidRPr="008A1DB4">
        <w:rPr>
          <w:spacing w:val="-2"/>
          <w:lang w:val="en-US"/>
        </w:rPr>
        <w:t xml:space="preserve"> of the American Convention</w:t>
      </w:r>
      <w:r w:rsidR="004E1D7E" w:rsidRPr="008A1DB4">
        <w:rPr>
          <w:spacing w:val="-2"/>
          <w:lang w:val="en-US"/>
        </w:rPr>
        <w:t xml:space="preserve"> </w:t>
      </w:r>
      <w:r w:rsidR="00A836C4" w:rsidRPr="008A1DB4">
        <w:rPr>
          <w:spacing w:val="-2"/>
          <w:lang w:val="en-US"/>
        </w:rPr>
        <w:t xml:space="preserve">establishes that, in order to determine the admissibility of a petition or communication lodged before </w:t>
      </w:r>
      <w:r w:rsidRPr="008A1DB4">
        <w:rPr>
          <w:spacing w:val="-2"/>
          <w:lang w:val="en-US"/>
        </w:rPr>
        <w:t>Inter-American Commission</w:t>
      </w:r>
      <w:r w:rsidR="00A836C4" w:rsidRPr="008A1DB4">
        <w:rPr>
          <w:spacing w:val="-2"/>
          <w:lang w:val="en-US"/>
        </w:rPr>
        <w:t xml:space="preserve"> in accordance with </w:t>
      </w:r>
      <w:r w:rsidRPr="008A1DB4">
        <w:rPr>
          <w:spacing w:val="-2"/>
          <w:lang w:val="en-US"/>
        </w:rPr>
        <w:t>Article</w:t>
      </w:r>
      <w:r w:rsidR="004E1D7E" w:rsidRPr="008A1DB4">
        <w:rPr>
          <w:spacing w:val="-2"/>
          <w:lang w:val="en-US"/>
        </w:rPr>
        <w:t>s 44 o</w:t>
      </w:r>
      <w:r w:rsidR="00A836C4" w:rsidRPr="008A1DB4">
        <w:rPr>
          <w:spacing w:val="-2"/>
          <w:lang w:val="en-US"/>
        </w:rPr>
        <w:t>r</w:t>
      </w:r>
      <w:r w:rsidR="004E1D7E" w:rsidRPr="008A1DB4">
        <w:rPr>
          <w:spacing w:val="-2"/>
          <w:lang w:val="en-US"/>
        </w:rPr>
        <w:t xml:space="preserve"> 45</w:t>
      </w:r>
      <w:r w:rsidRPr="008A1DB4">
        <w:rPr>
          <w:spacing w:val="-2"/>
          <w:lang w:val="en-US"/>
        </w:rPr>
        <w:t xml:space="preserve"> of the Convention</w:t>
      </w:r>
      <w:r w:rsidR="004E1D7E" w:rsidRPr="008A1DB4">
        <w:rPr>
          <w:spacing w:val="-2"/>
          <w:lang w:val="en-US"/>
        </w:rPr>
        <w:t>,</w:t>
      </w:r>
      <w:r w:rsidR="00A836C4" w:rsidRPr="008A1DB4">
        <w:rPr>
          <w:spacing w:val="-2"/>
          <w:lang w:val="en-US"/>
        </w:rPr>
        <w:t xml:space="preserve"> the remedies under domestic law must have been pursued and exhausted in accordance with generally recognized principles of international law.</w:t>
      </w:r>
      <w:r w:rsidR="004E1D7E" w:rsidRPr="008A1DB4">
        <w:rPr>
          <w:rStyle w:val="FootnoteReference"/>
          <w:spacing w:val="-2"/>
          <w:lang w:val="en-US"/>
        </w:rPr>
        <w:footnoteReference w:id="9"/>
      </w:r>
      <w:r w:rsidR="00A836C4" w:rsidRPr="008A1DB4">
        <w:rPr>
          <w:spacing w:val="-2"/>
          <w:lang w:val="en-US"/>
        </w:rPr>
        <w:t xml:space="preserve"> Thus, the Court has affirmed that an objection to the exercise of its jurisdiction based on the supposed failure to exhaust domestic remedies must be presented at the appropriate procedural </w:t>
      </w:r>
      <w:r w:rsidR="008A1DB4" w:rsidRPr="008A1DB4">
        <w:rPr>
          <w:spacing w:val="-2"/>
          <w:lang w:val="en-US"/>
        </w:rPr>
        <w:t>moment</w:t>
      </w:r>
      <w:r w:rsidR="00A836C4" w:rsidRPr="008A1DB4">
        <w:rPr>
          <w:spacing w:val="-2"/>
          <w:lang w:val="en-US"/>
        </w:rPr>
        <w:t>; that is, during the admissibility proc</w:t>
      </w:r>
      <w:r w:rsidR="003E7B0D">
        <w:rPr>
          <w:spacing w:val="-2"/>
          <w:lang w:val="en-US"/>
        </w:rPr>
        <w:t>edure</w:t>
      </w:r>
      <w:r w:rsidR="00A836C4" w:rsidRPr="008A1DB4">
        <w:rPr>
          <w:spacing w:val="-2"/>
          <w:lang w:val="en-US"/>
        </w:rPr>
        <w:t xml:space="preserve"> before</w:t>
      </w:r>
      <w:r w:rsidR="004E1D7E" w:rsidRPr="008A1DB4">
        <w:rPr>
          <w:spacing w:val="-2"/>
          <w:lang w:val="en-US"/>
        </w:rPr>
        <w:t xml:space="preserve"> </w:t>
      </w:r>
      <w:r w:rsidRPr="008A1DB4">
        <w:rPr>
          <w:spacing w:val="-2"/>
          <w:lang w:val="en-US"/>
        </w:rPr>
        <w:t>the Commission</w:t>
      </w:r>
      <w:r w:rsidR="00A836C4" w:rsidRPr="008A1DB4">
        <w:rPr>
          <w:spacing w:val="-2"/>
          <w:lang w:val="en-US"/>
        </w:rPr>
        <w:t>.</w:t>
      </w:r>
      <w:r w:rsidR="004E1D7E" w:rsidRPr="008A1DB4">
        <w:rPr>
          <w:rStyle w:val="FootnoteReference"/>
          <w:spacing w:val="-2"/>
          <w:lang w:val="en-US"/>
        </w:rPr>
        <w:footnoteReference w:id="10"/>
      </w:r>
      <w:bookmarkEnd w:id="270"/>
    </w:p>
    <w:p w14:paraId="0850B557" w14:textId="77777777" w:rsidR="004E1D7E" w:rsidRPr="008A1DB4" w:rsidRDefault="004E1D7E" w:rsidP="00956E97">
      <w:pPr>
        <w:rPr>
          <w:spacing w:val="-2"/>
          <w:szCs w:val="20"/>
          <w:lang w:val="en-US"/>
        </w:rPr>
      </w:pPr>
    </w:p>
    <w:p w14:paraId="1B49917D" w14:textId="213EDF2C" w:rsidR="004E1D7E" w:rsidRPr="008A1DB4" w:rsidRDefault="00A836C4" w:rsidP="00A836C4">
      <w:pPr>
        <w:pStyle w:val="PrrafodeSentencia"/>
        <w:rPr>
          <w:spacing w:val="-2"/>
          <w:lang w:val="en-US"/>
        </w:rPr>
      </w:pPr>
      <w:r w:rsidRPr="008A1DB4">
        <w:rPr>
          <w:spacing w:val="-2"/>
          <w:lang w:val="en-US"/>
        </w:rPr>
        <w:t>In this regard, it can be seen that, during the admissibility proce</w:t>
      </w:r>
      <w:r w:rsidR="003E7B0D">
        <w:rPr>
          <w:spacing w:val="-2"/>
          <w:lang w:val="en-US"/>
        </w:rPr>
        <w:t>dure</w:t>
      </w:r>
      <w:r w:rsidRPr="008A1DB4">
        <w:rPr>
          <w:spacing w:val="-2"/>
          <w:lang w:val="en-US"/>
        </w:rPr>
        <w:t xml:space="preserve"> before </w:t>
      </w:r>
      <w:r w:rsidR="00F36400" w:rsidRPr="008A1DB4">
        <w:rPr>
          <w:spacing w:val="-2"/>
          <w:lang w:val="en-US"/>
        </w:rPr>
        <w:t>the Commission</w:t>
      </w:r>
      <w:r w:rsidRPr="008A1DB4">
        <w:rPr>
          <w:spacing w:val="-2"/>
          <w:lang w:val="en-US"/>
        </w:rPr>
        <w:t>,</w:t>
      </w:r>
      <w:r w:rsidR="004E1D7E" w:rsidRPr="008A1DB4">
        <w:rPr>
          <w:spacing w:val="-2"/>
          <w:lang w:val="en-US"/>
        </w:rPr>
        <w:t xml:space="preserve"> </w:t>
      </w:r>
      <w:r w:rsidR="00F36400" w:rsidRPr="008A1DB4">
        <w:rPr>
          <w:spacing w:val="-2"/>
          <w:lang w:val="en-US"/>
        </w:rPr>
        <w:t>the State</w:t>
      </w:r>
      <w:r w:rsidR="004E1D7E" w:rsidRPr="008A1DB4">
        <w:rPr>
          <w:spacing w:val="-2"/>
          <w:lang w:val="en-US"/>
        </w:rPr>
        <w:t xml:space="preserve"> a</w:t>
      </w:r>
      <w:r w:rsidRPr="008A1DB4">
        <w:rPr>
          <w:spacing w:val="-2"/>
          <w:lang w:val="en-US"/>
        </w:rPr>
        <w:t xml:space="preserve">rgued, in communications received on May </w:t>
      </w:r>
      <w:r w:rsidR="00A04C41" w:rsidRPr="008A1DB4">
        <w:rPr>
          <w:spacing w:val="-2"/>
          <w:lang w:val="en-US"/>
        </w:rPr>
        <w:t>1</w:t>
      </w:r>
      <w:r w:rsidR="00F36400" w:rsidRPr="008A1DB4">
        <w:rPr>
          <w:spacing w:val="-2"/>
          <w:lang w:val="en-US"/>
        </w:rPr>
        <w:t xml:space="preserve"> and </w:t>
      </w:r>
      <w:r w:rsidRPr="008A1DB4">
        <w:rPr>
          <w:spacing w:val="-2"/>
          <w:lang w:val="en-US"/>
        </w:rPr>
        <w:t>15, August</w:t>
      </w:r>
      <w:r w:rsidR="00F36400" w:rsidRPr="008A1DB4">
        <w:rPr>
          <w:spacing w:val="-2"/>
          <w:lang w:val="en-US"/>
        </w:rPr>
        <w:t xml:space="preserve"> </w:t>
      </w:r>
      <w:r w:rsidR="00A04C41" w:rsidRPr="008A1DB4">
        <w:rPr>
          <w:spacing w:val="-2"/>
          <w:lang w:val="en-US"/>
        </w:rPr>
        <w:t xml:space="preserve">13 </w:t>
      </w:r>
      <w:r w:rsidR="00F36400" w:rsidRPr="008A1DB4">
        <w:rPr>
          <w:spacing w:val="-2"/>
          <w:lang w:val="en-US"/>
        </w:rPr>
        <w:t xml:space="preserve">and </w:t>
      </w:r>
      <w:r w:rsidRPr="008A1DB4">
        <w:rPr>
          <w:spacing w:val="-2"/>
          <w:lang w:val="en-US"/>
        </w:rPr>
        <w:t xml:space="preserve">December 4, </w:t>
      </w:r>
      <w:r w:rsidR="00B5666F" w:rsidRPr="008A1DB4">
        <w:rPr>
          <w:spacing w:val="-2"/>
          <w:lang w:val="en-US"/>
        </w:rPr>
        <w:t>2009,</w:t>
      </w:r>
      <w:r w:rsidR="00A04C41" w:rsidRPr="008A1DB4">
        <w:rPr>
          <w:spacing w:val="-2"/>
          <w:lang w:val="en-US"/>
        </w:rPr>
        <w:t xml:space="preserve"> </w:t>
      </w:r>
      <w:r w:rsidR="003E7B0D">
        <w:rPr>
          <w:spacing w:val="-2"/>
          <w:lang w:val="en-US"/>
        </w:rPr>
        <w:t xml:space="preserve">and </w:t>
      </w:r>
      <w:r w:rsidRPr="008A1DB4">
        <w:rPr>
          <w:spacing w:val="-2"/>
          <w:lang w:val="en-US"/>
        </w:rPr>
        <w:t xml:space="preserve">January </w:t>
      </w:r>
      <w:r w:rsidR="00A04C41" w:rsidRPr="008A1DB4">
        <w:rPr>
          <w:spacing w:val="-2"/>
          <w:lang w:val="en-US"/>
        </w:rPr>
        <w:t>11,</w:t>
      </w:r>
      <w:r w:rsidRPr="008A1DB4">
        <w:rPr>
          <w:spacing w:val="-2"/>
          <w:lang w:val="en-US"/>
        </w:rPr>
        <w:t xml:space="preserve"> March</w:t>
      </w:r>
      <w:r w:rsidR="00A04C41" w:rsidRPr="008A1DB4">
        <w:rPr>
          <w:spacing w:val="-2"/>
          <w:lang w:val="en-US"/>
        </w:rPr>
        <w:t xml:space="preserve"> 1, </w:t>
      </w:r>
      <w:r w:rsidRPr="008A1DB4">
        <w:rPr>
          <w:spacing w:val="-2"/>
          <w:lang w:val="en-US"/>
        </w:rPr>
        <w:t xml:space="preserve">July </w:t>
      </w:r>
      <w:r w:rsidR="00A04C41" w:rsidRPr="008A1DB4">
        <w:rPr>
          <w:spacing w:val="-2"/>
          <w:lang w:val="en-US"/>
        </w:rPr>
        <w:t xml:space="preserve">16, </w:t>
      </w:r>
      <w:r w:rsidRPr="008A1DB4">
        <w:rPr>
          <w:spacing w:val="-2"/>
          <w:lang w:val="en-US"/>
        </w:rPr>
        <w:t xml:space="preserve">August </w:t>
      </w:r>
      <w:r w:rsidR="00A04C41" w:rsidRPr="008A1DB4">
        <w:rPr>
          <w:spacing w:val="-2"/>
          <w:lang w:val="en-US"/>
        </w:rPr>
        <w:t xml:space="preserve">20 </w:t>
      </w:r>
      <w:r w:rsidR="00F36400" w:rsidRPr="008A1DB4">
        <w:rPr>
          <w:spacing w:val="-2"/>
          <w:lang w:val="en-US"/>
        </w:rPr>
        <w:t xml:space="preserve">and </w:t>
      </w:r>
      <w:r w:rsidRPr="008A1DB4">
        <w:rPr>
          <w:spacing w:val="-2"/>
          <w:lang w:val="en-US"/>
        </w:rPr>
        <w:t xml:space="preserve">October 26, </w:t>
      </w:r>
      <w:r w:rsidR="00A04C41" w:rsidRPr="008A1DB4">
        <w:rPr>
          <w:spacing w:val="-2"/>
          <w:lang w:val="en-US"/>
        </w:rPr>
        <w:t xml:space="preserve">2010, </w:t>
      </w:r>
      <w:r w:rsidRPr="008A1DB4">
        <w:rPr>
          <w:spacing w:val="-2"/>
          <w:lang w:val="en-US"/>
        </w:rPr>
        <w:t>that the requirement of exhaustion of domestic remedie</w:t>
      </w:r>
      <w:r w:rsidR="003E7B0D">
        <w:rPr>
          <w:spacing w:val="-2"/>
          <w:lang w:val="en-US"/>
        </w:rPr>
        <w:t xml:space="preserve">s had not been met, because </w:t>
      </w:r>
      <w:r w:rsidRPr="008A1DB4">
        <w:rPr>
          <w:spacing w:val="-2"/>
          <w:lang w:val="en-US"/>
        </w:rPr>
        <w:t>decisions</w:t>
      </w:r>
      <w:r w:rsidR="003E7B0D">
        <w:rPr>
          <w:spacing w:val="-2"/>
          <w:lang w:val="en-US"/>
        </w:rPr>
        <w:t xml:space="preserve"> remained pending o</w:t>
      </w:r>
      <w:r w:rsidRPr="008A1DB4">
        <w:rPr>
          <w:spacing w:val="-2"/>
          <w:lang w:val="en-US"/>
        </w:rPr>
        <w:t xml:space="preserve">n the applications for </w:t>
      </w:r>
      <w:r w:rsidR="00E022F9" w:rsidRPr="008A1DB4">
        <w:rPr>
          <w:i/>
          <w:spacing w:val="-2"/>
          <w:lang w:val="en-US"/>
        </w:rPr>
        <w:t>habeas corpus</w:t>
      </w:r>
      <w:r w:rsidRPr="008A1DB4">
        <w:rPr>
          <w:spacing w:val="-2"/>
          <w:lang w:val="en-US"/>
        </w:rPr>
        <w:t xml:space="preserve"> filed by the representative.</w:t>
      </w:r>
      <w:r w:rsidR="004E1D7E" w:rsidRPr="008A1DB4">
        <w:rPr>
          <w:rStyle w:val="FootnoteReference"/>
          <w:spacing w:val="-2"/>
          <w:lang w:val="en-US"/>
        </w:rPr>
        <w:footnoteReference w:id="11"/>
      </w:r>
      <w:r w:rsidRPr="008A1DB4">
        <w:rPr>
          <w:spacing w:val="-2"/>
          <w:lang w:val="en-US"/>
        </w:rPr>
        <w:t xml:space="preserve"> Therefore, the Court observes that this </w:t>
      </w:r>
      <w:r w:rsidR="00C45946" w:rsidRPr="008A1DB4">
        <w:rPr>
          <w:spacing w:val="-2"/>
          <w:lang w:val="en-US"/>
        </w:rPr>
        <w:t>preliminary objection</w:t>
      </w:r>
      <w:r w:rsidR="004E1D7E" w:rsidRPr="008A1DB4">
        <w:rPr>
          <w:spacing w:val="-2"/>
          <w:lang w:val="en-US"/>
        </w:rPr>
        <w:t xml:space="preserve"> </w:t>
      </w:r>
      <w:r w:rsidRPr="008A1DB4">
        <w:rPr>
          <w:spacing w:val="-2"/>
          <w:lang w:val="en-US"/>
        </w:rPr>
        <w:t>was filed at the appropriate procedural moment.</w:t>
      </w:r>
    </w:p>
    <w:p w14:paraId="705F3BCD" w14:textId="77777777" w:rsidR="004E1D7E" w:rsidRPr="008A1DB4" w:rsidRDefault="004E1D7E" w:rsidP="00956E97">
      <w:pPr>
        <w:pStyle w:val="ListParagraph"/>
        <w:rPr>
          <w:spacing w:val="-2"/>
          <w:lang w:val="en-US"/>
        </w:rPr>
      </w:pPr>
    </w:p>
    <w:p w14:paraId="10862E0C" w14:textId="300AF665" w:rsidR="004E1D7E" w:rsidRPr="008A1DB4" w:rsidRDefault="00A836C4" w:rsidP="00956E97">
      <w:pPr>
        <w:pStyle w:val="PrrafodeSentencia"/>
        <w:rPr>
          <w:spacing w:val="-2"/>
          <w:lang w:val="en-US"/>
        </w:rPr>
      </w:pPr>
      <w:r w:rsidRPr="008A1DB4">
        <w:rPr>
          <w:spacing w:val="-2"/>
          <w:lang w:val="en-US"/>
        </w:rPr>
        <w:t>The</w:t>
      </w:r>
      <w:r w:rsidR="00F36400" w:rsidRPr="008A1DB4">
        <w:rPr>
          <w:spacing w:val="-2"/>
          <w:lang w:val="en-US"/>
        </w:rPr>
        <w:t xml:space="preserve"> Court</w:t>
      </w:r>
      <w:r w:rsidR="004E1D7E" w:rsidRPr="008A1DB4">
        <w:rPr>
          <w:spacing w:val="-2"/>
          <w:lang w:val="en-US"/>
        </w:rPr>
        <w:t xml:space="preserve"> </w:t>
      </w:r>
      <w:r w:rsidRPr="008A1DB4">
        <w:rPr>
          <w:spacing w:val="-2"/>
          <w:lang w:val="en-US"/>
        </w:rPr>
        <w:t xml:space="preserve">notes that, </w:t>
      </w:r>
      <w:r w:rsidR="003E7B0D">
        <w:rPr>
          <w:spacing w:val="-2"/>
          <w:lang w:val="en-US"/>
        </w:rPr>
        <w:t>basica</w:t>
      </w:r>
      <w:r w:rsidRPr="008A1DB4">
        <w:rPr>
          <w:spacing w:val="-2"/>
          <w:lang w:val="en-US"/>
        </w:rPr>
        <w:t>lly, the State has submitted two arguments</w:t>
      </w:r>
      <w:r w:rsidR="004E1D7E" w:rsidRPr="008A1DB4">
        <w:rPr>
          <w:spacing w:val="-2"/>
          <w:lang w:val="en-US"/>
        </w:rPr>
        <w:t>: (</w:t>
      </w:r>
      <w:proofErr w:type="spellStart"/>
      <w:r w:rsidR="004E1D7E" w:rsidRPr="008A1DB4">
        <w:rPr>
          <w:spacing w:val="-2"/>
          <w:lang w:val="en-US"/>
        </w:rPr>
        <w:t>i</w:t>
      </w:r>
      <w:proofErr w:type="spellEnd"/>
      <w:r w:rsidR="004E1D7E" w:rsidRPr="008A1DB4">
        <w:rPr>
          <w:spacing w:val="-2"/>
          <w:lang w:val="en-US"/>
        </w:rPr>
        <w:t xml:space="preserve">) </w:t>
      </w:r>
      <w:r w:rsidRPr="008A1DB4">
        <w:rPr>
          <w:spacing w:val="-2"/>
          <w:lang w:val="en-US"/>
        </w:rPr>
        <w:t>that, when the initial petition was lodged, domestic remedies had not been exhausted</w:t>
      </w:r>
      <w:r w:rsidR="004C10D1" w:rsidRPr="008A1DB4">
        <w:rPr>
          <w:spacing w:val="-2"/>
          <w:lang w:val="en-US"/>
        </w:rPr>
        <w:t>,</w:t>
      </w:r>
      <w:r w:rsidR="00F36400" w:rsidRPr="008A1DB4">
        <w:rPr>
          <w:spacing w:val="-2"/>
          <w:lang w:val="en-US"/>
        </w:rPr>
        <w:t xml:space="preserve"> and </w:t>
      </w:r>
      <w:r w:rsidR="004E1D7E" w:rsidRPr="008A1DB4">
        <w:rPr>
          <w:spacing w:val="-2"/>
          <w:lang w:val="en-US"/>
        </w:rPr>
        <w:t xml:space="preserve">(ii) </w:t>
      </w:r>
      <w:r w:rsidRPr="008A1DB4">
        <w:rPr>
          <w:spacing w:val="-2"/>
          <w:lang w:val="en-US"/>
        </w:rPr>
        <w:t xml:space="preserve">that, when taking its decision on admissibility, </w:t>
      </w:r>
      <w:r w:rsidR="00F36400" w:rsidRPr="008A1DB4">
        <w:rPr>
          <w:spacing w:val="-2"/>
          <w:lang w:val="en-US"/>
        </w:rPr>
        <w:t>the Commission</w:t>
      </w:r>
      <w:r w:rsidR="004E1D7E" w:rsidRPr="008A1DB4">
        <w:rPr>
          <w:spacing w:val="-2"/>
          <w:lang w:val="en-US"/>
        </w:rPr>
        <w:t xml:space="preserve"> </w:t>
      </w:r>
      <w:r w:rsidRPr="008A1DB4">
        <w:rPr>
          <w:spacing w:val="-2"/>
          <w:lang w:val="en-US"/>
        </w:rPr>
        <w:t xml:space="preserve">did not take into account that other applications for </w:t>
      </w:r>
      <w:r w:rsidR="00E022F9" w:rsidRPr="008A1DB4">
        <w:rPr>
          <w:i/>
          <w:spacing w:val="-2"/>
          <w:lang w:val="en-US"/>
        </w:rPr>
        <w:t>habeas corpus</w:t>
      </w:r>
      <w:r w:rsidRPr="008A1DB4">
        <w:rPr>
          <w:spacing w:val="-2"/>
          <w:lang w:val="en-US"/>
        </w:rPr>
        <w:t xml:space="preserve"> filed by </w:t>
      </w:r>
      <w:r w:rsidR="00C45946" w:rsidRPr="008A1DB4">
        <w:rPr>
          <w:spacing w:val="-2"/>
          <w:lang w:val="en-US"/>
        </w:rPr>
        <w:t>the representative</w:t>
      </w:r>
      <w:r w:rsidRPr="008A1DB4">
        <w:rPr>
          <w:spacing w:val="-2"/>
          <w:lang w:val="en-US"/>
        </w:rPr>
        <w:t xml:space="preserve"> were being processed</w:t>
      </w:r>
      <w:r w:rsidR="004E1D7E" w:rsidRPr="008A1DB4">
        <w:rPr>
          <w:i/>
          <w:spacing w:val="-2"/>
          <w:lang w:val="en-US"/>
        </w:rPr>
        <w:t xml:space="preserve"> </w:t>
      </w:r>
      <w:r w:rsidR="004E1D7E" w:rsidRPr="008A1DB4">
        <w:rPr>
          <w:spacing w:val="-2"/>
          <w:lang w:val="en-US"/>
        </w:rPr>
        <w:t>(</w:t>
      </w:r>
      <w:r w:rsidR="004E1D7E" w:rsidRPr="008A1DB4">
        <w:rPr>
          <w:i/>
          <w:spacing w:val="-2"/>
          <w:lang w:val="en-US"/>
        </w:rPr>
        <w:t xml:space="preserve">supra </w:t>
      </w:r>
      <w:r w:rsidR="00C45946" w:rsidRPr="008A1DB4">
        <w:rPr>
          <w:spacing w:val="-2"/>
          <w:lang w:val="en-US"/>
        </w:rPr>
        <w:t xml:space="preserve">para. </w:t>
      </w:r>
      <w:r w:rsidR="006B36B9" w:rsidRPr="008A1DB4">
        <w:rPr>
          <w:spacing w:val="-2"/>
          <w:lang w:val="en-US"/>
        </w:rPr>
        <w:fldChar w:fldCharType="begin"/>
      </w:r>
      <w:r w:rsidR="006B36B9" w:rsidRPr="008A1DB4">
        <w:rPr>
          <w:spacing w:val="-2"/>
          <w:lang w:val="en-US"/>
        </w:rPr>
        <w:instrText xml:space="preserve"> REF _Ref299566485 \r \h </w:instrText>
      </w:r>
      <w:r w:rsidR="00DC41F4" w:rsidRPr="008A1DB4">
        <w:rPr>
          <w:spacing w:val="-2"/>
          <w:lang w:val="en-US"/>
        </w:rPr>
        <w:instrText xml:space="preserve"> \* MERGEFORMAT </w:instrText>
      </w:r>
      <w:r w:rsidR="006B36B9" w:rsidRPr="008A1DB4">
        <w:rPr>
          <w:spacing w:val="-2"/>
          <w:lang w:val="en-US"/>
        </w:rPr>
      </w:r>
      <w:r w:rsidR="006B36B9" w:rsidRPr="008A1DB4">
        <w:rPr>
          <w:spacing w:val="-2"/>
          <w:lang w:val="en-US"/>
        </w:rPr>
        <w:fldChar w:fldCharType="separate"/>
      </w:r>
      <w:r w:rsidR="00E961FA" w:rsidRPr="008A1DB4">
        <w:rPr>
          <w:spacing w:val="-2"/>
          <w:lang w:val="en-US"/>
        </w:rPr>
        <w:t>18</w:t>
      </w:r>
      <w:r w:rsidR="006B36B9" w:rsidRPr="008A1DB4">
        <w:rPr>
          <w:spacing w:val="-2"/>
          <w:lang w:val="en-US"/>
        </w:rPr>
        <w:fldChar w:fldCharType="end"/>
      </w:r>
      <w:r w:rsidR="004E1D7E" w:rsidRPr="008A1DB4">
        <w:rPr>
          <w:spacing w:val="-2"/>
          <w:lang w:val="en-US"/>
        </w:rPr>
        <w:t>).</w:t>
      </w:r>
    </w:p>
    <w:p w14:paraId="06A13E88" w14:textId="77777777" w:rsidR="004E1D7E" w:rsidRPr="008A1DB4" w:rsidRDefault="004E1D7E" w:rsidP="00956E97">
      <w:pPr>
        <w:pStyle w:val="ListParagraph"/>
        <w:rPr>
          <w:spacing w:val="-2"/>
          <w:lang w:val="en-US"/>
        </w:rPr>
      </w:pPr>
    </w:p>
    <w:p w14:paraId="72E89569" w14:textId="43DF0CDC" w:rsidR="004E1D7E" w:rsidRPr="008A1DB4" w:rsidRDefault="00A836C4" w:rsidP="00956E97">
      <w:pPr>
        <w:pStyle w:val="PrrafodeSentencia"/>
        <w:rPr>
          <w:spacing w:val="-2"/>
          <w:lang w:val="en-US"/>
        </w:rPr>
      </w:pPr>
      <w:r w:rsidRPr="008A1DB4">
        <w:rPr>
          <w:spacing w:val="-2"/>
          <w:lang w:val="en-US"/>
        </w:rPr>
        <w:t xml:space="preserve">On the first point, the Court notes that the initial </w:t>
      </w:r>
      <w:r w:rsidR="008A1DB4" w:rsidRPr="008A1DB4">
        <w:rPr>
          <w:spacing w:val="-2"/>
          <w:lang w:val="en-US"/>
        </w:rPr>
        <w:t>petition</w:t>
      </w:r>
      <w:r w:rsidRPr="008A1DB4">
        <w:rPr>
          <w:spacing w:val="-2"/>
          <w:lang w:val="en-US"/>
        </w:rPr>
        <w:t xml:space="preserve"> was lodged before the </w:t>
      </w:r>
      <w:r w:rsidR="00F36400" w:rsidRPr="008A1DB4">
        <w:rPr>
          <w:spacing w:val="-2"/>
          <w:lang w:val="en-US"/>
        </w:rPr>
        <w:t>Commission</w:t>
      </w:r>
      <w:r w:rsidRPr="008A1DB4">
        <w:rPr>
          <w:spacing w:val="-2"/>
          <w:lang w:val="en-US"/>
        </w:rPr>
        <w:t xml:space="preserve"> on March 27, </w:t>
      </w:r>
      <w:r w:rsidR="004E1D7E" w:rsidRPr="008A1DB4">
        <w:rPr>
          <w:spacing w:val="-2"/>
          <w:lang w:val="en-US"/>
        </w:rPr>
        <w:t xml:space="preserve">2009. </w:t>
      </w:r>
      <w:r w:rsidRPr="008A1DB4">
        <w:rPr>
          <w:spacing w:val="-2"/>
          <w:lang w:val="en-US"/>
        </w:rPr>
        <w:t xml:space="preserve">On March 31 that year, the petition was forwarded to the State. Following numerous submissions of additional information by both parties, on November 1, 2010, the </w:t>
      </w:r>
      <w:r w:rsidR="00F36400" w:rsidRPr="008A1DB4">
        <w:rPr>
          <w:spacing w:val="-2"/>
          <w:lang w:val="en-US"/>
        </w:rPr>
        <w:t>Commission</w:t>
      </w:r>
      <w:r w:rsidR="00B5666F" w:rsidRPr="008A1DB4">
        <w:rPr>
          <w:spacing w:val="-2"/>
          <w:lang w:val="en-US"/>
        </w:rPr>
        <w:t xml:space="preserve"> </w:t>
      </w:r>
      <w:r w:rsidRPr="008A1DB4">
        <w:rPr>
          <w:spacing w:val="-2"/>
          <w:lang w:val="en-US"/>
        </w:rPr>
        <w:t>issued the</w:t>
      </w:r>
      <w:r w:rsidR="00B5666F" w:rsidRPr="008A1DB4">
        <w:rPr>
          <w:spacing w:val="-2"/>
          <w:lang w:val="en-US"/>
        </w:rPr>
        <w:t xml:space="preserve"> </w:t>
      </w:r>
      <w:r w:rsidR="00F36400" w:rsidRPr="008A1DB4">
        <w:rPr>
          <w:spacing w:val="-2"/>
          <w:lang w:val="en-US"/>
        </w:rPr>
        <w:t>Admissibility Report</w:t>
      </w:r>
      <w:r w:rsidRPr="008A1DB4">
        <w:rPr>
          <w:spacing w:val="-2"/>
          <w:lang w:val="en-US"/>
        </w:rPr>
        <w:t>.</w:t>
      </w:r>
      <w:r w:rsidR="004E1D7E" w:rsidRPr="008A1DB4">
        <w:rPr>
          <w:rStyle w:val="FootnoteReference"/>
          <w:spacing w:val="-2"/>
          <w:lang w:val="en-US"/>
        </w:rPr>
        <w:footnoteReference w:id="12"/>
      </w:r>
      <w:r w:rsidRPr="008A1DB4">
        <w:rPr>
          <w:spacing w:val="-2"/>
          <w:lang w:val="en-US"/>
        </w:rPr>
        <w:t xml:space="preserve"> In this report,</w:t>
      </w:r>
      <w:r w:rsidR="004E1D7E" w:rsidRPr="008A1DB4">
        <w:rPr>
          <w:spacing w:val="-2"/>
          <w:lang w:val="en-US"/>
        </w:rPr>
        <w:t xml:space="preserve"> </w:t>
      </w:r>
      <w:r w:rsidRPr="008A1DB4">
        <w:rPr>
          <w:spacing w:val="-2"/>
          <w:lang w:val="en-US"/>
        </w:rPr>
        <w:t xml:space="preserve">with regard to the exhaustion of domestic remedies, </w:t>
      </w:r>
      <w:r w:rsidR="00F36400" w:rsidRPr="008A1DB4">
        <w:rPr>
          <w:spacing w:val="-2"/>
          <w:lang w:val="en-US"/>
        </w:rPr>
        <w:t>the Commission</w:t>
      </w:r>
      <w:r w:rsidR="004E1D7E" w:rsidRPr="008A1DB4">
        <w:rPr>
          <w:spacing w:val="-2"/>
          <w:lang w:val="en-US"/>
        </w:rPr>
        <w:t xml:space="preserve"> de</w:t>
      </w:r>
      <w:r w:rsidRPr="008A1DB4">
        <w:rPr>
          <w:spacing w:val="-2"/>
          <w:lang w:val="en-US"/>
        </w:rPr>
        <w:t xml:space="preserve">cided that: </w:t>
      </w:r>
    </w:p>
    <w:p w14:paraId="5FB8CB36" w14:textId="77777777" w:rsidR="004E1D7E" w:rsidRPr="008A1DB4" w:rsidRDefault="004E1D7E" w:rsidP="00956E97">
      <w:pPr>
        <w:pStyle w:val="ListParagraph"/>
        <w:rPr>
          <w:spacing w:val="-2"/>
          <w:lang w:val="en-US"/>
        </w:rPr>
      </w:pPr>
    </w:p>
    <w:p w14:paraId="51C37CC8" w14:textId="307BAE2C" w:rsidR="00A836C4" w:rsidRPr="008A1DB4" w:rsidRDefault="00A836C4" w:rsidP="00956E97">
      <w:pPr>
        <w:pStyle w:val="ListParagraph"/>
        <w:tabs>
          <w:tab w:val="left" w:pos="993"/>
        </w:tabs>
        <w:ind w:left="567" w:right="758"/>
        <w:rPr>
          <w:szCs w:val="20"/>
          <w:lang w:val="en-US"/>
        </w:rPr>
      </w:pPr>
      <w:r w:rsidRPr="008A1DB4">
        <w:rPr>
          <w:spacing w:val="-2"/>
          <w:sz w:val="16"/>
          <w:szCs w:val="16"/>
          <w:lang w:val="en-US"/>
        </w:rPr>
        <w:t>[T]</w:t>
      </w:r>
      <w:r w:rsidRPr="008A1DB4">
        <w:rPr>
          <w:sz w:val="16"/>
          <w:szCs w:val="16"/>
          <w:lang w:val="en-US"/>
        </w:rPr>
        <w:t xml:space="preserve">he alleged victim first argued the failure to comply with the legal and constitutional requirements for admission of the extradition request throughout the advisory proceeding decided in the final instance by the Supreme Court of Justice on January 27, 2010. Secondly, he submitted two applications for </w:t>
      </w:r>
      <w:r w:rsidR="00E022F9" w:rsidRPr="008A1DB4">
        <w:rPr>
          <w:i/>
          <w:sz w:val="16"/>
          <w:szCs w:val="16"/>
          <w:lang w:val="en-US"/>
        </w:rPr>
        <w:t>habeas corpus</w:t>
      </w:r>
      <w:r w:rsidRPr="008A1DB4">
        <w:rPr>
          <w:sz w:val="16"/>
          <w:szCs w:val="16"/>
          <w:lang w:val="en-US"/>
        </w:rPr>
        <w:t xml:space="preserve"> against</w:t>
      </w:r>
      <w:r w:rsidR="003E7B0D">
        <w:rPr>
          <w:sz w:val="16"/>
          <w:szCs w:val="16"/>
          <w:lang w:val="en-US"/>
        </w:rPr>
        <w:t xml:space="preserve"> the members of the Second Transito</w:t>
      </w:r>
      <w:r w:rsidRPr="008A1DB4">
        <w:rPr>
          <w:sz w:val="16"/>
          <w:szCs w:val="16"/>
          <w:lang w:val="en-US"/>
        </w:rPr>
        <w:t xml:space="preserve">ry Criminal Chamber and the Permanent Criminal Chamber of the aforementioned Supreme Court, pointing to alleged defects in the advisory proceeding and an alleged inadequate evaluation of the guarantees provided by the Government of the People’s Republic of China that the death penalty would not be imposed. In addition, the presumed victim filed a preventive application for </w:t>
      </w:r>
      <w:r w:rsidR="00E022F9" w:rsidRPr="008A1DB4">
        <w:rPr>
          <w:i/>
          <w:sz w:val="16"/>
          <w:szCs w:val="16"/>
          <w:lang w:val="en-US"/>
        </w:rPr>
        <w:t>habeas corpus</w:t>
      </w:r>
      <w:r w:rsidRPr="008A1DB4">
        <w:rPr>
          <w:sz w:val="16"/>
          <w:szCs w:val="16"/>
          <w:lang w:val="en-US"/>
        </w:rPr>
        <w:t xml:space="preserve"> against the President of the Republic and the Council of Ministers, which has been pending a final decision from the Constitutional Court on constitutional injury since July 14, 2010.</w:t>
      </w:r>
    </w:p>
    <w:p w14:paraId="70662509" w14:textId="77777777" w:rsidR="00CE4920" w:rsidRPr="008A1DB4" w:rsidRDefault="00CE4920" w:rsidP="00A836C4">
      <w:pPr>
        <w:tabs>
          <w:tab w:val="left" w:pos="993"/>
        </w:tabs>
        <w:ind w:right="758"/>
        <w:rPr>
          <w:spacing w:val="-2"/>
          <w:sz w:val="18"/>
          <w:szCs w:val="18"/>
          <w:lang w:val="en-US"/>
        </w:rPr>
      </w:pPr>
    </w:p>
    <w:p w14:paraId="0E34AF2A" w14:textId="1F6F1B7E" w:rsidR="004E1D7E" w:rsidRPr="008A1DB4" w:rsidRDefault="00CE4920" w:rsidP="00A836C4">
      <w:pPr>
        <w:pStyle w:val="ListParagraph"/>
        <w:tabs>
          <w:tab w:val="left" w:pos="993"/>
        </w:tabs>
        <w:ind w:left="567" w:right="758"/>
        <w:rPr>
          <w:sz w:val="16"/>
          <w:szCs w:val="16"/>
          <w:lang w:val="en-US"/>
        </w:rPr>
      </w:pPr>
      <w:r w:rsidRPr="008A1DB4">
        <w:rPr>
          <w:spacing w:val="-2"/>
          <w:sz w:val="18"/>
          <w:szCs w:val="18"/>
          <w:lang w:val="en-US"/>
        </w:rPr>
        <w:t xml:space="preserve">40. </w:t>
      </w:r>
      <w:r w:rsidR="00A836C4" w:rsidRPr="008A1DB4">
        <w:rPr>
          <w:sz w:val="16"/>
          <w:szCs w:val="16"/>
          <w:lang w:val="en-US"/>
        </w:rPr>
        <w:t>Based on the foregoing considerations, the [Commission] consider[</w:t>
      </w:r>
      <w:proofErr w:type="spellStart"/>
      <w:r w:rsidR="00A836C4" w:rsidRPr="008A1DB4">
        <w:rPr>
          <w:sz w:val="16"/>
          <w:szCs w:val="16"/>
          <w:lang w:val="en-US"/>
        </w:rPr>
        <w:t>ed</w:t>
      </w:r>
      <w:proofErr w:type="spellEnd"/>
      <w:r w:rsidR="00A836C4" w:rsidRPr="008A1DB4">
        <w:rPr>
          <w:sz w:val="16"/>
          <w:szCs w:val="16"/>
          <w:lang w:val="en-US"/>
        </w:rPr>
        <w:t xml:space="preserve">] that the presumed victim </w:t>
      </w:r>
      <w:r w:rsidR="003E7B0D">
        <w:rPr>
          <w:sz w:val="16"/>
          <w:szCs w:val="16"/>
          <w:lang w:val="en-US"/>
        </w:rPr>
        <w:t xml:space="preserve">[had] </w:t>
      </w:r>
      <w:r w:rsidR="00A836C4" w:rsidRPr="008A1DB4">
        <w:rPr>
          <w:sz w:val="16"/>
          <w:szCs w:val="16"/>
          <w:lang w:val="en-US"/>
        </w:rPr>
        <w:t>ex</w:t>
      </w:r>
      <w:r w:rsidR="003E7B0D">
        <w:rPr>
          <w:sz w:val="16"/>
          <w:szCs w:val="16"/>
          <w:lang w:val="en-US"/>
        </w:rPr>
        <w:t>hausted the available remedies under domestic law</w:t>
      </w:r>
      <w:r w:rsidR="00A836C4" w:rsidRPr="008A1DB4">
        <w:rPr>
          <w:sz w:val="16"/>
          <w:szCs w:val="16"/>
          <w:lang w:val="en-US"/>
        </w:rPr>
        <w:t xml:space="preserve"> aiming at rectifying the alleged irregularities in the advisory proceeding decided in final instance by the Permanent Criminal Chamber of the Supreme Court of Justice on January 27, 2010. In this regard, the requirement indicated in Article 46(1</w:t>
      </w:r>
      <w:proofErr w:type="gramStart"/>
      <w:r w:rsidR="00A836C4" w:rsidRPr="008A1DB4">
        <w:rPr>
          <w:sz w:val="16"/>
          <w:szCs w:val="16"/>
          <w:lang w:val="en-US"/>
        </w:rPr>
        <w:t>)(</w:t>
      </w:r>
      <w:proofErr w:type="gramEnd"/>
      <w:r w:rsidR="00A836C4" w:rsidRPr="008A1DB4">
        <w:rPr>
          <w:sz w:val="16"/>
          <w:szCs w:val="16"/>
          <w:lang w:val="en-US"/>
        </w:rPr>
        <w:t>a) of the American Convention has been met.</w:t>
      </w:r>
      <w:r w:rsidR="004E1D7E" w:rsidRPr="008A1DB4">
        <w:rPr>
          <w:rStyle w:val="FootnoteReference"/>
          <w:spacing w:val="-2"/>
          <w:sz w:val="16"/>
          <w:szCs w:val="16"/>
          <w:lang w:val="en-US" w:eastAsia="es-MX"/>
        </w:rPr>
        <w:footnoteReference w:id="13"/>
      </w:r>
    </w:p>
    <w:p w14:paraId="16308C44" w14:textId="77777777" w:rsidR="004E1D7E" w:rsidRPr="008A1DB4" w:rsidRDefault="004E1D7E" w:rsidP="00956E97">
      <w:pPr>
        <w:pStyle w:val="ListParagraph"/>
        <w:tabs>
          <w:tab w:val="left" w:pos="993"/>
        </w:tabs>
        <w:ind w:left="567" w:right="758"/>
        <w:rPr>
          <w:spacing w:val="-2"/>
          <w:sz w:val="18"/>
          <w:szCs w:val="18"/>
          <w:lang w:val="en-US"/>
        </w:rPr>
      </w:pPr>
    </w:p>
    <w:p w14:paraId="2FDDFFFD" w14:textId="7B89491C" w:rsidR="000E42B1" w:rsidRPr="008A1DB4" w:rsidRDefault="000E42B1" w:rsidP="000E42B1">
      <w:pPr>
        <w:pStyle w:val="PrrafodeSentencia"/>
        <w:rPr>
          <w:spacing w:val="-2"/>
          <w:lang w:val="en-US"/>
        </w:rPr>
      </w:pPr>
      <w:r w:rsidRPr="008A1DB4">
        <w:rPr>
          <w:spacing w:val="-2"/>
          <w:lang w:val="en-US"/>
        </w:rPr>
        <w:t>As</w:t>
      </w:r>
      <w:r w:rsidR="004E1D7E" w:rsidRPr="008A1DB4">
        <w:rPr>
          <w:spacing w:val="-2"/>
          <w:lang w:val="en-US"/>
        </w:rPr>
        <w:t xml:space="preserve"> </w:t>
      </w:r>
      <w:r w:rsidR="00F36400" w:rsidRPr="008A1DB4">
        <w:rPr>
          <w:spacing w:val="-2"/>
          <w:lang w:val="en-US"/>
        </w:rPr>
        <w:t>the State</w:t>
      </w:r>
      <w:r w:rsidRPr="008A1DB4">
        <w:rPr>
          <w:spacing w:val="-2"/>
          <w:lang w:val="en-US"/>
        </w:rPr>
        <w:t xml:space="preserve"> mentioned</w:t>
      </w:r>
      <w:r w:rsidR="004E1D7E" w:rsidRPr="008A1DB4">
        <w:rPr>
          <w:spacing w:val="-2"/>
          <w:lang w:val="en-US"/>
        </w:rPr>
        <w:t xml:space="preserve">, </w:t>
      </w:r>
      <w:r w:rsidRPr="008A1DB4">
        <w:rPr>
          <w:spacing w:val="-2"/>
          <w:lang w:val="en-US"/>
        </w:rPr>
        <w:t xml:space="preserve">the decisions that, according to the Commission, </w:t>
      </w:r>
      <w:r w:rsidR="003E7B0D" w:rsidRPr="008A1DB4">
        <w:rPr>
          <w:spacing w:val="-2"/>
          <w:lang w:val="en-US"/>
        </w:rPr>
        <w:t xml:space="preserve">exhausted the domestic remedies </w:t>
      </w:r>
      <w:r w:rsidRPr="008A1DB4">
        <w:rPr>
          <w:spacing w:val="-2"/>
          <w:lang w:val="en-US"/>
        </w:rPr>
        <w:t>were adopted after the initial petition had been lodged. However, the Court notes that, by requiring that “</w:t>
      </w:r>
      <w:r w:rsidRPr="008A1DB4">
        <w:rPr>
          <w:spacing w:val="-3"/>
          <w:u w:val="single"/>
          <w:lang w:val="en-US"/>
        </w:rPr>
        <w:t>admission</w:t>
      </w:r>
      <w:r w:rsidRPr="008A1DB4">
        <w:rPr>
          <w:spacing w:val="-3"/>
          <w:lang w:val="en-US"/>
        </w:rPr>
        <w:t xml:space="preserve"> by the Commission of a petition or communication [...] shall be subject to” the said exhaustion (underlining added), </w:t>
      </w:r>
      <w:r w:rsidR="00F36400" w:rsidRPr="008A1DB4">
        <w:rPr>
          <w:spacing w:val="-2"/>
          <w:lang w:val="en-US"/>
        </w:rPr>
        <w:t>Article</w:t>
      </w:r>
      <w:r w:rsidR="004E1D7E" w:rsidRPr="008A1DB4">
        <w:rPr>
          <w:spacing w:val="-2"/>
          <w:lang w:val="en-US"/>
        </w:rPr>
        <w:t xml:space="preserve"> 46</w:t>
      </w:r>
      <w:r w:rsidR="00F36400" w:rsidRPr="008A1DB4">
        <w:rPr>
          <w:spacing w:val="-2"/>
          <w:lang w:val="en-US"/>
        </w:rPr>
        <w:t xml:space="preserve"> of the American Convention</w:t>
      </w:r>
      <w:r w:rsidR="008307D0" w:rsidRPr="008A1DB4">
        <w:rPr>
          <w:spacing w:val="-2"/>
          <w:lang w:val="en-US"/>
        </w:rPr>
        <w:t xml:space="preserve">, </w:t>
      </w:r>
      <w:r w:rsidRPr="008A1DB4">
        <w:rPr>
          <w:spacing w:val="-2"/>
          <w:lang w:val="en-US"/>
        </w:rPr>
        <w:t>should be interpreted in the sense that exhaustion of the remedies is required when deciding on the admissibility of the petition and not when this is lodged.</w:t>
      </w:r>
    </w:p>
    <w:p w14:paraId="12BE9378" w14:textId="77777777" w:rsidR="004E1D7E" w:rsidRPr="008A1DB4" w:rsidRDefault="004E1D7E" w:rsidP="00956E97">
      <w:pPr>
        <w:pStyle w:val="ListParagraph"/>
        <w:tabs>
          <w:tab w:val="left" w:pos="567"/>
        </w:tabs>
        <w:ind w:left="0"/>
        <w:rPr>
          <w:spacing w:val="-2"/>
          <w:lang w:val="en-US"/>
        </w:rPr>
      </w:pPr>
    </w:p>
    <w:p w14:paraId="4C866B29" w14:textId="11B886BB" w:rsidR="000E42B1" w:rsidRPr="008A1DB4" w:rsidRDefault="00F36400" w:rsidP="000E42B1">
      <w:pPr>
        <w:pStyle w:val="PrrafodeSentencia"/>
        <w:rPr>
          <w:spacing w:val="-2"/>
          <w:lang w:val="en-US"/>
        </w:rPr>
      </w:pPr>
      <w:r w:rsidRPr="008A1DB4">
        <w:rPr>
          <w:spacing w:val="-2"/>
          <w:lang w:val="en-US"/>
        </w:rPr>
        <w:t>The Court</w:t>
      </w:r>
      <w:r w:rsidR="004E1D7E" w:rsidRPr="008A1DB4">
        <w:rPr>
          <w:spacing w:val="-2"/>
          <w:lang w:val="en-US"/>
        </w:rPr>
        <w:t xml:space="preserve"> </w:t>
      </w:r>
      <w:r w:rsidR="000E42B1" w:rsidRPr="008A1DB4">
        <w:rPr>
          <w:spacing w:val="-2"/>
          <w:lang w:val="en-US"/>
        </w:rPr>
        <w:t xml:space="preserve">notes that the lodging of the petition, its notification to the State, and the issue of the Admissibility Report are three distinct </w:t>
      </w:r>
      <w:r w:rsidR="003E7B0D">
        <w:rPr>
          <w:spacing w:val="-2"/>
          <w:lang w:val="en-US"/>
        </w:rPr>
        <w:t>occasions</w:t>
      </w:r>
      <w:r w:rsidR="000E42B1" w:rsidRPr="008A1DB4">
        <w:rPr>
          <w:spacing w:val="-2"/>
          <w:lang w:val="en-US"/>
        </w:rPr>
        <w:t xml:space="preserve">: the first derived from an act of the petitioner, and the other two arising from acts </w:t>
      </w:r>
      <w:r w:rsidR="00C45946" w:rsidRPr="008A1DB4">
        <w:rPr>
          <w:spacing w:val="-2"/>
          <w:lang w:val="en-US"/>
        </w:rPr>
        <w:t xml:space="preserve">of the </w:t>
      </w:r>
      <w:r w:rsidRPr="008A1DB4">
        <w:rPr>
          <w:spacing w:val="-2"/>
          <w:lang w:val="en-US"/>
        </w:rPr>
        <w:t>Inter-American Commission</w:t>
      </w:r>
      <w:r w:rsidR="000E42B1" w:rsidRPr="008A1DB4">
        <w:rPr>
          <w:spacing w:val="-2"/>
          <w:lang w:val="en-US"/>
        </w:rPr>
        <w:t>.</w:t>
      </w:r>
      <w:r w:rsidR="004E1D7E" w:rsidRPr="008A1DB4">
        <w:rPr>
          <w:rStyle w:val="FootnoteReference"/>
          <w:spacing w:val="-2"/>
          <w:sz w:val="18"/>
          <w:szCs w:val="18"/>
          <w:lang w:val="en-US"/>
        </w:rPr>
        <w:footnoteReference w:id="14"/>
      </w:r>
      <w:r w:rsidR="004E1D7E" w:rsidRPr="008A1DB4">
        <w:rPr>
          <w:spacing w:val="-2"/>
          <w:lang w:val="en-US"/>
        </w:rPr>
        <w:t xml:space="preserve"> </w:t>
      </w:r>
      <w:r w:rsidR="000E42B1" w:rsidRPr="008A1DB4">
        <w:rPr>
          <w:spacing w:val="-2"/>
          <w:lang w:val="en-US"/>
        </w:rPr>
        <w:t>The</w:t>
      </w:r>
      <w:r w:rsidR="00C45946" w:rsidRPr="008A1DB4">
        <w:rPr>
          <w:spacing w:val="-2"/>
          <w:lang w:val="en-US"/>
        </w:rPr>
        <w:t xml:space="preserve"> </w:t>
      </w:r>
      <w:r w:rsidRPr="008A1DB4">
        <w:rPr>
          <w:spacing w:val="-2"/>
          <w:lang w:val="en-US"/>
        </w:rPr>
        <w:t>Inter-American Commission</w:t>
      </w:r>
      <w:r w:rsidR="000E42B1" w:rsidRPr="008A1DB4">
        <w:rPr>
          <w:spacing w:val="-2"/>
          <w:lang w:val="en-US"/>
        </w:rPr>
        <w:t>’s Rules of Procedure specifically regulate these stages.</w:t>
      </w:r>
      <w:r w:rsidR="00E27EC4" w:rsidRPr="008A1DB4">
        <w:rPr>
          <w:rStyle w:val="FootnoteReference"/>
          <w:spacing w:val="-2"/>
          <w:lang w:val="en-US"/>
        </w:rPr>
        <w:footnoteReference w:id="15"/>
      </w:r>
      <w:r w:rsidR="000E42B1" w:rsidRPr="008A1DB4">
        <w:rPr>
          <w:spacing w:val="-2"/>
          <w:lang w:val="en-US"/>
        </w:rPr>
        <w:t xml:space="preserve"> According to</w:t>
      </w:r>
      <w:r w:rsidR="004E1D7E" w:rsidRPr="008A1DB4">
        <w:rPr>
          <w:spacing w:val="-2"/>
          <w:lang w:val="en-US"/>
        </w:rPr>
        <w:t xml:space="preserve"> </w:t>
      </w:r>
      <w:r w:rsidR="000E42B1" w:rsidRPr="008A1DB4">
        <w:rPr>
          <w:spacing w:val="-2"/>
          <w:lang w:val="en-US"/>
        </w:rPr>
        <w:t>a</w:t>
      </w:r>
      <w:r w:rsidRPr="008A1DB4">
        <w:rPr>
          <w:spacing w:val="-2"/>
          <w:lang w:val="en-US"/>
        </w:rPr>
        <w:t>rticle</w:t>
      </w:r>
      <w:r w:rsidR="000E42B1" w:rsidRPr="008A1DB4">
        <w:rPr>
          <w:spacing w:val="-2"/>
          <w:lang w:val="en-US"/>
        </w:rPr>
        <w:t>s 28(</w:t>
      </w:r>
      <w:r w:rsidR="004E1D7E" w:rsidRPr="008A1DB4">
        <w:rPr>
          <w:spacing w:val="-2"/>
          <w:lang w:val="en-US"/>
        </w:rPr>
        <w:t>h</w:t>
      </w:r>
      <w:r w:rsidR="000E42B1" w:rsidRPr="008A1DB4">
        <w:rPr>
          <w:spacing w:val="-2"/>
          <w:lang w:val="en-US"/>
        </w:rPr>
        <w:t>)</w:t>
      </w:r>
      <w:r w:rsidR="00C54647" w:rsidRPr="008A1DB4">
        <w:rPr>
          <w:spacing w:val="-2"/>
          <w:lang w:val="en-US"/>
        </w:rPr>
        <w:t xml:space="preserve"> (</w:t>
      </w:r>
      <w:r w:rsidR="000E42B1" w:rsidRPr="008A1DB4">
        <w:rPr>
          <w:spacing w:val="-2"/>
          <w:lang w:val="en-US"/>
        </w:rPr>
        <w:t>now 28(</w:t>
      </w:r>
      <w:r w:rsidR="00C54647" w:rsidRPr="008A1DB4">
        <w:rPr>
          <w:spacing w:val="-2"/>
          <w:lang w:val="en-US"/>
        </w:rPr>
        <w:t>8)</w:t>
      </w:r>
      <w:r w:rsidR="004E1D7E" w:rsidRPr="008A1DB4">
        <w:rPr>
          <w:spacing w:val="-2"/>
          <w:lang w:val="en-US"/>
        </w:rPr>
        <w:t>, 29</w:t>
      </w:r>
      <w:r w:rsidRPr="008A1DB4">
        <w:rPr>
          <w:spacing w:val="-2"/>
          <w:lang w:val="en-US"/>
        </w:rPr>
        <w:t xml:space="preserve"> and </w:t>
      </w:r>
      <w:r w:rsidR="004E1D7E" w:rsidRPr="008A1DB4">
        <w:rPr>
          <w:spacing w:val="-2"/>
          <w:lang w:val="en-US"/>
        </w:rPr>
        <w:t>30</w:t>
      </w:r>
      <w:r w:rsidR="00EE3BF9" w:rsidRPr="008A1DB4">
        <w:rPr>
          <w:spacing w:val="-2"/>
          <w:lang w:val="en-US"/>
        </w:rPr>
        <w:t xml:space="preserve"> </w:t>
      </w:r>
      <w:r w:rsidR="000E42B1" w:rsidRPr="008A1DB4">
        <w:rPr>
          <w:spacing w:val="-2"/>
          <w:lang w:val="en-US"/>
        </w:rPr>
        <w:t>of these Rules of Procedure, before forwarding a petition to the State, an initial processing is made during which the Commission analyzes, among other matters, whether the petition contains information on “any steps taken to exhaust domestic remedies, or the impossibility of doing so as provided in Article 31 of the</w:t>
      </w:r>
      <w:r w:rsidR="008A1DB4">
        <w:rPr>
          <w:spacing w:val="-2"/>
          <w:lang w:val="en-US"/>
        </w:rPr>
        <w:t xml:space="preserve"> [</w:t>
      </w:r>
      <w:r w:rsidR="000E42B1" w:rsidRPr="008A1DB4">
        <w:rPr>
          <w:spacing w:val="-2"/>
          <w:lang w:val="en-US"/>
        </w:rPr>
        <w:t xml:space="preserve">said] Rules of Procedure.” Once the petition has been forwarded to the State, the admissibility </w:t>
      </w:r>
      <w:proofErr w:type="gramStart"/>
      <w:r w:rsidR="000E42B1" w:rsidRPr="008A1DB4">
        <w:rPr>
          <w:spacing w:val="-2"/>
          <w:lang w:val="en-US"/>
        </w:rPr>
        <w:t>stage</w:t>
      </w:r>
      <w:proofErr w:type="gramEnd"/>
      <w:r w:rsidR="000E42B1" w:rsidRPr="008A1DB4">
        <w:rPr>
          <w:spacing w:val="-2"/>
          <w:lang w:val="en-US"/>
        </w:rPr>
        <w:t xml:space="preserve"> starts and,</w:t>
      </w:r>
      <w:r w:rsidR="008A1DB4">
        <w:rPr>
          <w:spacing w:val="-2"/>
          <w:lang w:val="en-US"/>
        </w:rPr>
        <w:t xml:space="preserve"> consequently, the adversarial proceedings </w:t>
      </w:r>
      <w:r w:rsidR="000E42B1" w:rsidRPr="008A1DB4">
        <w:rPr>
          <w:spacing w:val="-2"/>
          <w:lang w:val="en-US"/>
        </w:rPr>
        <w:t>on whether the petition meets the admissibility requirem</w:t>
      </w:r>
      <w:r w:rsidR="003E7B0D">
        <w:rPr>
          <w:spacing w:val="-2"/>
          <w:lang w:val="en-US"/>
        </w:rPr>
        <w:t>ents, including the requirement</w:t>
      </w:r>
      <w:r w:rsidR="000E42B1" w:rsidRPr="008A1DB4">
        <w:rPr>
          <w:spacing w:val="-2"/>
          <w:lang w:val="en-US"/>
        </w:rPr>
        <w:t xml:space="preserve"> of exhaustion of domestic remedies. </w:t>
      </w:r>
      <w:r w:rsidR="008A1DB4" w:rsidRPr="008A1DB4">
        <w:rPr>
          <w:spacing w:val="-2"/>
          <w:lang w:val="en-US"/>
        </w:rPr>
        <w:t>According</w:t>
      </w:r>
      <w:r w:rsidR="000E42B1" w:rsidRPr="008A1DB4">
        <w:rPr>
          <w:spacing w:val="-2"/>
          <w:lang w:val="en-US"/>
        </w:rPr>
        <w:t xml:space="preserve"> to those Rules of Procedure, it is when examining admissibility that the Commission decides whether or not the petition complies with this requirement, or whether any of the exceptions established in the Convention are applicable. Thus, the Commission’s Rules of Procedure make a distinction between the time at which the initial processing is carried out, when it only examines whether the petition includes information on “any steps taken to exhaust domestic remedies, or the impossibility of doing so,” and the moment when it decides on admissibility, when it determines whether such remedies were exhausted, or applies an exception to this requirement.</w:t>
      </w:r>
    </w:p>
    <w:p w14:paraId="1A408340" w14:textId="77777777" w:rsidR="004E1D7E" w:rsidRPr="008A1DB4" w:rsidRDefault="004E1D7E" w:rsidP="000E42B1">
      <w:pPr>
        <w:rPr>
          <w:spacing w:val="-2"/>
          <w:lang w:val="en-US"/>
        </w:rPr>
      </w:pPr>
    </w:p>
    <w:p w14:paraId="37F7DBE2" w14:textId="74DA5069" w:rsidR="004E1D7E" w:rsidRPr="008A1DB4" w:rsidRDefault="00F36400" w:rsidP="00956E97">
      <w:pPr>
        <w:pStyle w:val="PrrafodeSentencia"/>
        <w:rPr>
          <w:rFonts w:cs="Verdana"/>
          <w:spacing w:val="-2"/>
          <w:lang w:val="en-US"/>
        </w:rPr>
      </w:pPr>
      <w:r w:rsidRPr="008A1DB4">
        <w:rPr>
          <w:spacing w:val="-2"/>
          <w:lang w:val="en-US"/>
        </w:rPr>
        <w:lastRenderedPageBreak/>
        <w:t>The Court</w:t>
      </w:r>
      <w:r w:rsidR="004E1D7E" w:rsidRPr="008A1DB4">
        <w:rPr>
          <w:spacing w:val="-2"/>
          <w:lang w:val="en-US"/>
        </w:rPr>
        <w:t xml:space="preserve"> rec</w:t>
      </w:r>
      <w:r w:rsidR="000E42B1" w:rsidRPr="008A1DB4">
        <w:rPr>
          <w:spacing w:val="-2"/>
          <w:lang w:val="en-US"/>
        </w:rPr>
        <w:t xml:space="preserve">alls that the rule of prior </w:t>
      </w:r>
      <w:r w:rsidR="008A1DB4" w:rsidRPr="008A1DB4">
        <w:rPr>
          <w:spacing w:val="-2"/>
          <w:lang w:val="en-US"/>
        </w:rPr>
        <w:t>exhaustion</w:t>
      </w:r>
      <w:r w:rsidR="003E7B0D">
        <w:rPr>
          <w:spacing w:val="-2"/>
          <w:lang w:val="en-US"/>
        </w:rPr>
        <w:t xml:space="preserve"> of domestic remedies wa</w:t>
      </w:r>
      <w:r w:rsidR="000E42B1" w:rsidRPr="008A1DB4">
        <w:rPr>
          <w:spacing w:val="-2"/>
          <w:lang w:val="en-US"/>
        </w:rPr>
        <w:t>s conceived in the interests of the State, because it seeks to exempt it from responding before an international organ for acts it is accused of before it has had the occasion to remedy them by its own means.</w:t>
      </w:r>
      <w:r w:rsidR="004E1D7E" w:rsidRPr="008A1DB4">
        <w:rPr>
          <w:rStyle w:val="FootnoteReference"/>
          <w:spacing w:val="-2"/>
          <w:lang w:val="en-US"/>
        </w:rPr>
        <w:footnoteReference w:id="16"/>
      </w:r>
      <w:r w:rsidR="000E42B1" w:rsidRPr="008A1DB4">
        <w:rPr>
          <w:spacing w:val="-2"/>
          <w:lang w:val="en-US"/>
        </w:rPr>
        <w:t xml:space="preserve"> Nevertheless, the </w:t>
      </w:r>
      <w:r w:rsidR="008A1DB4" w:rsidRPr="008A1DB4">
        <w:rPr>
          <w:spacing w:val="-2"/>
          <w:lang w:val="en-US"/>
        </w:rPr>
        <w:t>subsidiary</w:t>
      </w:r>
      <w:r w:rsidR="000E42B1" w:rsidRPr="008A1DB4">
        <w:rPr>
          <w:spacing w:val="-2"/>
          <w:lang w:val="en-US"/>
        </w:rPr>
        <w:t xml:space="preserve"> nature of the inter-American system is not affected by the fact that the analysis of compliance with the requirement of exhaustion of </w:t>
      </w:r>
      <w:r w:rsidR="008A1DB4" w:rsidRPr="008A1DB4">
        <w:rPr>
          <w:spacing w:val="-2"/>
          <w:lang w:val="en-US"/>
        </w:rPr>
        <w:t>domestic</w:t>
      </w:r>
      <w:r w:rsidR="000E42B1" w:rsidRPr="008A1DB4">
        <w:rPr>
          <w:spacing w:val="-2"/>
          <w:lang w:val="en-US"/>
        </w:rPr>
        <w:t xml:space="preserve"> remedies is made based on the situation</w:t>
      </w:r>
      <w:r w:rsidR="003E7B0D">
        <w:rPr>
          <w:spacing w:val="-2"/>
          <w:lang w:val="en-US"/>
        </w:rPr>
        <w:t xml:space="preserve"> when a decision is taken on a petition’s</w:t>
      </w:r>
      <w:r w:rsidR="000E42B1" w:rsidRPr="008A1DB4">
        <w:rPr>
          <w:spacing w:val="-2"/>
          <w:lang w:val="en-US"/>
        </w:rPr>
        <w:t xml:space="preserve"> admissibility. To the contrary, if any domestic remedy is pending, the State has the opportunity to resolve the situation alleged during the admissibility stage.</w:t>
      </w:r>
    </w:p>
    <w:p w14:paraId="3ABB3855" w14:textId="77777777" w:rsidR="004E1D7E" w:rsidRPr="008A1DB4" w:rsidRDefault="004E1D7E" w:rsidP="00956E97">
      <w:pPr>
        <w:pStyle w:val="ListParagraph"/>
        <w:rPr>
          <w:rFonts w:cs="Verdana"/>
          <w:spacing w:val="-2"/>
          <w:szCs w:val="20"/>
          <w:lang w:val="en-US" w:eastAsia="es-MX"/>
        </w:rPr>
      </w:pPr>
    </w:p>
    <w:p w14:paraId="3B6CD671" w14:textId="123C211C" w:rsidR="004E1D7E" w:rsidRPr="00883217" w:rsidRDefault="00631F9C" w:rsidP="00883217">
      <w:pPr>
        <w:pStyle w:val="PrrafodeSentencia"/>
        <w:rPr>
          <w:spacing w:val="-2"/>
          <w:lang w:val="en-US"/>
        </w:rPr>
      </w:pPr>
      <w:r w:rsidRPr="008A1DB4">
        <w:rPr>
          <w:spacing w:val="-2"/>
          <w:lang w:val="en-US"/>
        </w:rPr>
        <w:t xml:space="preserve">In addition, the </w:t>
      </w:r>
      <w:r w:rsidR="008A1DB4">
        <w:rPr>
          <w:spacing w:val="-2"/>
          <w:lang w:val="en-US"/>
        </w:rPr>
        <w:t>C</w:t>
      </w:r>
      <w:r w:rsidRPr="008A1DB4">
        <w:rPr>
          <w:spacing w:val="-2"/>
          <w:lang w:val="en-US"/>
        </w:rPr>
        <w:t xml:space="preserve">ourt considers that it would be contrary to the principle of procedural economy </w:t>
      </w:r>
      <w:r w:rsidR="003E7B0D">
        <w:rPr>
          <w:spacing w:val="-2"/>
          <w:lang w:val="en-US"/>
        </w:rPr>
        <w:t>if</w:t>
      </w:r>
      <w:r w:rsidRPr="008A1DB4">
        <w:rPr>
          <w:spacing w:val="-2"/>
          <w:lang w:val="en-US"/>
        </w:rPr>
        <w:t xml:space="preserve"> petitions were not admitted based on the fact that, at the </w:t>
      </w:r>
      <w:r w:rsidR="003E7B0D">
        <w:rPr>
          <w:spacing w:val="-2"/>
          <w:lang w:val="en-US"/>
        </w:rPr>
        <w:t>time</w:t>
      </w:r>
      <w:r w:rsidRPr="008A1DB4">
        <w:rPr>
          <w:spacing w:val="-2"/>
          <w:lang w:val="en-US"/>
        </w:rPr>
        <w:t xml:space="preserve"> of the initial presentation, domestic </w:t>
      </w:r>
      <w:r w:rsidR="003E7B0D">
        <w:rPr>
          <w:spacing w:val="-2"/>
          <w:lang w:val="en-US"/>
        </w:rPr>
        <w:t>remedies had not been exhausted</w:t>
      </w:r>
      <w:r w:rsidRPr="008A1DB4">
        <w:rPr>
          <w:spacing w:val="-2"/>
          <w:lang w:val="en-US"/>
        </w:rPr>
        <w:t xml:space="preserve"> </w:t>
      </w:r>
      <w:r w:rsidR="003E7B0D">
        <w:rPr>
          <w:spacing w:val="-2"/>
          <w:lang w:val="en-US"/>
        </w:rPr>
        <w:t xml:space="preserve">and </w:t>
      </w:r>
      <w:r w:rsidRPr="008A1DB4">
        <w:rPr>
          <w:spacing w:val="-2"/>
          <w:lang w:val="en-US"/>
        </w:rPr>
        <w:t>if, when the admissibility of these remedies was analyzed, they had already been exhausted. T</w:t>
      </w:r>
      <w:r w:rsidR="00F36400" w:rsidRPr="008A1DB4">
        <w:rPr>
          <w:spacing w:val="-2"/>
          <w:lang w:val="en-US"/>
        </w:rPr>
        <w:t xml:space="preserve">he </w:t>
      </w:r>
      <w:r w:rsidRPr="008A1DB4">
        <w:rPr>
          <w:spacing w:val="-2"/>
          <w:lang w:val="en-US"/>
        </w:rPr>
        <w:t>European Court of Human Rights</w:t>
      </w:r>
      <w:r w:rsidR="000006EE" w:rsidRPr="008A1DB4">
        <w:rPr>
          <w:spacing w:val="-2"/>
          <w:lang w:val="en-US"/>
        </w:rPr>
        <w:t xml:space="preserve"> (</w:t>
      </w:r>
      <w:r w:rsidR="00F36400" w:rsidRPr="008A1DB4">
        <w:rPr>
          <w:spacing w:val="-2"/>
          <w:lang w:val="en-US"/>
        </w:rPr>
        <w:t>hereinafter</w:t>
      </w:r>
      <w:r w:rsidR="000006EE" w:rsidRPr="008A1DB4">
        <w:rPr>
          <w:spacing w:val="-2"/>
          <w:lang w:val="en-US"/>
        </w:rPr>
        <w:t xml:space="preserve"> “</w:t>
      </w:r>
      <w:r w:rsidR="00F36400" w:rsidRPr="008A1DB4">
        <w:rPr>
          <w:spacing w:val="-2"/>
          <w:lang w:val="en-US"/>
        </w:rPr>
        <w:t xml:space="preserve">the </w:t>
      </w:r>
      <w:r w:rsidRPr="008A1DB4">
        <w:rPr>
          <w:spacing w:val="-2"/>
          <w:lang w:val="en-US"/>
        </w:rPr>
        <w:t>European Court</w:t>
      </w:r>
      <w:r w:rsidR="000006EE" w:rsidRPr="008A1DB4">
        <w:rPr>
          <w:spacing w:val="-2"/>
          <w:lang w:val="en-US"/>
        </w:rPr>
        <w:t xml:space="preserve">”) </w:t>
      </w:r>
      <w:r w:rsidRPr="008A1DB4">
        <w:rPr>
          <w:spacing w:val="-2"/>
          <w:lang w:val="en-US"/>
        </w:rPr>
        <w:t>has</w:t>
      </w:r>
      <w:r w:rsidR="008A1DB4">
        <w:rPr>
          <w:spacing w:val="-2"/>
          <w:lang w:val="en-US"/>
        </w:rPr>
        <w:t xml:space="preserve"> r</w:t>
      </w:r>
      <w:r w:rsidR="008A1DB4" w:rsidRPr="00883217">
        <w:rPr>
          <w:spacing w:val="-2"/>
          <w:lang w:val="en-US"/>
        </w:rPr>
        <w:t>uled similarly in some cases</w:t>
      </w:r>
      <w:r w:rsidRPr="00883217">
        <w:rPr>
          <w:spacing w:val="-2"/>
          <w:lang w:val="en-US"/>
        </w:rPr>
        <w:t>,</w:t>
      </w:r>
      <w:r w:rsidR="00D534D4" w:rsidRPr="008A1DB4">
        <w:rPr>
          <w:rStyle w:val="FootnoteReference"/>
          <w:spacing w:val="-2"/>
          <w:lang w:val="en-US"/>
        </w:rPr>
        <w:footnoteReference w:id="17"/>
      </w:r>
      <w:r w:rsidRPr="00883217">
        <w:rPr>
          <w:spacing w:val="-2"/>
          <w:lang w:val="en-US"/>
        </w:rPr>
        <w:t xml:space="preserve"> as has </w:t>
      </w:r>
      <w:r w:rsidR="00F36400" w:rsidRPr="00883217">
        <w:rPr>
          <w:spacing w:val="-2"/>
          <w:lang w:val="en-US"/>
        </w:rPr>
        <w:t xml:space="preserve">the </w:t>
      </w:r>
      <w:r w:rsidRPr="00883217">
        <w:rPr>
          <w:spacing w:val="-2"/>
          <w:lang w:val="en-US"/>
        </w:rPr>
        <w:t>International Court of Justice</w:t>
      </w:r>
      <w:r w:rsidR="00520F5A" w:rsidRPr="00883217">
        <w:rPr>
          <w:spacing w:val="-2"/>
          <w:lang w:val="en-US"/>
        </w:rPr>
        <w:t xml:space="preserve"> </w:t>
      </w:r>
      <w:r w:rsidRPr="00883217">
        <w:rPr>
          <w:spacing w:val="-2"/>
          <w:lang w:val="en-US"/>
        </w:rPr>
        <w:t>in relation to access to its jurisdiction.</w:t>
      </w:r>
      <w:r w:rsidR="008F27F4" w:rsidRPr="008A1DB4">
        <w:rPr>
          <w:rStyle w:val="FootnoteReference"/>
          <w:spacing w:val="-2"/>
          <w:lang w:val="en-US"/>
        </w:rPr>
        <w:footnoteReference w:id="18"/>
      </w:r>
    </w:p>
    <w:p w14:paraId="596B846A" w14:textId="77777777" w:rsidR="00193A52" w:rsidRPr="008A1DB4" w:rsidRDefault="00193A52" w:rsidP="00956E97">
      <w:pPr>
        <w:pStyle w:val="ListParagraph"/>
        <w:tabs>
          <w:tab w:val="left" w:pos="567"/>
        </w:tabs>
        <w:ind w:left="0"/>
        <w:rPr>
          <w:rFonts w:cs="Verdana"/>
          <w:b/>
          <w:color w:val="7030A0"/>
          <w:spacing w:val="-2"/>
          <w:szCs w:val="20"/>
          <w:lang w:val="en-US" w:eastAsia="es-MX"/>
        </w:rPr>
      </w:pPr>
    </w:p>
    <w:p w14:paraId="576F205C" w14:textId="291361B2" w:rsidR="00A73F1D" w:rsidRPr="008A1DB4" w:rsidRDefault="008601B6" w:rsidP="008601B6">
      <w:pPr>
        <w:pStyle w:val="PrrafodeSentencia"/>
        <w:rPr>
          <w:spacing w:val="-2"/>
          <w:lang w:val="en-US"/>
        </w:rPr>
      </w:pPr>
      <w:r w:rsidRPr="008A1DB4">
        <w:rPr>
          <w:spacing w:val="-2"/>
          <w:lang w:val="en-US"/>
        </w:rPr>
        <w:t xml:space="preserve">On the second point alleged by the State, the Court notes that, at the admissibility stage of the petition, two applications for </w:t>
      </w:r>
      <w:r w:rsidR="00E022F9" w:rsidRPr="008A1DB4">
        <w:rPr>
          <w:i/>
          <w:spacing w:val="-2"/>
          <w:lang w:val="en-US"/>
        </w:rPr>
        <w:t>habeas corpus</w:t>
      </w:r>
      <w:r w:rsidRPr="008A1DB4">
        <w:rPr>
          <w:spacing w:val="-2"/>
          <w:lang w:val="en-US"/>
        </w:rPr>
        <w:t xml:space="preserve"> had been filed and decided in relation to the “certain and imminent threat of violation of the right</w:t>
      </w:r>
      <w:r w:rsidR="003E7B0D">
        <w:rPr>
          <w:spacing w:val="-2"/>
          <w:lang w:val="en-US"/>
        </w:rPr>
        <w:t>s</w:t>
      </w:r>
      <w:r w:rsidRPr="008A1DB4">
        <w:rPr>
          <w:spacing w:val="-2"/>
          <w:lang w:val="en-US"/>
        </w:rPr>
        <w:t xml:space="preserve"> to life and personal integrity of </w:t>
      </w:r>
      <w:r w:rsidR="001A6F6D" w:rsidRPr="008A1DB4">
        <w:rPr>
          <w:spacing w:val="-2"/>
          <w:lang w:val="en-US"/>
        </w:rPr>
        <w:t>Wong Ho Wing” (</w:t>
      </w:r>
      <w:r w:rsidR="001A6F6D" w:rsidRPr="008A1DB4">
        <w:rPr>
          <w:i/>
          <w:spacing w:val="-2"/>
          <w:lang w:val="en-US"/>
        </w:rPr>
        <w:t>infra</w:t>
      </w:r>
      <w:r w:rsidR="001A6F6D" w:rsidRPr="008A1DB4">
        <w:rPr>
          <w:spacing w:val="-2"/>
          <w:lang w:val="en-US"/>
        </w:rPr>
        <w:t xml:space="preserve"> </w:t>
      </w:r>
      <w:r w:rsidR="00631F9C" w:rsidRPr="008A1DB4">
        <w:rPr>
          <w:spacing w:val="-2"/>
          <w:lang w:val="en-US"/>
        </w:rPr>
        <w:t>paras.</w:t>
      </w:r>
      <w:r w:rsidR="001A6F6D" w:rsidRPr="008A1DB4">
        <w:rPr>
          <w:spacing w:val="-2"/>
          <w:lang w:val="en-US"/>
        </w:rPr>
        <w:t xml:space="preserve"> </w:t>
      </w:r>
      <w:r w:rsidR="001A6F6D" w:rsidRPr="008A1DB4">
        <w:rPr>
          <w:spacing w:val="-2"/>
          <w:lang w:val="en-US"/>
        </w:rPr>
        <w:fldChar w:fldCharType="begin"/>
      </w:r>
      <w:r w:rsidR="001A6F6D" w:rsidRPr="008A1DB4">
        <w:rPr>
          <w:spacing w:val="-2"/>
          <w:lang w:val="en-US"/>
        </w:rPr>
        <w:instrText xml:space="preserve"> REF _Ref418911463 \r \h  \* MERGEFORMAT </w:instrText>
      </w:r>
      <w:r w:rsidR="001A6F6D" w:rsidRPr="008A1DB4">
        <w:rPr>
          <w:spacing w:val="-2"/>
          <w:lang w:val="en-US"/>
        </w:rPr>
      </w:r>
      <w:r w:rsidR="001A6F6D" w:rsidRPr="008A1DB4">
        <w:rPr>
          <w:spacing w:val="-2"/>
          <w:lang w:val="en-US"/>
        </w:rPr>
        <w:fldChar w:fldCharType="separate"/>
      </w:r>
      <w:r w:rsidR="00E961FA" w:rsidRPr="008A1DB4">
        <w:rPr>
          <w:spacing w:val="-2"/>
          <w:lang w:val="en-US"/>
        </w:rPr>
        <w:t>65</w:t>
      </w:r>
      <w:r w:rsidR="001A6F6D" w:rsidRPr="008A1DB4">
        <w:rPr>
          <w:spacing w:val="-2"/>
          <w:lang w:val="en-US"/>
        </w:rPr>
        <w:fldChar w:fldCharType="end"/>
      </w:r>
      <w:r w:rsidR="00F36400" w:rsidRPr="008A1DB4">
        <w:rPr>
          <w:spacing w:val="-2"/>
          <w:lang w:val="en-US"/>
        </w:rPr>
        <w:t xml:space="preserve"> and </w:t>
      </w:r>
      <w:r w:rsidR="001A6F6D" w:rsidRPr="008A1DB4">
        <w:rPr>
          <w:spacing w:val="-2"/>
          <w:lang w:val="en-US"/>
        </w:rPr>
        <w:fldChar w:fldCharType="begin"/>
      </w:r>
      <w:r w:rsidR="001A6F6D" w:rsidRPr="008A1DB4">
        <w:rPr>
          <w:spacing w:val="-2"/>
          <w:lang w:val="en-US"/>
        </w:rPr>
        <w:instrText xml:space="preserve"> REF _Ref418911444 \r \h  \* MERGEFORMAT </w:instrText>
      </w:r>
      <w:r w:rsidR="001A6F6D" w:rsidRPr="008A1DB4">
        <w:rPr>
          <w:spacing w:val="-2"/>
          <w:lang w:val="en-US"/>
        </w:rPr>
      </w:r>
      <w:r w:rsidR="001A6F6D" w:rsidRPr="008A1DB4">
        <w:rPr>
          <w:spacing w:val="-2"/>
          <w:lang w:val="en-US"/>
        </w:rPr>
        <w:fldChar w:fldCharType="separate"/>
      </w:r>
      <w:r w:rsidR="00E961FA" w:rsidRPr="008A1DB4">
        <w:rPr>
          <w:spacing w:val="-2"/>
          <w:lang w:val="en-US"/>
        </w:rPr>
        <w:t>74</w:t>
      </w:r>
      <w:r w:rsidR="001A6F6D" w:rsidRPr="008A1DB4">
        <w:rPr>
          <w:spacing w:val="-2"/>
          <w:lang w:val="en-US"/>
        </w:rPr>
        <w:fldChar w:fldCharType="end"/>
      </w:r>
      <w:r w:rsidR="001A6F6D" w:rsidRPr="008A1DB4">
        <w:rPr>
          <w:spacing w:val="-2"/>
          <w:lang w:val="en-US"/>
        </w:rPr>
        <w:t>)</w:t>
      </w:r>
      <w:r w:rsidR="00F36400" w:rsidRPr="008A1DB4">
        <w:rPr>
          <w:spacing w:val="-2"/>
          <w:lang w:val="en-US"/>
        </w:rPr>
        <w:t xml:space="preserve"> and </w:t>
      </w:r>
      <w:r w:rsidRPr="008A1DB4">
        <w:rPr>
          <w:spacing w:val="-2"/>
          <w:lang w:val="en-US"/>
        </w:rPr>
        <w:t xml:space="preserve">a </w:t>
      </w:r>
      <w:r w:rsidR="00A33F97" w:rsidRPr="008A1DB4">
        <w:rPr>
          <w:spacing w:val="-2"/>
          <w:lang w:val="en-US"/>
        </w:rPr>
        <w:t>decision</w:t>
      </w:r>
      <w:r w:rsidRPr="008A1DB4">
        <w:rPr>
          <w:spacing w:val="-2"/>
          <w:lang w:val="en-US"/>
        </w:rPr>
        <w:t xml:space="preserve"> was pending on a third application for </w:t>
      </w:r>
      <w:r w:rsidR="00E022F9" w:rsidRPr="008A1DB4">
        <w:rPr>
          <w:i/>
          <w:spacing w:val="-2"/>
          <w:lang w:val="en-US"/>
        </w:rPr>
        <w:t>habeas corpus</w:t>
      </w:r>
      <w:r w:rsidRPr="008A1DB4">
        <w:rPr>
          <w:spacing w:val="-2"/>
          <w:lang w:val="en-US"/>
        </w:rPr>
        <w:t xml:space="preserve"> filed by the </w:t>
      </w:r>
      <w:r w:rsidR="00F36400" w:rsidRPr="008A1DB4">
        <w:rPr>
          <w:spacing w:val="-2"/>
          <w:lang w:val="en-US"/>
        </w:rPr>
        <w:t xml:space="preserve">presumed victim and </w:t>
      </w:r>
      <w:r w:rsidRPr="008A1DB4">
        <w:rPr>
          <w:spacing w:val="-2"/>
          <w:lang w:val="en-US"/>
        </w:rPr>
        <w:t>his representative</w:t>
      </w:r>
      <w:r w:rsidR="00C10077" w:rsidRPr="008A1DB4">
        <w:rPr>
          <w:spacing w:val="-2"/>
          <w:lang w:val="en-US"/>
        </w:rPr>
        <w:t xml:space="preserve"> (</w:t>
      </w:r>
      <w:r w:rsidR="00C10077" w:rsidRPr="008A1DB4">
        <w:rPr>
          <w:i/>
          <w:spacing w:val="-2"/>
          <w:lang w:val="en-US"/>
        </w:rPr>
        <w:t>infra</w:t>
      </w:r>
      <w:r w:rsidR="00C10077"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_Ref418911268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79</w:t>
      </w:r>
      <w:r w:rsidR="00BE2225" w:rsidRPr="008A1DB4">
        <w:rPr>
          <w:spacing w:val="-2"/>
          <w:lang w:val="en-US"/>
        </w:rPr>
        <w:fldChar w:fldCharType="end"/>
      </w:r>
      <w:r w:rsidR="00C10077" w:rsidRPr="008A1DB4">
        <w:rPr>
          <w:spacing w:val="-2"/>
          <w:lang w:val="en-US"/>
        </w:rPr>
        <w:t xml:space="preserve">). </w:t>
      </w:r>
      <w:r w:rsidRPr="008A1DB4">
        <w:rPr>
          <w:spacing w:val="-2"/>
          <w:lang w:val="en-US"/>
        </w:rPr>
        <w:t xml:space="preserve">These applications for </w:t>
      </w:r>
      <w:r w:rsidR="00E022F9" w:rsidRPr="008A1DB4">
        <w:rPr>
          <w:i/>
          <w:spacing w:val="-2"/>
          <w:lang w:val="en-US"/>
        </w:rPr>
        <w:t>habeas corpus</w:t>
      </w:r>
      <w:r w:rsidRPr="008A1DB4">
        <w:rPr>
          <w:spacing w:val="-2"/>
          <w:lang w:val="en-US"/>
        </w:rPr>
        <w:t xml:space="preserve"> were filed in parallel to the extradition proce</w:t>
      </w:r>
      <w:r w:rsidR="003E7B0D">
        <w:rPr>
          <w:spacing w:val="-2"/>
          <w:lang w:val="en-US"/>
        </w:rPr>
        <w:t>edings</w:t>
      </w:r>
      <w:r w:rsidRPr="008A1DB4">
        <w:rPr>
          <w:spacing w:val="-2"/>
          <w:lang w:val="en-US"/>
        </w:rPr>
        <w:t xml:space="preserve"> and could be appropriate </w:t>
      </w:r>
      <w:r w:rsidR="003E7B0D">
        <w:rPr>
          <w:spacing w:val="-2"/>
          <w:lang w:val="en-US"/>
        </w:rPr>
        <w:t>as regards</w:t>
      </w:r>
      <w:r w:rsidRPr="008A1DB4">
        <w:rPr>
          <w:spacing w:val="-2"/>
          <w:lang w:val="en-US"/>
        </w:rPr>
        <w:t xml:space="preserve"> some of the alleged violations. However, the Court stresses that the application for </w:t>
      </w:r>
      <w:r w:rsidR="00E022F9" w:rsidRPr="008A1DB4">
        <w:rPr>
          <w:i/>
          <w:spacing w:val="-2"/>
          <w:lang w:val="en-US"/>
        </w:rPr>
        <w:t>habeas corpus</w:t>
      </w:r>
      <w:r w:rsidRPr="008A1DB4">
        <w:rPr>
          <w:spacing w:val="-2"/>
          <w:lang w:val="en-US"/>
        </w:rPr>
        <w:t xml:space="preserve"> is not part of the regular extradition process in Peru</w:t>
      </w:r>
      <w:r w:rsidR="00EE3BF9" w:rsidRPr="008A1DB4">
        <w:rPr>
          <w:rStyle w:val="FootnoteReference"/>
          <w:spacing w:val="-2"/>
          <w:lang w:val="en-US"/>
        </w:rPr>
        <w:footnoteReference w:id="19"/>
      </w:r>
      <w:r w:rsidR="00F36400" w:rsidRPr="008A1DB4">
        <w:rPr>
          <w:spacing w:val="-2"/>
          <w:lang w:val="en-US"/>
        </w:rPr>
        <w:t xml:space="preserve"> and</w:t>
      </w:r>
      <w:r w:rsidRPr="008A1DB4">
        <w:rPr>
          <w:spacing w:val="-2"/>
          <w:lang w:val="en-US"/>
        </w:rPr>
        <w:t xml:space="preserve">, thus, the filing of additional remedies by the petitioner could not </w:t>
      </w:r>
      <w:r w:rsidR="003E7B0D">
        <w:rPr>
          <w:spacing w:val="-2"/>
          <w:lang w:val="en-US"/>
        </w:rPr>
        <w:t>preclude</w:t>
      </w:r>
      <w:r w:rsidRPr="008A1DB4">
        <w:rPr>
          <w:spacing w:val="-2"/>
          <w:lang w:val="en-US"/>
        </w:rPr>
        <w:t xml:space="preserve"> access to inter-American justice.</w:t>
      </w:r>
    </w:p>
    <w:p w14:paraId="4EE0237F" w14:textId="77777777" w:rsidR="00455F73" w:rsidRPr="008A1DB4" w:rsidRDefault="00455F73" w:rsidP="00956E97">
      <w:pPr>
        <w:pStyle w:val="ListParagraph"/>
        <w:rPr>
          <w:rFonts w:cs="Verdana"/>
          <w:spacing w:val="-2"/>
          <w:szCs w:val="20"/>
          <w:lang w:val="en-US" w:eastAsia="es-MX"/>
        </w:rPr>
      </w:pPr>
    </w:p>
    <w:p w14:paraId="07BEA75E" w14:textId="2415B542" w:rsidR="00E10938" w:rsidRPr="008A1DB4" w:rsidRDefault="008601B6" w:rsidP="00956E97">
      <w:pPr>
        <w:pStyle w:val="PrrafodeSentencia"/>
        <w:rPr>
          <w:spacing w:val="-2"/>
          <w:lang w:val="en-US"/>
        </w:rPr>
      </w:pPr>
      <w:bookmarkStart w:id="271" w:name="_Ref419395302"/>
      <w:r w:rsidRPr="008A1DB4">
        <w:rPr>
          <w:spacing w:val="-2"/>
          <w:lang w:val="en-US"/>
        </w:rPr>
        <w:t xml:space="preserve">Based on the foregoing </w:t>
      </w:r>
      <w:r w:rsidR="00A836C4" w:rsidRPr="008A1DB4">
        <w:rPr>
          <w:spacing w:val="-2"/>
          <w:lang w:val="en-US"/>
        </w:rPr>
        <w:t>considerations</w:t>
      </w:r>
      <w:r w:rsidRPr="008A1DB4">
        <w:rPr>
          <w:spacing w:val="-2"/>
          <w:lang w:val="en-US"/>
        </w:rPr>
        <w:t>, the</w:t>
      </w:r>
      <w:r w:rsidR="00F36400" w:rsidRPr="008A1DB4">
        <w:rPr>
          <w:spacing w:val="-2"/>
          <w:lang w:val="en-US"/>
        </w:rPr>
        <w:t xml:space="preserve"> Court</w:t>
      </w:r>
      <w:r w:rsidR="004E1D7E" w:rsidRPr="008A1DB4">
        <w:rPr>
          <w:spacing w:val="-2"/>
          <w:lang w:val="en-US"/>
        </w:rPr>
        <w:t xml:space="preserve"> </w:t>
      </w:r>
      <w:r w:rsidRPr="008A1DB4">
        <w:rPr>
          <w:spacing w:val="-2"/>
          <w:lang w:val="en-US"/>
        </w:rPr>
        <w:t>finds it unnecessary to d</w:t>
      </w:r>
      <w:r w:rsidR="009655A4">
        <w:rPr>
          <w:spacing w:val="-2"/>
          <w:lang w:val="en-US"/>
        </w:rPr>
        <w:t>iverge</w:t>
      </w:r>
      <w:r w:rsidRPr="008A1DB4">
        <w:rPr>
          <w:spacing w:val="-2"/>
          <w:lang w:val="en-US"/>
        </w:rPr>
        <w:t xml:space="preserve"> from the opinion indicated by </w:t>
      </w:r>
      <w:r w:rsidR="00F36400" w:rsidRPr="008A1DB4">
        <w:rPr>
          <w:spacing w:val="-2"/>
          <w:lang w:val="en-US"/>
        </w:rPr>
        <w:t>the Commission</w:t>
      </w:r>
      <w:r w:rsidR="004E1D7E" w:rsidRPr="008A1DB4">
        <w:rPr>
          <w:spacing w:val="-2"/>
          <w:lang w:val="en-US"/>
        </w:rPr>
        <w:t xml:space="preserve"> </w:t>
      </w:r>
      <w:r w:rsidRPr="008A1DB4">
        <w:rPr>
          <w:spacing w:val="-2"/>
          <w:lang w:val="en-US"/>
        </w:rPr>
        <w:t>in its</w:t>
      </w:r>
      <w:r w:rsidR="004E1D7E" w:rsidRPr="008A1DB4">
        <w:rPr>
          <w:spacing w:val="-2"/>
          <w:lang w:val="en-US"/>
        </w:rPr>
        <w:t xml:space="preserve"> </w:t>
      </w:r>
      <w:r w:rsidR="00F36400" w:rsidRPr="008A1DB4">
        <w:rPr>
          <w:spacing w:val="-2"/>
          <w:lang w:val="en-US"/>
        </w:rPr>
        <w:t>Admissibility Report</w:t>
      </w:r>
      <w:r w:rsidR="004E1D7E" w:rsidRPr="008A1DB4">
        <w:rPr>
          <w:spacing w:val="-2"/>
          <w:lang w:val="en-US"/>
        </w:rPr>
        <w:t xml:space="preserve"> </w:t>
      </w:r>
      <w:r w:rsidRPr="008A1DB4">
        <w:rPr>
          <w:spacing w:val="-2"/>
          <w:lang w:val="en-US"/>
        </w:rPr>
        <w:t xml:space="preserve">in this case. Consequently, the Court rejects the </w:t>
      </w:r>
      <w:r w:rsidR="00C45946" w:rsidRPr="008A1DB4">
        <w:rPr>
          <w:spacing w:val="-2"/>
          <w:lang w:val="en-US"/>
        </w:rPr>
        <w:t>preliminary objection</w:t>
      </w:r>
      <w:r w:rsidR="004E1D7E" w:rsidRPr="008A1DB4">
        <w:rPr>
          <w:spacing w:val="-2"/>
          <w:lang w:val="en-US"/>
        </w:rPr>
        <w:t>.</w:t>
      </w:r>
      <w:bookmarkEnd w:id="271"/>
    </w:p>
    <w:p w14:paraId="382767AA" w14:textId="77777777" w:rsidR="00C96E8D" w:rsidRPr="008A1DB4" w:rsidRDefault="00C96E8D" w:rsidP="00956E97">
      <w:pPr>
        <w:autoSpaceDE w:val="0"/>
        <w:autoSpaceDN w:val="0"/>
        <w:adjustRightInd w:val="0"/>
        <w:rPr>
          <w:rFonts w:eastAsia="Calibri" w:cs="Verdana"/>
          <w:spacing w:val="-2"/>
          <w:szCs w:val="20"/>
          <w:lang w:val="en-US" w:eastAsia="en-US"/>
        </w:rPr>
      </w:pPr>
      <w:bookmarkStart w:id="272" w:name="_Toc359314426"/>
      <w:bookmarkStart w:id="273" w:name="_Toc361671576"/>
      <w:bookmarkStart w:id="274" w:name="_Toc361671996"/>
      <w:bookmarkStart w:id="275" w:name="_Toc361732793"/>
      <w:bookmarkStart w:id="276" w:name="_Toc361732836"/>
      <w:bookmarkStart w:id="277" w:name="_Toc362456867"/>
      <w:bookmarkStart w:id="278" w:name="_Toc365021396"/>
      <w:bookmarkStart w:id="279" w:name="_Toc400118178"/>
      <w:bookmarkStart w:id="280" w:name="_Toc369076782"/>
      <w:bookmarkStart w:id="281" w:name="_Toc369989374"/>
      <w:bookmarkStart w:id="282" w:name="_Toc369989461"/>
      <w:bookmarkStart w:id="283" w:name="_Toc369989742"/>
    </w:p>
    <w:p w14:paraId="5AC0A62B" w14:textId="77777777" w:rsidR="00C67AA7" w:rsidRPr="008A1DB4" w:rsidRDefault="00C67AA7" w:rsidP="00956E97">
      <w:pPr>
        <w:pStyle w:val="Title"/>
        <w:rPr>
          <w:spacing w:val="-2"/>
          <w:lang w:val="en-US"/>
        </w:rPr>
      </w:pPr>
      <w:bookmarkStart w:id="284" w:name="_Toc418912590"/>
      <w:bookmarkStart w:id="285" w:name="_Toc419394372"/>
      <w:bookmarkStart w:id="286" w:name="_Toc429490238"/>
      <w:bookmarkStart w:id="287" w:name="_Toc429503750"/>
      <w:bookmarkStart w:id="288" w:name="_Toc429504256"/>
      <w:bookmarkStart w:id="289" w:name="_Toc429677969"/>
      <w:bookmarkStart w:id="290" w:name="_Toc430017132"/>
      <w:bookmarkStart w:id="291" w:name="_Toc430017361"/>
      <w:bookmarkStart w:id="292" w:name="_Toc430018643"/>
      <w:bookmarkStart w:id="293" w:name="_Toc430125241"/>
      <w:bookmarkStart w:id="294" w:name="_Toc430125349"/>
      <w:r w:rsidRPr="008A1DB4">
        <w:rPr>
          <w:spacing w:val="-2"/>
          <w:lang w:val="en-US"/>
        </w:rPr>
        <w:t>V</w:t>
      </w:r>
      <w:bookmarkEnd w:id="284"/>
      <w:bookmarkEnd w:id="285"/>
      <w:bookmarkEnd w:id="286"/>
      <w:bookmarkEnd w:id="287"/>
      <w:bookmarkEnd w:id="288"/>
      <w:bookmarkEnd w:id="289"/>
      <w:bookmarkEnd w:id="290"/>
      <w:bookmarkEnd w:id="291"/>
      <w:bookmarkEnd w:id="292"/>
      <w:bookmarkEnd w:id="293"/>
      <w:bookmarkEnd w:id="294"/>
    </w:p>
    <w:p w14:paraId="2BB3AF6A" w14:textId="3C6BEC2D" w:rsidR="00C67AA7" w:rsidRPr="008A1DB4" w:rsidRDefault="00C45946" w:rsidP="00956E97">
      <w:pPr>
        <w:pStyle w:val="Title"/>
        <w:rPr>
          <w:spacing w:val="-2"/>
          <w:lang w:val="en-US"/>
        </w:rPr>
      </w:pPr>
      <w:r w:rsidRPr="008A1DB4">
        <w:rPr>
          <w:spacing w:val="-2"/>
          <w:lang w:val="en-US"/>
        </w:rPr>
        <w:t>PROVISIONAL MEASURES</w:t>
      </w:r>
    </w:p>
    <w:p w14:paraId="275D4FA6" w14:textId="77777777" w:rsidR="00A83878" w:rsidRPr="008A1DB4" w:rsidRDefault="00A83878" w:rsidP="00956E97">
      <w:pPr>
        <w:rPr>
          <w:spacing w:val="-2"/>
          <w:lang w:val="en-US"/>
        </w:rPr>
      </w:pPr>
    </w:p>
    <w:p w14:paraId="41C55A7D" w14:textId="5167875D" w:rsidR="00B869D4" w:rsidRPr="008A1DB4" w:rsidRDefault="00B43F84" w:rsidP="00956E97">
      <w:pPr>
        <w:pStyle w:val="PrrafodeSentencia"/>
        <w:rPr>
          <w:spacing w:val="-2"/>
          <w:lang w:val="en-US"/>
        </w:rPr>
      </w:pPr>
      <w:bookmarkStart w:id="295" w:name="_Ref418904879"/>
      <w:r w:rsidRPr="008A1DB4">
        <w:rPr>
          <w:spacing w:val="-2"/>
          <w:lang w:val="en-US"/>
        </w:rPr>
        <w:t xml:space="preserve">On February 24, </w:t>
      </w:r>
      <w:r w:rsidR="00C67AA7" w:rsidRPr="008A1DB4">
        <w:rPr>
          <w:spacing w:val="-2"/>
          <w:lang w:val="en-US"/>
        </w:rPr>
        <w:t>2010</w:t>
      </w:r>
      <w:r w:rsidRPr="008A1DB4">
        <w:rPr>
          <w:spacing w:val="-2"/>
          <w:lang w:val="en-US"/>
        </w:rPr>
        <w:t>,</w:t>
      </w:r>
      <w:r w:rsidR="00C67AA7" w:rsidRPr="008A1DB4">
        <w:rPr>
          <w:spacing w:val="-2"/>
          <w:lang w:val="en-US"/>
        </w:rPr>
        <w:t xml:space="preserve"> </w:t>
      </w:r>
      <w:r w:rsidR="00F36400" w:rsidRPr="008A1DB4">
        <w:rPr>
          <w:spacing w:val="-2"/>
          <w:lang w:val="en-US"/>
        </w:rPr>
        <w:t>the Inter-American Commission</w:t>
      </w:r>
      <w:r w:rsidR="00C67AA7" w:rsidRPr="008A1DB4">
        <w:rPr>
          <w:spacing w:val="-2"/>
          <w:lang w:val="en-US"/>
        </w:rPr>
        <w:t xml:space="preserve">, </w:t>
      </w:r>
      <w:r w:rsidRPr="008A1DB4">
        <w:rPr>
          <w:spacing w:val="-2"/>
          <w:lang w:val="en-US"/>
        </w:rPr>
        <w:t xml:space="preserve">during the proceedings before this organ, asked the Court to adopt </w:t>
      </w:r>
      <w:r w:rsidR="00C45946" w:rsidRPr="008A1DB4">
        <w:rPr>
          <w:spacing w:val="-2"/>
          <w:lang w:val="en-US"/>
        </w:rPr>
        <w:t>provisional measures</w:t>
      </w:r>
      <w:r w:rsidRPr="008A1DB4">
        <w:rPr>
          <w:spacing w:val="-2"/>
          <w:lang w:val="en-US"/>
        </w:rPr>
        <w:t xml:space="preserve"> in</w:t>
      </w:r>
      <w:r w:rsidR="002A1388" w:rsidRPr="008A1DB4">
        <w:rPr>
          <w:spacing w:val="-2"/>
          <w:lang w:val="en-US"/>
        </w:rPr>
        <w:t xml:space="preserve"> favor </w:t>
      </w:r>
      <w:r w:rsidRPr="008A1DB4">
        <w:rPr>
          <w:spacing w:val="-2"/>
          <w:lang w:val="en-US"/>
        </w:rPr>
        <w:t>of Wong</w:t>
      </w:r>
      <w:r w:rsidR="002A1388" w:rsidRPr="008A1DB4">
        <w:rPr>
          <w:spacing w:val="-2"/>
          <w:lang w:val="en-US"/>
        </w:rPr>
        <w:t xml:space="preserve"> Ho Wing</w:t>
      </w:r>
      <w:r w:rsidR="00C1118D" w:rsidRPr="008A1DB4">
        <w:rPr>
          <w:spacing w:val="-2"/>
          <w:lang w:val="en-US"/>
        </w:rPr>
        <w:t xml:space="preserve">. </w:t>
      </w:r>
      <w:r w:rsidRPr="008A1DB4">
        <w:rPr>
          <w:spacing w:val="-2"/>
          <w:lang w:val="en-US"/>
        </w:rPr>
        <w:t>The measures were granted for the first time in May 2010.</w:t>
      </w:r>
      <w:r w:rsidR="00C67AA7" w:rsidRPr="008A1DB4">
        <w:rPr>
          <w:rStyle w:val="FootnoteReference"/>
          <w:spacing w:val="-2"/>
          <w:lang w:val="en-US"/>
        </w:rPr>
        <w:footnoteReference w:id="20"/>
      </w:r>
      <w:r w:rsidRPr="008A1DB4">
        <w:rPr>
          <w:spacing w:val="-2"/>
          <w:lang w:val="en-US"/>
        </w:rPr>
        <w:t xml:space="preserve"> Following orders of November 26,</w:t>
      </w:r>
      <w:r w:rsidR="0087711B" w:rsidRPr="008A1DB4">
        <w:rPr>
          <w:spacing w:val="-2"/>
          <w:lang w:val="en-US"/>
        </w:rPr>
        <w:t xml:space="preserve"> 2010, </w:t>
      </w:r>
      <w:r w:rsidRPr="008A1DB4">
        <w:rPr>
          <w:spacing w:val="-2"/>
          <w:lang w:val="en-US"/>
        </w:rPr>
        <w:t>and March 4</w:t>
      </w:r>
      <w:r w:rsidR="00F36400" w:rsidRPr="008A1DB4">
        <w:rPr>
          <w:spacing w:val="-2"/>
          <w:lang w:val="en-US"/>
        </w:rPr>
        <w:t xml:space="preserve"> and </w:t>
      </w:r>
      <w:r w:rsidRPr="008A1DB4">
        <w:rPr>
          <w:spacing w:val="-2"/>
          <w:lang w:val="en-US"/>
        </w:rPr>
        <w:t>July 1,</w:t>
      </w:r>
      <w:r w:rsidR="0087711B" w:rsidRPr="008A1DB4">
        <w:rPr>
          <w:spacing w:val="-2"/>
          <w:lang w:val="en-US"/>
        </w:rPr>
        <w:t xml:space="preserve"> 2011</w:t>
      </w:r>
      <w:r w:rsidRPr="008A1DB4">
        <w:rPr>
          <w:spacing w:val="-2"/>
          <w:lang w:val="en-US"/>
        </w:rPr>
        <w:t>, that extended their effects,</w:t>
      </w:r>
      <w:r w:rsidR="00C567C7" w:rsidRPr="008A1DB4">
        <w:rPr>
          <w:rStyle w:val="FootnoteReference"/>
          <w:spacing w:val="-2"/>
          <w:lang w:val="en-US"/>
        </w:rPr>
        <w:footnoteReference w:id="21"/>
      </w:r>
      <w:r w:rsidRPr="008A1DB4">
        <w:rPr>
          <w:spacing w:val="-2"/>
          <w:lang w:val="en-US"/>
        </w:rPr>
        <w:t xml:space="preserve"> they were lifted in October</w:t>
      </w:r>
      <w:r w:rsidR="00C67AA7" w:rsidRPr="008A1DB4">
        <w:rPr>
          <w:spacing w:val="-2"/>
          <w:lang w:val="en-US"/>
        </w:rPr>
        <w:t xml:space="preserve"> 2011, </w:t>
      </w:r>
      <w:r w:rsidRPr="008A1DB4">
        <w:rPr>
          <w:spacing w:val="-2"/>
          <w:lang w:val="en-US"/>
        </w:rPr>
        <w:t xml:space="preserve">after the decision </w:t>
      </w:r>
      <w:r w:rsidR="00C45946" w:rsidRPr="008A1DB4">
        <w:rPr>
          <w:spacing w:val="-2"/>
          <w:lang w:val="en-US"/>
        </w:rPr>
        <w:t xml:space="preserve">of the </w:t>
      </w:r>
      <w:r w:rsidRPr="008A1DB4">
        <w:rPr>
          <w:spacing w:val="-2"/>
          <w:lang w:val="en-US"/>
        </w:rPr>
        <w:t>Peruvian Constitutional Court</w:t>
      </w:r>
      <w:r w:rsidR="004C2AB6" w:rsidRPr="008A1DB4">
        <w:rPr>
          <w:spacing w:val="-2"/>
          <w:lang w:val="en-US"/>
        </w:rPr>
        <w:t xml:space="preserve"> </w:t>
      </w:r>
      <w:r w:rsidRPr="008A1DB4">
        <w:rPr>
          <w:spacing w:val="-2"/>
          <w:lang w:val="en-US"/>
        </w:rPr>
        <w:t>of</w:t>
      </w:r>
      <w:r w:rsidR="00C67AA7" w:rsidRPr="008A1DB4">
        <w:rPr>
          <w:spacing w:val="-2"/>
          <w:lang w:val="en-US"/>
        </w:rPr>
        <w:t xml:space="preserve"> </w:t>
      </w:r>
      <w:r w:rsidRPr="008A1DB4">
        <w:rPr>
          <w:spacing w:val="-2"/>
          <w:lang w:val="en-US"/>
        </w:rPr>
        <w:t>May 24 that year ordering the Executive Branch</w:t>
      </w:r>
      <w:r w:rsidR="00C67AA7" w:rsidRPr="008A1DB4">
        <w:rPr>
          <w:spacing w:val="-2"/>
          <w:lang w:val="en-US"/>
        </w:rPr>
        <w:t xml:space="preserve"> </w:t>
      </w:r>
      <w:r w:rsidRPr="008A1DB4">
        <w:rPr>
          <w:spacing w:val="-2"/>
          <w:lang w:val="en-US"/>
        </w:rPr>
        <w:t xml:space="preserve">to refrain from extraditing </w:t>
      </w:r>
      <w:r w:rsidR="00C67AA7" w:rsidRPr="008A1DB4">
        <w:rPr>
          <w:spacing w:val="-2"/>
          <w:lang w:val="en-US"/>
        </w:rPr>
        <w:t>Wong Ho Wing</w:t>
      </w:r>
      <w:r w:rsidRPr="008A1DB4">
        <w:rPr>
          <w:spacing w:val="-2"/>
          <w:lang w:val="en-US"/>
        </w:rPr>
        <w:t>.</w:t>
      </w:r>
      <w:r w:rsidR="00AB73EE" w:rsidRPr="008A1DB4">
        <w:rPr>
          <w:rStyle w:val="FootnoteReference"/>
          <w:spacing w:val="-2"/>
          <w:lang w:val="en-US"/>
        </w:rPr>
        <w:footnoteReference w:id="22"/>
      </w:r>
      <w:r w:rsidRPr="008A1DB4">
        <w:rPr>
          <w:spacing w:val="-2"/>
          <w:lang w:val="en-US"/>
        </w:rPr>
        <w:t xml:space="preserve"> Nevertheless, on June 26,</w:t>
      </w:r>
      <w:r w:rsidR="00C67AA7" w:rsidRPr="008A1DB4">
        <w:rPr>
          <w:spacing w:val="-2"/>
          <w:lang w:val="en-US"/>
        </w:rPr>
        <w:t xml:space="preserve"> 2012</w:t>
      </w:r>
      <w:r w:rsidRPr="008A1DB4">
        <w:rPr>
          <w:spacing w:val="-2"/>
          <w:lang w:val="en-US"/>
        </w:rPr>
        <w:t xml:space="preserve">, this Court again granted </w:t>
      </w:r>
      <w:r w:rsidR="00C45946" w:rsidRPr="008A1DB4">
        <w:rPr>
          <w:spacing w:val="-2"/>
          <w:lang w:val="en-US"/>
        </w:rPr>
        <w:t>provisional measures</w:t>
      </w:r>
      <w:r w:rsidR="009C334E" w:rsidRPr="008A1DB4">
        <w:rPr>
          <w:spacing w:val="-2"/>
          <w:lang w:val="en-US"/>
        </w:rPr>
        <w:t xml:space="preserve"> </w:t>
      </w:r>
      <w:r w:rsidRPr="008A1DB4">
        <w:rPr>
          <w:spacing w:val="-2"/>
          <w:lang w:val="en-US"/>
        </w:rPr>
        <w:t>in</w:t>
      </w:r>
      <w:r w:rsidR="009C334E" w:rsidRPr="008A1DB4">
        <w:rPr>
          <w:spacing w:val="-2"/>
          <w:lang w:val="en-US"/>
        </w:rPr>
        <w:t xml:space="preserve"> favor </w:t>
      </w:r>
      <w:r w:rsidRPr="008A1DB4">
        <w:rPr>
          <w:spacing w:val="-2"/>
          <w:lang w:val="en-US"/>
        </w:rPr>
        <w:t>of Wong</w:t>
      </w:r>
      <w:r w:rsidR="009C334E" w:rsidRPr="008A1DB4">
        <w:rPr>
          <w:spacing w:val="-2"/>
          <w:lang w:val="en-US"/>
        </w:rPr>
        <w:t xml:space="preserve"> Ho Wing </w:t>
      </w:r>
      <w:r w:rsidRPr="008A1DB4">
        <w:rPr>
          <w:spacing w:val="-2"/>
          <w:lang w:val="en-US"/>
        </w:rPr>
        <w:t>due to “the State’s uncertainty</w:t>
      </w:r>
      <w:r w:rsidR="00C67AA7" w:rsidRPr="008A1DB4">
        <w:rPr>
          <w:spacing w:val="-2"/>
          <w:lang w:val="en-US"/>
        </w:rPr>
        <w:t xml:space="preserve">” </w:t>
      </w:r>
      <w:r w:rsidRPr="008A1DB4">
        <w:rPr>
          <w:spacing w:val="-2"/>
          <w:lang w:val="en-US"/>
        </w:rPr>
        <w:t>about the possibility of extraditing him, based on presumed “new facts.” These measures were maintained by orders dated December 6,</w:t>
      </w:r>
      <w:r w:rsidR="0087711B" w:rsidRPr="008A1DB4">
        <w:rPr>
          <w:spacing w:val="-2"/>
          <w:lang w:val="en-US"/>
        </w:rPr>
        <w:t xml:space="preserve"> 2012, </w:t>
      </w:r>
      <w:r w:rsidRPr="008A1DB4">
        <w:rPr>
          <w:spacing w:val="-2"/>
          <w:lang w:val="en-US"/>
        </w:rPr>
        <w:t>February 13,</w:t>
      </w:r>
      <w:r w:rsidR="0087711B" w:rsidRPr="008A1DB4">
        <w:rPr>
          <w:spacing w:val="-2"/>
          <w:lang w:val="en-US"/>
        </w:rPr>
        <w:t xml:space="preserve"> </w:t>
      </w:r>
      <w:r w:rsidRPr="008A1DB4">
        <w:rPr>
          <w:spacing w:val="-2"/>
          <w:lang w:val="en-US"/>
        </w:rPr>
        <w:t>May 22</w:t>
      </w:r>
      <w:r w:rsidR="00F36400" w:rsidRPr="008A1DB4">
        <w:rPr>
          <w:spacing w:val="-2"/>
          <w:lang w:val="en-US"/>
        </w:rPr>
        <w:t xml:space="preserve"> and </w:t>
      </w:r>
      <w:r w:rsidRPr="008A1DB4">
        <w:rPr>
          <w:spacing w:val="-2"/>
          <w:lang w:val="en-US"/>
        </w:rPr>
        <w:t>August 22,</w:t>
      </w:r>
      <w:r w:rsidR="0087711B" w:rsidRPr="008A1DB4">
        <w:rPr>
          <w:spacing w:val="-2"/>
          <w:lang w:val="en-US"/>
        </w:rPr>
        <w:t xml:space="preserve"> 2013, </w:t>
      </w:r>
      <w:r w:rsidRPr="008A1DB4">
        <w:rPr>
          <w:spacing w:val="-2"/>
          <w:lang w:val="en-US"/>
        </w:rPr>
        <w:t>and January 29</w:t>
      </w:r>
      <w:r w:rsidR="00F36400" w:rsidRPr="008A1DB4">
        <w:rPr>
          <w:spacing w:val="-2"/>
          <w:lang w:val="en-US"/>
        </w:rPr>
        <w:t xml:space="preserve"> and </w:t>
      </w:r>
      <w:r w:rsidRPr="008A1DB4">
        <w:rPr>
          <w:spacing w:val="-2"/>
          <w:lang w:val="en-US"/>
        </w:rPr>
        <w:t>March 31</w:t>
      </w:r>
      <w:r w:rsidR="00631F9C" w:rsidRPr="008A1DB4">
        <w:rPr>
          <w:spacing w:val="-2"/>
          <w:lang w:val="en-US"/>
        </w:rPr>
        <w:t>,</w:t>
      </w:r>
      <w:r w:rsidR="0087711B" w:rsidRPr="008A1DB4">
        <w:rPr>
          <w:spacing w:val="-2"/>
          <w:lang w:val="en-US"/>
        </w:rPr>
        <w:t xml:space="preserve"> 2014</w:t>
      </w:r>
      <w:r w:rsidRPr="008A1DB4">
        <w:rPr>
          <w:spacing w:val="-2"/>
          <w:lang w:val="en-US"/>
        </w:rPr>
        <w:t>.</w:t>
      </w:r>
      <w:r w:rsidR="00C67AA7" w:rsidRPr="008A1DB4">
        <w:rPr>
          <w:rStyle w:val="FootnoteReference"/>
          <w:spacing w:val="-2"/>
          <w:lang w:val="en-US"/>
        </w:rPr>
        <w:footnoteReference w:id="23"/>
      </w:r>
      <w:r w:rsidR="00C67AA7" w:rsidRPr="008A1DB4">
        <w:rPr>
          <w:spacing w:val="-2"/>
          <w:lang w:val="en-US"/>
        </w:rPr>
        <w:t xml:space="preserve"> </w:t>
      </w:r>
      <w:r w:rsidRPr="008A1DB4">
        <w:rPr>
          <w:spacing w:val="-2"/>
          <w:lang w:val="en-US"/>
        </w:rPr>
        <w:t xml:space="preserve">In both May 2010 and June 2012, the </w:t>
      </w:r>
      <w:r w:rsidR="00C45946" w:rsidRPr="008A1DB4">
        <w:rPr>
          <w:spacing w:val="-2"/>
          <w:lang w:val="en-US"/>
        </w:rPr>
        <w:t>provisional measures</w:t>
      </w:r>
      <w:r w:rsidR="00C67AA7" w:rsidRPr="008A1DB4">
        <w:rPr>
          <w:spacing w:val="-2"/>
          <w:lang w:val="en-US"/>
        </w:rPr>
        <w:t xml:space="preserve"> </w:t>
      </w:r>
      <w:r w:rsidRPr="008A1DB4">
        <w:rPr>
          <w:spacing w:val="-2"/>
          <w:lang w:val="en-US"/>
        </w:rPr>
        <w:t>were ordered to allow the inter-American system to examine and rule on t</w:t>
      </w:r>
      <w:r w:rsidR="009655A4">
        <w:rPr>
          <w:spacing w:val="-2"/>
          <w:lang w:val="en-US"/>
        </w:rPr>
        <w:t xml:space="preserve">his case, as well as to prevent frustration of </w:t>
      </w:r>
      <w:r w:rsidRPr="008A1DB4">
        <w:rPr>
          <w:spacing w:val="-2"/>
          <w:lang w:val="en-US"/>
        </w:rPr>
        <w:t>compliance with an eventual decision by its organs.</w:t>
      </w:r>
      <w:r w:rsidR="00C67AA7" w:rsidRPr="008A1DB4">
        <w:rPr>
          <w:rStyle w:val="FootnoteReference"/>
          <w:spacing w:val="-2"/>
          <w:lang w:val="en-US"/>
        </w:rPr>
        <w:footnoteReference w:id="24"/>
      </w:r>
      <w:r w:rsidRPr="008A1DB4">
        <w:rPr>
          <w:spacing w:val="-2"/>
          <w:lang w:val="en-US"/>
        </w:rPr>
        <w:t xml:space="preserve"> Based on the orders of January and March 2014, the measures remain in force.</w:t>
      </w:r>
      <w:r w:rsidR="00C67AA7" w:rsidRPr="008A1DB4">
        <w:rPr>
          <w:rStyle w:val="FootnoteReference"/>
          <w:spacing w:val="-2"/>
          <w:lang w:val="en-US"/>
        </w:rPr>
        <w:footnoteReference w:id="25"/>
      </w:r>
      <w:bookmarkEnd w:id="295"/>
    </w:p>
    <w:p w14:paraId="4B2D3651" w14:textId="77777777" w:rsidR="00B00C59" w:rsidRDefault="00B00C59" w:rsidP="00956E97">
      <w:pPr>
        <w:pStyle w:val="PrrafodeSentencia"/>
        <w:numPr>
          <w:ilvl w:val="0"/>
          <w:numId w:val="0"/>
        </w:numPr>
        <w:rPr>
          <w:spacing w:val="-2"/>
          <w:lang w:val="en-US"/>
        </w:rPr>
      </w:pPr>
    </w:p>
    <w:p w14:paraId="55B3E7A7" w14:textId="77777777" w:rsidR="001D43D5" w:rsidRPr="008A1DB4" w:rsidRDefault="001D43D5" w:rsidP="00956E97">
      <w:pPr>
        <w:pStyle w:val="PrrafodeSentencia"/>
        <w:numPr>
          <w:ilvl w:val="0"/>
          <w:numId w:val="0"/>
        </w:numPr>
        <w:rPr>
          <w:spacing w:val="-2"/>
          <w:lang w:val="en-US"/>
        </w:rPr>
      </w:pPr>
    </w:p>
    <w:p w14:paraId="20899127" w14:textId="77777777" w:rsidR="001A0D21" w:rsidRPr="008A1DB4" w:rsidRDefault="001A0D21" w:rsidP="00956E97">
      <w:pPr>
        <w:pStyle w:val="Title"/>
        <w:rPr>
          <w:spacing w:val="-2"/>
          <w:lang w:val="en-US"/>
        </w:rPr>
      </w:pPr>
      <w:bookmarkStart w:id="296" w:name="_Toc418912592"/>
      <w:bookmarkStart w:id="297" w:name="_Toc419394374"/>
      <w:bookmarkStart w:id="298" w:name="_Toc429490240"/>
      <w:bookmarkStart w:id="299" w:name="_Toc429503752"/>
      <w:bookmarkStart w:id="300" w:name="_Toc429504258"/>
      <w:bookmarkStart w:id="301" w:name="_Toc429677971"/>
      <w:bookmarkStart w:id="302" w:name="_Toc430017134"/>
      <w:bookmarkStart w:id="303" w:name="_Toc430017363"/>
      <w:bookmarkStart w:id="304" w:name="_Toc430018645"/>
      <w:bookmarkStart w:id="305" w:name="_Toc430125243"/>
      <w:bookmarkStart w:id="306" w:name="_Toc430125351"/>
      <w:r w:rsidRPr="008A1DB4">
        <w:rPr>
          <w:spacing w:val="-2"/>
          <w:lang w:val="en-US"/>
        </w:rPr>
        <w:t>V</w:t>
      </w:r>
      <w:r w:rsidR="006F4421" w:rsidRPr="008A1DB4">
        <w:rPr>
          <w:spacing w:val="-2"/>
          <w:lang w:val="en-US"/>
        </w:rPr>
        <w:t>I</w:t>
      </w:r>
      <w:bookmarkEnd w:id="296"/>
      <w:bookmarkEnd w:id="297"/>
      <w:bookmarkEnd w:id="298"/>
      <w:bookmarkEnd w:id="299"/>
      <w:bookmarkEnd w:id="300"/>
      <w:bookmarkEnd w:id="301"/>
      <w:bookmarkEnd w:id="302"/>
      <w:bookmarkEnd w:id="303"/>
      <w:bookmarkEnd w:id="304"/>
      <w:bookmarkEnd w:id="305"/>
      <w:bookmarkEnd w:id="306"/>
    </w:p>
    <w:p w14:paraId="589242D5" w14:textId="3FD96380" w:rsidR="001A0D21" w:rsidRPr="008A1DB4" w:rsidRDefault="00E00746" w:rsidP="00956E97">
      <w:pPr>
        <w:pStyle w:val="Title"/>
        <w:rPr>
          <w:spacing w:val="-2"/>
          <w:lang w:val="en-US"/>
        </w:rPr>
      </w:pPr>
      <w:r w:rsidRPr="008A1DB4">
        <w:rPr>
          <w:spacing w:val="-2"/>
          <w:lang w:val="en-US"/>
        </w:rPr>
        <w:t>PRELIMINARY CONSIDERATIONS</w:t>
      </w:r>
    </w:p>
    <w:p w14:paraId="7E1AD205" w14:textId="77777777" w:rsidR="00A83878" w:rsidRPr="008A1DB4" w:rsidRDefault="00A83878" w:rsidP="00956E97">
      <w:pPr>
        <w:rPr>
          <w:spacing w:val="-2"/>
          <w:lang w:val="en-US"/>
        </w:rPr>
      </w:pPr>
    </w:p>
    <w:p w14:paraId="6B02F5C3" w14:textId="46749768" w:rsidR="00E00746" w:rsidRPr="008A1DB4" w:rsidRDefault="00E00746" w:rsidP="00956E97">
      <w:pPr>
        <w:pStyle w:val="PrrafodeSentencia"/>
        <w:rPr>
          <w:b/>
          <w:spacing w:val="-2"/>
          <w:lang w:val="en-US" w:eastAsia="es-ES"/>
        </w:rPr>
      </w:pPr>
      <w:r w:rsidRPr="008A1DB4">
        <w:rPr>
          <w:spacing w:val="-2"/>
          <w:lang w:val="en-US"/>
        </w:rPr>
        <w:t>In his</w:t>
      </w:r>
      <w:r w:rsidR="00A83878" w:rsidRPr="008A1DB4">
        <w:rPr>
          <w:spacing w:val="-2"/>
          <w:lang w:val="en-US"/>
        </w:rPr>
        <w:t xml:space="preserve"> </w:t>
      </w:r>
      <w:r w:rsidR="00C45946" w:rsidRPr="008A1DB4">
        <w:rPr>
          <w:spacing w:val="-2"/>
          <w:lang w:val="en-US"/>
        </w:rPr>
        <w:t>motions and arguments brief</w:t>
      </w:r>
      <w:r w:rsidR="00A83878" w:rsidRPr="008A1DB4">
        <w:rPr>
          <w:spacing w:val="-2"/>
          <w:lang w:val="en-US"/>
        </w:rPr>
        <w:t xml:space="preserve">, </w:t>
      </w:r>
      <w:r w:rsidR="00C45946" w:rsidRPr="008A1DB4">
        <w:rPr>
          <w:spacing w:val="-2"/>
          <w:lang w:val="en-US"/>
        </w:rPr>
        <w:t>the representative</w:t>
      </w:r>
      <w:r w:rsidR="00A83878" w:rsidRPr="008A1DB4">
        <w:rPr>
          <w:spacing w:val="-2"/>
          <w:lang w:val="en-US"/>
        </w:rPr>
        <w:t xml:space="preserve"> inclu</w:t>
      </w:r>
      <w:r w:rsidRPr="008A1DB4">
        <w:rPr>
          <w:spacing w:val="-2"/>
          <w:lang w:val="en-US"/>
        </w:rPr>
        <w:t xml:space="preserve">ded Wong Ho Wing’s wife, daughters and brother as presumed victims of the facts of this case. The Commission did not include these persons as presumed victims in its </w:t>
      </w:r>
      <w:r w:rsidR="00F36400" w:rsidRPr="008A1DB4">
        <w:rPr>
          <w:spacing w:val="-2"/>
          <w:lang w:val="en-US"/>
        </w:rPr>
        <w:t>Merits Report</w:t>
      </w:r>
      <w:r w:rsidR="004C2AB6" w:rsidRPr="008A1DB4">
        <w:rPr>
          <w:spacing w:val="-2"/>
          <w:lang w:val="en-US"/>
        </w:rPr>
        <w:t xml:space="preserve">. </w:t>
      </w:r>
      <w:r w:rsidRPr="008A1DB4">
        <w:rPr>
          <w:spacing w:val="-2"/>
          <w:lang w:val="en-US"/>
        </w:rPr>
        <w:t xml:space="preserve">Consequently, their inclusion was contested by the State. However, in his final written arguments, </w:t>
      </w:r>
      <w:r w:rsidR="00C45946" w:rsidRPr="008A1DB4">
        <w:rPr>
          <w:spacing w:val="-2"/>
          <w:lang w:val="en-US"/>
        </w:rPr>
        <w:t>the representative</w:t>
      </w:r>
      <w:r w:rsidR="004C2AB6" w:rsidRPr="008A1DB4">
        <w:rPr>
          <w:spacing w:val="-2"/>
          <w:lang w:val="en-US"/>
        </w:rPr>
        <w:t xml:space="preserve"> “</w:t>
      </w:r>
      <w:proofErr w:type="spellStart"/>
      <w:proofErr w:type="gramStart"/>
      <w:r w:rsidRPr="008A1DB4">
        <w:rPr>
          <w:spacing w:val="-2"/>
          <w:lang w:val="en-US"/>
        </w:rPr>
        <w:t>withdr</w:t>
      </w:r>
      <w:proofErr w:type="spellEnd"/>
      <w:r w:rsidRPr="008A1DB4">
        <w:rPr>
          <w:spacing w:val="-2"/>
          <w:lang w:val="en-US"/>
        </w:rPr>
        <w:t>[</w:t>
      </w:r>
      <w:proofErr w:type="spellStart"/>
      <w:proofErr w:type="gramEnd"/>
      <w:r w:rsidRPr="008A1DB4">
        <w:rPr>
          <w:spacing w:val="-2"/>
          <w:lang w:val="en-US"/>
        </w:rPr>
        <w:t>ew</w:t>
      </w:r>
      <w:proofErr w:type="spellEnd"/>
      <w:r w:rsidRPr="008A1DB4">
        <w:rPr>
          <w:spacing w:val="-2"/>
          <w:lang w:val="en-US"/>
        </w:rPr>
        <w:t xml:space="preserve"> this request], </w:t>
      </w:r>
      <w:r w:rsidR="001D43D5">
        <w:rPr>
          <w:spacing w:val="-2"/>
          <w:lang w:val="en-US"/>
        </w:rPr>
        <w:t>preserving the right of tho</w:t>
      </w:r>
      <w:r w:rsidR="00D72E3B" w:rsidRPr="008A1DB4">
        <w:rPr>
          <w:spacing w:val="-2"/>
          <w:lang w:val="en-US"/>
        </w:rPr>
        <w:t xml:space="preserve">se persons to demand their rights </w:t>
      </w:r>
      <w:r w:rsidR="001D43D5">
        <w:rPr>
          <w:spacing w:val="-2"/>
          <w:lang w:val="en-US"/>
        </w:rPr>
        <w:t>with</w:t>
      </w:r>
      <w:r w:rsidR="00D72E3B" w:rsidRPr="008A1DB4">
        <w:rPr>
          <w:spacing w:val="-2"/>
          <w:lang w:val="en-US"/>
        </w:rPr>
        <w:t xml:space="preserve">in the jurisdiction of the Peruvian State.” Therefore, this Court takes note of the said </w:t>
      </w:r>
      <w:r w:rsidR="001D43D5">
        <w:rPr>
          <w:spacing w:val="-2"/>
          <w:lang w:val="en-US"/>
        </w:rPr>
        <w:t>waiver</w:t>
      </w:r>
      <w:r w:rsidR="00D72E3B" w:rsidRPr="008A1DB4">
        <w:rPr>
          <w:spacing w:val="-2"/>
          <w:lang w:val="en-US"/>
        </w:rPr>
        <w:t xml:space="preserve"> and finds that it is not necessary to make any additional observations in this regard.</w:t>
      </w:r>
    </w:p>
    <w:p w14:paraId="79D2DA79" w14:textId="77777777" w:rsidR="001A0D21" w:rsidRPr="008A1DB4" w:rsidRDefault="001A0D21" w:rsidP="00956E97">
      <w:pPr>
        <w:rPr>
          <w:spacing w:val="-2"/>
          <w:lang w:val="en-US"/>
        </w:rPr>
      </w:pPr>
    </w:p>
    <w:p w14:paraId="29143A76" w14:textId="7A879B16" w:rsidR="001A0D21" w:rsidRPr="008A1DB4" w:rsidRDefault="00465AC3" w:rsidP="00956E97">
      <w:pPr>
        <w:pStyle w:val="Heading1"/>
        <w:rPr>
          <w:spacing w:val="-2"/>
          <w:lang w:val="en-US"/>
        </w:rPr>
      </w:pPr>
      <w:bookmarkStart w:id="307" w:name="_Toc418912594"/>
      <w:bookmarkStart w:id="308" w:name="_Toc419394376"/>
      <w:bookmarkStart w:id="309" w:name="_Toc429490242"/>
      <w:bookmarkStart w:id="310" w:name="_Toc429503754"/>
      <w:bookmarkStart w:id="311" w:name="_Toc429504260"/>
      <w:bookmarkStart w:id="312" w:name="_Toc429677973"/>
      <w:bookmarkStart w:id="313" w:name="_Toc430017136"/>
      <w:bookmarkStart w:id="314" w:name="_Toc430017365"/>
      <w:bookmarkStart w:id="315" w:name="_Toc430018647"/>
      <w:bookmarkStart w:id="316" w:name="_Toc430125245"/>
      <w:bookmarkStart w:id="317" w:name="_Toc430125353"/>
      <w:r w:rsidRPr="008A1DB4">
        <w:rPr>
          <w:spacing w:val="-2"/>
          <w:lang w:val="en-US"/>
        </w:rPr>
        <w:t>A</w:t>
      </w:r>
      <w:r w:rsidR="001A0D21" w:rsidRPr="008A1DB4">
        <w:rPr>
          <w:spacing w:val="-2"/>
          <w:lang w:val="en-US"/>
        </w:rPr>
        <w:t xml:space="preserve">. </w:t>
      </w:r>
      <w:r w:rsidR="00D72E3B" w:rsidRPr="008A1DB4">
        <w:rPr>
          <w:spacing w:val="-2"/>
          <w:lang w:val="en-US"/>
        </w:rPr>
        <w:t>The factual framework of the case</w:t>
      </w:r>
      <w:bookmarkEnd w:id="307"/>
      <w:bookmarkEnd w:id="308"/>
      <w:bookmarkEnd w:id="309"/>
      <w:bookmarkEnd w:id="310"/>
      <w:bookmarkEnd w:id="311"/>
      <w:bookmarkEnd w:id="312"/>
      <w:bookmarkEnd w:id="313"/>
      <w:bookmarkEnd w:id="314"/>
      <w:bookmarkEnd w:id="315"/>
      <w:bookmarkEnd w:id="316"/>
      <w:bookmarkEnd w:id="317"/>
      <w:r w:rsidR="001A0D21" w:rsidRPr="008A1DB4">
        <w:rPr>
          <w:spacing w:val="-2"/>
          <w:lang w:val="en-US"/>
        </w:rPr>
        <w:t xml:space="preserve"> </w:t>
      </w:r>
    </w:p>
    <w:p w14:paraId="081386EE" w14:textId="77777777" w:rsidR="001A0D21" w:rsidRPr="008A1DB4" w:rsidRDefault="001A0D21" w:rsidP="00956E97">
      <w:pPr>
        <w:rPr>
          <w:spacing w:val="-2"/>
          <w:lang w:val="en-US"/>
        </w:rPr>
      </w:pPr>
    </w:p>
    <w:p w14:paraId="702C0591" w14:textId="282E1FC4" w:rsidR="001A0D21" w:rsidRPr="008A1DB4" w:rsidRDefault="00465AC3" w:rsidP="00782CC8">
      <w:pPr>
        <w:pStyle w:val="Heading2"/>
        <w:ind w:left="1440" w:firstLine="0"/>
        <w:rPr>
          <w:spacing w:val="-2"/>
          <w:lang w:val="en-US"/>
        </w:rPr>
      </w:pPr>
      <w:bookmarkStart w:id="318" w:name="_Toc418074066"/>
      <w:bookmarkStart w:id="319" w:name="_Toc418503871"/>
      <w:bookmarkStart w:id="320" w:name="_Toc418912595"/>
      <w:bookmarkStart w:id="321" w:name="_Toc419394377"/>
      <w:bookmarkStart w:id="322" w:name="_Toc429490243"/>
      <w:bookmarkStart w:id="323" w:name="_Toc429503755"/>
      <w:bookmarkStart w:id="324" w:name="_Toc429504261"/>
      <w:bookmarkStart w:id="325" w:name="_Toc429677974"/>
      <w:bookmarkStart w:id="326" w:name="_Toc430017137"/>
      <w:bookmarkStart w:id="327" w:name="_Toc430017366"/>
      <w:bookmarkStart w:id="328" w:name="_Toc430018648"/>
      <w:bookmarkStart w:id="329" w:name="_Toc430125246"/>
      <w:bookmarkStart w:id="330" w:name="_Toc430125354"/>
      <w:r w:rsidRPr="008A1DB4">
        <w:rPr>
          <w:spacing w:val="-2"/>
          <w:lang w:val="en-US"/>
        </w:rPr>
        <w:t>A</w:t>
      </w:r>
      <w:r w:rsidR="001A0D21" w:rsidRPr="008A1DB4">
        <w:rPr>
          <w:spacing w:val="-2"/>
          <w:lang w:val="en-US"/>
        </w:rPr>
        <w:t xml:space="preserve">.1) </w:t>
      </w:r>
      <w:bookmarkEnd w:id="318"/>
      <w:bookmarkEnd w:id="319"/>
      <w:bookmarkEnd w:id="320"/>
      <w:bookmarkEnd w:id="321"/>
      <w:bookmarkEnd w:id="322"/>
      <w:bookmarkEnd w:id="323"/>
      <w:bookmarkEnd w:id="324"/>
      <w:bookmarkEnd w:id="325"/>
      <w:r w:rsidR="0058668C" w:rsidRPr="008A1DB4">
        <w:rPr>
          <w:spacing w:val="-2"/>
          <w:lang w:val="en-US"/>
        </w:rPr>
        <w:t>Arguments</w:t>
      </w:r>
      <w:r w:rsidR="00C45946" w:rsidRPr="008A1DB4">
        <w:rPr>
          <w:spacing w:val="-2"/>
          <w:lang w:val="en-US"/>
        </w:rPr>
        <w:t xml:space="preserve"> of the </w:t>
      </w:r>
      <w:r w:rsidR="00F36400" w:rsidRPr="008A1DB4">
        <w:rPr>
          <w:spacing w:val="-2"/>
          <w:lang w:val="en-US"/>
        </w:rPr>
        <w:t xml:space="preserve">State and </w:t>
      </w:r>
      <w:r w:rsidR="0058668C" w:rsidRPr="008A1DB4">
        <w:rPr>
          <w:spacing w:val="-2"/>
          <w:lang w:val="en-US"/>
        </w:rPr>
        <w:t>observations</w:t>
      </w:r>
      <w:r w:rsidR="00C45946" w:rsidRPr="008A1DB4">
        <w:rPr>
          <w:spacing w:val="-2"/>
          <w:lang w:val="en-US"/>
        </w:rPr>
        <w:t xml:space="preserve"> of the representative</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326"/>
      <w:bookmarkEnd w:id="327"/>
      <w:bookmarkEnd w:id="328"/>
      <w:bookmarkEnd w:id="329"/>
      <w:bookmarkEnd w:id="330"/>
    </w:p>
    <w:p w14:paraId="63DE72DA" w14:textId="77777777" w:rsidR="00A83878" w:rsidRPr="008A1DB4" w:rsidRDefault="00A83878" w:rsidP="00956E97">
      <w:pPr>
        <w:pStyle w:val="ListParagraph"/>
        <w:tabs>
          <w:tab w:val="left" w:pos="284"/>
        </w:tabs>
        <w:ind w:left="0"/>
        <w:rPr>
          <w:b/>
          <w:spacing w:val="-2"/>
          <w:lang w:val="en-US"/>
        </w:rPr>
      </w:pPr>
    </w:p>
    <w:p w14:paraId="67E8F3AE" w14:textId="15B13D1C" w:rsidR="003F6023" w:rsidRPr="008A1DB4" w:rsidRDefault="00F36400" w:rsidP="00D72E3B">
      <w:pPr>
        <w:pStyle w:val="PrrafodeSentencia"/>
        <w:rPr>
          <w:b/>
          <w:spacing w:val="-2"/>
          <w:lang w:val="en-US" w:eastAsia="es-ES"/>
        </w:rPr>
      </w:pPr>
      <w:bookmarkStart w:id="331" w:name="_Ref429070474"/>
      <w:r w:rsidRPr="008A1DB4">
        <w:rPr>
          <w:spacing w:val="-2"/>
          <w:lang w:val="en-US"/>
        </w:rPr>
        <w:t>The State</w:t>
      </w:r>
      <w:r w:rsidR="00A83878" w:rsidRPr="008A1DB4">
        <w:rPr>
          <w:spacing w:val="-2"/>
          <w:lang w:val="en-US"/>
        </w:rPr>
        <w:t xml:space="preserve"> </w:t>
      </w:r>
      <w:r w:rsidR="00D72E3B" w:rsidRPr="008A1DB4">
        <w:rPr>
          <w:spacing w:val="-2"/>
          <w:lang w:val="en-US"/>
        </w:rPr>
        <w:t>argued that</w:t>
      </w:r>
      <w:r w:rsidR="00A83878" w:rsidRPr="008A1DB4">
        <w:rPr>
          <w:spacing w:val="-2"/>
          <w:lang w:val="en-US"/>
        </w:rPr>
        <w:t xml:space="preserve"> </w:t>
      </w:r>
      <w:r w:rsidR="00C45946" w:rsidRPr="008A1DB4">
        <w:rPr>
          <w:spacing w:val="-2"/>
          <w:lang w:val="en-US"/>
        </w:rPr>
        <w:t>the representative</w:t>
      </w:r>
      <w:r w:rsidR="00D72E3B" w:rsidRPr="008A1DB4">
        <w:rPr>
          <w:spacing w:val="-2"/>
          <w:lang w:val="en-US"/>
        </w:rPr>
        <w:t xml:space="preserve"> had</w:t>
      </w:r>
      <w:r w:rsidR="00A83878" w:rsidRPr="008A1DB4">
        <w:rPr>
          <w:spacing w:val="-2"/>
          <w:lang w:val="en-US"/>
        </w:rPr>
        <w:t xml:space="preserve"> “</w:t>
      </w:r>
      <w:r w:rsidR="00D72E3B" w:rsidRPr="008A1DB4">
        <w:rPr>
          <w:spacing w:val="-2"/>
          <w:lang w:val="en-US"/>
        </w:rPr>
        <w:t xml:space="preserve">not respected the factual framework disputed before </w:t>
      </w:r>
      <w:r w:rsidRPr="008A1DB4">
        <w:rPr>
          <w:spacing w:val="-2"/>
          <w:lang w:val="en-US"/>
        </w:rPr>
        <w:t>the Court</w:t>
      </w:r>
      <w:r w:rsidR="00A83878" w:rsidRPr="008A1DB4">
        <w:rPr>
          <w:spacing w:val="-2"/>
          <w:lang w:val="en-US"/>
        </w:rPr>
        <w:t xml:space="preserve"> […]</w:t>
      </w:r>
      <w:r w:rsidRPr="008A1DB4">
        <w:rPr>
          <w:spacing w:val="-2"/>
          <w:lang w:val="en-US"/>
        </w:rPr>
        <w:t xml:space="preserve"> and </w:t>
      </w:r>
      <w:r w:rsidR="001D43D5">
        <w:rPr>
          <w:spacing w:val="-2"/>
          <w:lang w:val="en-US"/>
        </w:rPr>
        <w:t xml:space="preserve">unduly </w:t>
      </w:r>
      <w:proofErr w:type="gramStart"/>
      <w:r w:rsidR="001D43D5">
        <w:rPr>
          <w:spacing w:val="-2"/>
          <w:lang w:val="en-US"/>
        </w:rPr>
        <w:t>s[</w:t>
      </w:r>
      <w:proofErr w:type="gramEnd"/>
      <w:r w:rsidR="001D43D5">
        <w:rPr>
          <w:spacing w:val="-2"/>
          <w:lang w:val="en-US"/>
        </w:rPr>
        <w:t>ought]</w:t>
      </w:r>
      <w:r w:rsidR="00D72E3B" w:rsidRPr="008A1DB4">
        <w:rPr>
          <w:spacing w:val="-2"/>
          <w:lang w:val="en-US"/>
        </w:rPr>
        <w:t xml:space="preserve"> to expand it to allege the supposed violation of the right to personal integrity.” According to the State, the facts included in the Merits Report concerning a supposed violation of the personal integrity of Wong Ho Wing relate to the extradition process and the supposed lack of security owing to the risk of the application of the death penalty and torture, but not to the supposed effects of the deprivation of </w:t>
      </w:r>
      <w:r w:rsidR="00B43F84" w:rsidRPr="008A1DB4">
        <w:rPr>
          <w:spacing w:val="-2"/>
          <w:lang w:val="en-US"/>
        </w:rPr>
        <w:t>Wong</w:t>
      </w:r>
      <w:r w:rsidR="00A83878" w:rsidRPr="008A1DB4">
        <w:rPr>
          <w:spacing w:val="-2"/>
          <w:lang w:val="en-US"/>
        </w:rPr>
        <w:t xml:space="preserve"> Ho Wing</w:t>
      </w:r>
      <w:r w:rsidR="001D43D5">
        <w:rPr>
          <w:spacing w:val="-2"/>
          <w:lang w:val="en-US"/>
        </w:rPr>
        <w:t>’s liberty</w:t>
      </w:r>
      <w:r w:rsidR="00A83878" w:rsidRPr="008A1DB4">
        <w:rPr>
          <w:spacing w:val="-2"/>
          <w:lang w:val="en-US"/>
        </w:rPr>
        <w:t xml:space="preserve"> </w:t>
      </w:r>
      <w:r w:rsidR="00D72E3B" w:rsidRPr="008A1DB4">
        <w:rPr>
          <w:spacing w:val="-2"/>
          <w:lang w:val="en-US"/>
        </w:rPr>
        <w:t xml:space="preserve">as </w:t>
      </w:r>
      <w:r w:rsidR="00C45946" w:rsidRPr="008A1DB4">
        <w:rPr>
          <w:spacing w:val="-2"/>
          <w:lang w:val="en-US"/>
        </w:rPr>
        <w:t>the representative</w:t>
      </w:r>
      <w:r w:rsidR="00D72E3B" w:rsidRPr="008A1DB4">
        <w:rPr>
          <w:spacing w:val="-2"/>
          <w:lang w:val="en-US"/>
        </w:rPr>
        <w:t xml:space="preserve"> alleges. In addition,</w:t>
      </w:r>
      <w:r w:rsidR="00A83878" w:rsidRPr="008A1DB4">
        <w:rPr>
          <w:b/>
          <w:spacing w:val="-2"/>
          <w:lang w:val="en-US"/>
        </w:rPr>
        <w:t xml:space="preserve"> </w:t>
      </w:r>
      <w:r w:rsidR="00D72E3B" w:rsidRPr="008A1DB4">
        <w:rPr>
          <w:spacing w:val="-2"/>
          <w:lang w:val="en-US"/>
        </w:rPr>
        <w:t>in its</w:t>
      </w:r>
      <w:r w:rsidR="00A83878" w:rsidRPr="008A1DB4">
        <w:rPr>
          <w:spacing w:val="-2"/>
          <w:lang w:val="en-US"/>
        </w:rPr>
        <w:t xml:space="preserve"> </w:t>
      </w:r>
      <w:r w:rsidR="00D72E3B" w:rsidRPr="008A1DB4">
        <w:rPr>
          <w:spacing w:val="-2"/>
          <w:lang w:val="en-US"/>
        </w:rPr>
        <w:t>final written arguments</w:t>
      </w:r>
      <w:r w:rsidR="00A83878" w:rsidRPr="008A1DB4">
        <w:rPr>
          <w:spacing w:val="-2"/>
          <w:lang w:val="en-US"/>
        </w:rPr>
        <w:t xml:space="preserve">, </w:t>
      </w:r>
      <w:r w:rsidRPr="008A1DB4">
        <w:rPr>
          <w:spacing w:val="-2"/>
          <w:lang w:val="en-US"/>
        </w:rPr>
        <w:t>the State</w:t>
      </w:r>
      <w:r w:rsidR="00A83878" w:rsidRPr="008A1DB4">
        <w:rPr>
          <w:spacing w:val="-2"/>
          <w:lang w:val="en-US"/>
        </w:rPr>
        <w:t xml:space="preserve"> </w:t>
      </w:r>
      <w:r w:rsidR="00D72E3B" w:rsidRPr="008A1DB4">
        <w:rPr>
          <w:spacing w:val="-2"/>
          <w:lang w:val="en-US"/>
        </w:rPr>
        <w:t>indicated that</w:t>
      </w:r>
      <w:r w:rsidR="00A83878" w:rsidRPr="008A1DB4">
        <w:rPr>
          <w:spacing w:val="-2"/>
          <w:lang w:val="en-US"/>
        </w:rPr>
        <w:t xml:space="preserve"> </w:t>
      </w:r>
      <w:r w:rsidR="00C45946" w:rsidRPr="008A1DB4">
        <w:rPr>
          <w:spacing w:val="-2"/>
          <w:lang w:val="en-US"/>
        </w:rPr>
        <w:t>the representative</w:t>
      </w:r>
      <w:r w:rsidR="00A83878" w:rsidRPr="008A1DB4">
        <w:rPr>
          <w:spacing w:val="-2"/>
          <w:lang w:val="en-US"/>
        </w:rPr>
        <w:t xml:space="preserve"> “a</w:t>
      </w:r>
      <w:r w:rsidR="00D72E3B" w:rsidRPr="008A1DB4">
        <w:rPr>
          <w:spacing w:val="-2"/>
          <w:lang w:val="en-US"/>
        </w:rPr>
        <w:t xml:space="preserve">lleges facts that differ from those delimited by the [Commission], such as a presumed </w:t>
      </w:r>
      <w:r w:rsidR="008A1DB4">
        <w:rPr>
          <w:spacing w:val="-2"/>
          <w:lang w:val="en-US"/>
        </w:rPr>
        <w:t>unlawful</w:t>
      </w:r>
      <w:r w:rsidR="001D43D5">
        <w:rPr>
          <w:spacing w:val="-2"/>
          <w:lang w:val="en-US"/>
        </w:rPr>
        <w:t xml:space="preserve"> detention</w:t>
      </w:r>
      <w:r w:rsidR="00D72E3B" w:rsidRPr="008A1DB4">
        <w:rPr>
          <w:spacing w:val="-2"/>
          <w:lang w:val="en-US"/>
        </w:rPr>
        <w:t xml:space="preserve">” </w:t>
      </w:r>
      <w:r w:rsidR="001D43D5">
        <w:rPr>
          <w:spacing w:val="-2"/>
          <w:lang w:val="en-US"/>
        </w:rPr>
        <w:t>and also</w:t>
      </w:r>
      <w:r w:rsidR="00D72E3B" w:rsidRPr="008A1DB4">
        <w:rPr>
          <w:spacing w:val="-2"/>
          <w:lang w:val="en-US"/>
        </w:rPr>
        <w:t xml:space="preserve"> the applications for </w:t>
      </w:r>
      <w:r w:rsidR="00E022F9" w:rsidRPr="008A1DB4">
        <w:rPr>
          <w:i/>
          <w:spacing w:val="-2"/>
          <w:lang w:val="en-US"/>
        </w:rPr>
        <w:t>habeas corpus</w:t>
      </w:r>
      <w:r w:rsidR="00D72E3B" w:rsidRPr="008A1DB4">
        <w:rPr>
          <w:spacing w:val="-2"/>
          <w:lang w:val="en-US"/>
        </w:rPr>
        <w:t xml:space="preserve"> filed on March 13,</w:t>
      </w:r>
      <w:r w:rsidR="00A83878" w:rsidRPr="008A1DB4">
        <w:rPr>
          <w:spacing w:val="-2"/>
          <w:lang w:val="en-US"/>
        </w:rPr>
        <w:t xml:space="preserve"> 2012</w:t>
      </w:r>
      <w:r w:rsidR="001D43D5">
        <w:rPr>
          <w:spacing w:val="-2"/>
          <w:lang w:val="en-US"/>
        </w:rPr>
        <w:t>,</w:t>
      </w:r>
      <w:r w:rsidRPr="008A1DB4">
        <w:rPr>
          <w:spacing w:val="-2"/>
          <w:lang w:val="en-US"/>
        </w:rPr>
        <w:t xml:space="preserve"> and </w:t>
      </w:r>
      <w:r w:rsidR="00D72E3B" w:rsidRPr="008A1DB4">
        <w:rPr>
          <w:spacing w:val="-2"/>
          <w:lang w:val="en-US"/>
        </w:rPr>
        <w:t>April 26, 2013</w:t>
      </w:r>
      <w:r w:rsidR="001D43D5">
        <w:rPr>
          <w:spacing w:val="-2"/>
          <w:lang w:val="en-US"/>
        </w:rPr>
        <w:t>,</w:t>
      </w:r>
      <w:r w:rsidR="00D72E3B" w:rsidRPr="008A1DB4">
        <w:rPr>
          <w:spacing w:val="-2"/>
          <w:lang w:val="en-US"/>
        </w:rPr>
        <w:t xml:space="preserve"> that</w:t>
      </w:r>
      <w:r w:rsidR="00A83878" w:rsidRPr="008A1DB4">
        <w:rPr>
          <w:spacing w:val="-2"/>
          <w:lang w:val="en-US"/>
        </w:rPr>
        <w:t xml:space="preserve"> “</w:t>
      </w:r>
      <w:r w:rsidR="00D72E3B" w:rsidRPr="008A1DB4">
        <w:rPr>
          <w:spacing w:val="-2"/>
          <w:lang w:val="en-US"/>
        </w:rPr>
        <w:t xml:space="preserve">are not mentioned by the Commission in the section of the </w:t>
      </w:r>
      <w:r w:rsidR="003F6023" w:rsidRPr="008A1DB4">
        <w:rPr>
          <w:spacing w:val="-2"/>
          <w:lang w:val="en-US" w:eastAsia="en-US"/>
        </w:rPr>
        <w:t>[</w:t>
      </w:r>
      <w:r w:rsidRPr="008A1DB4">
        <w:rPr>
          <w:spacing w:val="-2"/>
          <w:lang w:val="en-US" w:eastAsia="en-US"/>
        </w:rPr>
        <w:t>Merits Report</w:t>
      </w:r>
      <w:r w:rsidR="003F6023" w:rsidRPr="008A1DB4">
        <w:rPr>
          <w:spacing w:val="-2"/>
          <w:lang w:val="en-US" w:eastAsia="en-US"/>
        </w:rPr>
        <w:t xml:space="preserve">] </w:t>
      </w:r>
      <w:r w:rsidR="00D72E3B" w:rsidRPr="008A1DB4">
        <w:rPr>
          <w:spacing w:val="-2"/>
          <w:lang w:val="en-US" w:eastAsia="en-US"/>
        </w:rPr>
        <w:t xml:space="preserve">on the facts of </w:t>
      </w:r>
      <w:r w:rsidR="008A1DB4" w:rsidRPr="008A1DB4">
        <w:rPr>
          <w:spacing w:val="-2"/>
          <w:lang w:val="en-US" w:eastAsia="en-US"/>
        </w:rPr>
        <w:t>the</w:t>
      </w:r>
      <w:r w:rsidR="00D72E3B" w:rsidRPr="008A1DB4">
        <w:rPr>
          <w:spacing w:val="-2"/>
          <w:lang w:val="en-US" w:eastAsia="en-US"/>
        </w:rPr>
        <w:t xml:space="preserve"> case.” </w:t>
      </w:r>
      <w:bookmarkEnd w:id="331"/>
      <w:r w:rsidR="00C45946" w:rsidRPr="008A1DB4">
        <w:rPr>
          <w:spacing w:val="-2"/>
          <w:lang w:val="en-US" w:eastAsia="en-US"/>
        </w:rPr>
        <w:t>The representative</w:t>
      </w:r>
      <w:r w:rsidRPr="008A1DB4">
        <w:rPr>
          <w:spacing w:val="-2"/>
          <w:lang w:val="en-US" w:eastAsia="en-US"/>
        </w:rPr>
        <w:t xml:space="preserve"> and the Commission</w:t>
      </w:r>
      <w:r w:rsidR="0027555D" w:rsidRPr="008A1DB4">
        <w:rPr>
          <w:spacing w:val="-2"/>
          <w:lang w:val="en-US" w:eastAsia="en-US"/>
        </w:rPr>
        <w:t xml:space="preserve"> </w:t>
      </w:r>
      <w:r w:rsidR="00D72E3B" w:rsidRPr="008A1DB4">
        <w:rPr>
          <w:spacing w:val="-2"/>
          <w:lang w:val="en-US" w:eastAsia="en-US"/>
        </w:rPr>
        <w:t xml:space="preserve">argued that the facts </w:t>
      </w:r>
      <w:r w:rsidR="008A1DB4" w:rsidRPr="008A1DB4">
        <w:rPr>
          <w:spacing w:val="-2"/>
          <w:lang w:val="en-US" w:eastAsia="en-US"/>
        </w:rPr>
        <w:t>indicated</w:t>
      </w:r>
      <w:r w:rsidR="00D72E3B" w:rsidRPr="008A1DB4">
        <w:rPr>
          <w:spacing w:val="-2"/>
          <w:lang w:val="en-US" w:eastAsia="en-US"/>
        </w:rPr>
        <w:t xml:space="preserve"> by the State were included in the factual framework established in the </w:t>
      </w:r>
      <w:r w:rsidRPr="008A1DB4">
        <w:rPr>
          <w:spacing w:val="-2"/>
          <w:lang w:val="en-US" w:eastAsia="en-US"/>
        </w:rPr>
        <w:t>Merits Report</w:t>
      </w:r>
      <w:r w:rsidR="0027555D" w:rsidRPr="008A1DB4">
        <w:rPr>
          <w:spacing w:val="-2"/>
          <w:lang w:val="en-US" w:eastAsia="en-US"/>
        </w:rPr>
        <w:t xml:space="preserve">. </w:t>
      </w:r>
    </w:p>
    <w:p w14:paraId="6ED935EC" w14:textId="77777777" w:rsidR="00A83878" w:rsidRPr="008A1DB4" w:rsidRDefault="00A83878" w:rsidP="00956E97">
      <w:pPr>
        <w:rPr>
          <w:spacing w:val="-2"/>
          <w:lang w:val="en-US"/>
        </w:rPr>
      </w:pPr>
    </w:p>
    <w:p w14:paraId="1DF6852A" w14:textId="47A95482" w:rsidR="00F11578" w:rsidRPr="008A1DB4" w:rsidRDefault="00465AC3" w:rsidP="00956E97">
      <w:pPr>
        <w:pStyle w:val="Heading2"/>
        <w:rPr>
          <w:spacing w:val="-2"/>
          <w:lang w:val="en-US"/>
        </w:rPr>
      </w:pPr>
      <w:bookmarkStart w:id="332" w:name="_Toc418074067"/>
      <w:bookmarkStart w:id="333" w:name="_Toc418503872"/>
      <w:bookmarkStart w:id="334" w:name="_Toc418912596"/>
      <w:bookmarkStart w:id="335" w:name="_Toc419394378"/>
      <w:bookmarkStart w:id="336" w:name="_Toc429490244"/>
      <w:bookmarkStart w:id="337" w:name="_Toc429503756"/>
      <w:bookmarkStart w:id="338" w:name="_Toc429504262"/>
      <w:bookmarkStart w:id="339" w:name="_Toc429677975"/>
      <w:bookmarkStart w:id="340" w:name="_Toc430017138"/>
      <w:bookmarkStart w:id="341" w:name="_Toc430017367"/>
      <w:bookmarkStart w:id="342" w:name="_Toc430018649"/>
      <w:bookmarkStart w:id="343" w:name="_Toc430125247"/>
      <w:bookmarkStart w:id="344" w:name="_Toc430125355"/>
      <w:r w:rsidRPr="008A1DB4">
        <w:rPr>
          <w:spacing w:val="-2"/>
          <w:lang w:val="en-US"/>
        </w:rPr>
        <w:t>A</w:t>
      </w:r>
      <w:r w:rsidR="00F11578" w:rsidRPr="008A1DB4">
        <w:rPr>
          <w:spacing w:val="-2"/>
          <w:lang w:val="en-US"/>
        </w:rPr>
        <w:t xml:space="preserve">.2) </w:t>
      </w:r>
      <w:r w:rsidR="00A836C4" w:rsidRPr="008A1DB4">
        <w:rPr>
          <w:spacing w:val="-2"/>
          <w:lang w:val="en-US"/>
        </w:rPr>
        <w:t>Considerations</w:t>
      </w:r>
      <w:r w:rsidR="00F36400" w:rsidRPr="008A1DB4">
        <w:rPr>
          <w:spacing w:val="-2"/>
          <w:lang w:val="en-US"/>
        </w:rPr>
        <w:t xml:space="preserve"> of the Court</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155F5B6D" w14:textId="77777777" w:rsidR="001451DB" w:rsidRPr="008A1DB4" w:rsidRDefault="001451DB" w:rsidP="00956E97">
      <w:pPr>
        <w:rPr>
          <w:spacing w:val="-2"/>
          <w:lang w:val="en-US"/>
        </w:rPr>
      </w:pPr>
    </w:p>
    <w:p w14:paraId="06431CCC" w14:textId="5CEA51DA" w:rsidR="00F11578" w:rsidRPr="008A1DB4" w:rsidRDefault="00F36400" w:rsidP="00956E97">
      <w:pPr>
        <w:numPr>
          <w:ilvl w:val="0"/>
          <w:numId w:val="2"/>
        </w:numPr>
        <w:tabs>
          <w:tab w:val="left" w:pos="720"/>
        </w:tabs>
        <w:autoSpaceDE w:val="0"/>
        <w:autoSpaceDN w:val="0"/>
        <w:adjustRightInd w:val="0"/>
        <w:rPr>
          <w:spacing w:val="-2"/>
          <w:szCs w:val="20"/>
          <w:lang w:val="en-US"/>
        </w:rPr>
      </w:pPr>
      <w:r w:rsidRPr="008A1DB4">
        <w:rPr>
          <w:spacing w:val="-2"/>
          <w:szCs w:val="20"/>
          <w:lang w:val="en-US"/>
        </w:rPr>
        <w:t>This Court</w:t>
      </w:r>
      <w:r w:rsidR="00F11578" w:rsidRPr="008A1DB4">
        <w:rPr>
          <w:spacing w:val="-2"/>
          <w:szCs w:val="20"/>
          <w:lang w:val="en-US"/>
        </w:rPr>
        <w:t xml:space="preserve"> rec</w:t>
      </w:r>
      <w:r w:rsidR="00776D24" w:rsidRPr="008A1DB4">
        <w:rPr>
          <w:spacing w:val="-2"/>
          <w:szCs w:val="20"/>
          <w:lang w:val="en-US"/>
        </w:rPr>
        <w:t>alls that the factual framework</w:t>
      </w:r>
      <w:r w:rsidR="00F11578" w:rsidRPr="008A1DB4">
        <w:rPr>
          <w:spacing w:val="-2"/>
          <w:szCs w:val="20"/>
          <w:lang w:val="en-US"/>
        </w:rPr>
        <w:t xml:space="preserve"> </w:t>
      </w:r>
      <w:r w:rsidR="00776D24" w:rsidRPr="008A1DB4">
        <w:rPr>
          <w:spacing w:val="-2"/>
          <w:szCs w:val="20"/>
          <w:lang w:val="en-US"/>
        </w:rPr>
        <w:t>of the proceedings before</w:t>
      </w:r>
      <w:r w:rsidR="00F11578" w:rsidRPr="008A1DB4">
        <w:rPr>
          <w:spacing w:val="-2"/>
          <w:szCs w:val="20"/>
          <w:lang w:val="en-US"/>
        </w:rPr>
        <w:t xml:space="preserve"> </w:t>
      </w:r>
      <w:r w:rsidR="001D43D5">
        <w:rPr>
          <w:spacing w:val="-2"/>
          <w:szCs w:val="20"/>
          <w:lang w:val="en-US"/>
        </w:rPr>
        <w:t>it</w:t>
      </w:r>
      <w:r w:rsidR="00F11578" w:rsidRPr="008A1DB4">
        <w:rPr>
          <w:spacing w:val="-2"/>
          <w:szCs w:val="20"/>
          <w:lang w:val="en-US"/>
        </w:rPr>
        <w:t xml:space="preserve"> </w:t>
      </w:r>
      <w:r w:rsidR="00776D24" w:rsidRPr="008A1DB4">
        <w:rPr>
          <w:spacing w:val="-2"/>
          <w:szCs w:val="20"/>
          <w:lang w:val="en-US"/>
        </w:rPr>
        <w:t xml:space="preserve">consists of the facts submitted to its consideration in the </w:t>
      </w:r>
      <w:r w:rsidRPr="008A1DB4">
        <w:rPr>
          <w:spacing w:val="-2"/>
          <w:szCs w:val="20"/>
          <w:lang w:val="en-US"/>
        </w:rPr>
        <w:t>Merits Report</w:t>
      </w:r>
      <w:r w:rsidR="00776D24" w:rsidRPr="008A1DB4">
        <w:rPr>
          <w:spacing w:val="-2"/>
          <w:szCs w:val="20"/>
          <w:lang w:val="en-US"/>
        </w:rPr>
        <w:t xml:space="preserve">. Consequently, it is not admissible for the parties to allege new facts that differ from those contained in that report, without prejudice to describing those that may explain, clarify or reject the facts that have been mentioned in the report and submitted to the </w:t>
      </w:r>
      <w:r w:rsidR="001D43D5">
        <w:rPr>
          <w:spacing w:val="-2"/>
          <w:szCs w:val="20"/>
          <w:lang w:val="en-US"/>
        </w:rPr>
        <w:t xml:space="preserve">Court’s </w:t>
      </w:r>
      <w:r w:rsidR="00776D24" w:rsidRPr="008A1DB4">
        <w:rPr>
          <w:spacing w:val="-2"/>
          <w:szCs w:val="20"/>
          <w:lang w:val="en-US"/>
        </w:rPr>
        <w:t>consideration.</w:t>
      </w:r>
      <w:r w:rsidR="00F11578" w:rsidRPr="008A1DB4">
        <w:rPr>
          <w:rStyle w:val="FootnoteReference"/>
          <w:spacing w:val="-2"/>
          <w:szCs w:val="20"/>
          <w:lang w:val="en-US"/>
        </w:rPr>
        <w:footnoteReference w:id="26"/>
      </w:r>
      <w:r w:rsidR="00776D24" w:rsidRPr="008A1DB4">
        <w:rPr>
          <w:spacing w:val="-2"/>
          <w:szCs w:val="20"/>
          <w:lang w:val="en-US"/>
        </w:rPr>
        <w:t xml:space="preserve"> The exception to this principle are any facts classified as supervening, provided that these are connected to the facts of the proceedings.</w:t>
      </w:r>
      <w:r w:rsidR="005468C1" w:rsidRPr="008A1DB4">
        <w:rPr>
          <w:rStyle w:val="FootnoteReference"/>
          <w:spacing w:val="-2"/>
          <w:szCs w:val="20"/>
          <w:lang w:val="en-US"/>
        </w:rPr>
        <w:footnoteReference w:id="27"/>
      </w:r>
      <w:r w:rsidR="00F11578" w:rsidRPr="008A1DB4">
        <w:rPr>
          <w:spacing w:val="-2"/>
          <w:szCs w:val="20"/>
          <w:lang w:val="en-US"/>
        </w:rPr>
        <w:t xml:space="preserve"> </w:t>
      </w:r>
    </w:p>
    <w:p w14:paraId="57B47A6D" w14:textId="77777777" w:rsidR="00F11578" w:rsidRPr="008A1DB4" w:rsidRDefault="00F11578" w:rsidP="00956E97">
      <w:pPr>
        <w:tabs>
          <w:tab w:val="left" w:pos="720"/>
        </w:tabs>
        <w:autoSpaceDE w:val="0"/>
        <w:autoSpaceDN w:val="0"/>
        <w:rPr>
          <w:spacing w:val="-2"/>
          <w:szCs w:val="20"/>
          <w:lang w:val="en-US"/>
        </w:rPr>
      </w:pPr>
    </w:p>
    <w:p w14:paraId="41C989E7" w14:textId="269A106A" w:rsidR="00620E83" w:rsidRPr="008A1DB4" w:rsidRDefault="00F36400" w:rsidP="003911B6">
      <w:pPr>
        <w:numPr>
          <w:ilvl w:val="0"/>
          <w:numId w:val="2"/>
        </w:numPr>
        <w:tabs>
          <w:tab w:val="left" w:pos="720"/>
        </w:tabs>
        <w:autoSpaceDE w:val="0"/>
        <w:autoSpaceDN w:val="0"/>
        <w:adjustRightInd w:val="0"/>
        <w:rPr>
          <w:bCs/>
          <w:spacing w:val="-2"/>
          <w:szCs w:val="20"/>
          <w:lang w:val="en-US"/>
        </w:rPr>
      </w:pPr>
      <w:bookmarkStart w:id="345" w:name="_Ref428977240"/>
      <w:r w:rsidRPr="008A1DB4">
        <w:rPr>
          <w:spacing w:val="-2"/>
          <w:szCs w:val="20"/>
          <w:lang w:val="en-US"/>
        </w:rPr>
        <w:t>The Court</w:t>
      </w:r>
      <w:r w:rsidR="005468C1" w:rsidRPr="008A1DB4">
        <w:rPr>
          <w:spacing w:val="-2"/>
          <w:szCs w:val="20"/>
          <w:lang w:val="en-US"/>
        </w:rPr>
        <w:t xml:space="preserve"> </w:t>
      </w:r>
      <w:r w:rsidR="00776D24" w:rsidRPr="008A1DB4">
        <w:rPr>
          <w:spacing w:val="-2"/>
          <w:szCs w:val="20"/>
          <w:lang w:val="en-US"/>
        </w:rPr>
        <w:t xml:space="preserve">notes that </w:t>
      </w:r>
      <w:r w:rsidR="00C45946" w:rsidRPr="008A1DB4">
        <w:rPr>
          <w:spacing w:val="-2"/>
          <w:lang w:val="en-US"/>
        </w:rPr>
        <w:t>the representative</w:t>
      </w:r>
      <w:r w:rsidR="00BE4E1A" w:rsidRPr="008A1DB4">
        <w:rPr>
          <w:spacing w:val="-2"/>
          <w:lang w:val="en-US"/>
        </w:rPr>
        <w:t xml:space="preserve"> </w:t>
      </w:r>
      <w:r w:rsidR="00776D24" w:rsidRPr="008A1DB4">
        <w:rPr>
          <w:spacing w:val="-2"/>
          <w:lang w:val="en-US"/>
        </w:rPr>
        <w:t xml:space="preserve">bases himself on the facts relating to the deprivation of liberty </w:t>
      </w:r>
      <w:r w:rsidR="00B43F84" w:rsidRPr="008A1DB4">
        <w:rPr>
          <w:spacing w:val="-2"/>
          <w:lang w:val="en-US"/>
        </w:rPr>
        <w:t>of Wong</w:t>
      </w:r>
      <w:r w:rsidR="00BE4E1A" w:rsidRPr="008A1DB4">
        <w:rPr>
          <w:spacing w:val="-2"/>
          <w:lang w:val="en-US"/>
        </w:rPr>
        <w:t xml:space="preserve"> Ho Wing </w:t>
      </w:r>
      <w:r w:rsidR="00776D24" w:rsidRPr="008A1DB4">
        <w:rPr>
          <w:spacing w:val="-2"/>
          <w:lang w:val="en-US"/>
        </w:rPr>
        <w:t>to argue that, in addition to the presumed violation of personal liberty</w:t>
      </w:r>
      <w:r w:rsidR="00BE4E1A" w:rsidRPr="008A1DB4">
        <w:rPr>
          <w:spacing w:val="-2"/>
          <w:lang w:val="en-US"/>
        </w:rPr>
        <w:t xml:space="preserve">, </w:t>
      </w:r>
      <w:r w:rsidR="00776D24" w:rsidRPr="008A1DB4">
        <w:rPr>
          <w:spacing w:val="-2"/>
          <w:lang w:val="en-US"/>
        </w:rPr>
        <w:t>his personal integrity had also been violated</w:t>
      </w:r>
      <w:r w:rsidR="00BE4E1A" w:rsidRPr="008A1DB4">
        <w:rPr>
          <w:spacing w:val="-2"/>
          <w:lang w:val="en-US"/>
        </w:rPr>
        <w:t xml:space="preserve">. </w:t>
      </w:r>
      <w:r w:rsidR="00776D24" w:rsidRPr="008A1DB4">
        <w:rPr>
          <w:spacing w:val="-2"/>
          <w:lang w:val="en-US"/>
        </w:rPr>
        <w:t>These facts are included in the factual framework.</w:t>
      </w:r>
      <w:r w:rsidR="00FD0E50" w:rsidRPr="008A1DB4">
        <w:rPr>
          <w:rStyle w:val="FootnoteReference"/>
          <w:spacing w:val="-2"/>
          <w:lang w:val="en-US"/>
        </w:rPr>
        <w:footnoteReference w:id="28"/>
      </w:r>
      <w:r w:rsidR="00BE4E1A" w:rsidRPr="008A1DB4">
        <w:rPr>
          <w:spacing w:val="-2"/>
          <w:lang w:val="en-US"/>
        </w:rPr>
        <w:t xml:space="preserve"> </w:t>
      </w:r>
      <w:r w:rsidR="00776D24" w:rsidRPr="008A1DB4">
        <w:rPr>
          <w:spacing w:val="-2"/>
          <w:lang w:val="en-US"/>
        </w:rPr>
        <w:t xml:space="preserve">The State’s arguments concerning supposed new facts refer to the </w:t>
      </w:r>
      <w:r w:rsidR="00776D24" w:rsidRPr="008A1DB4">
        <w:rPr>
          <w:spacing w:val="-2"/>
          <w:lang w:val="en-US"/>
        </w:rPr>
        <w:lastRenderedPageBreak/>
        <w:t>representative’s legal arguments that, although they differ from the legal con</w:t>
      </w:r>
      <w:r w:rsidR="001D43D5">
        <w:rPr>
          <w:spacing w:val="-2"/>
          <w:lang w:val="en-US"/>
        </w:rPr>
        <w:t>clusions</w:t>
      </w:r>
      <w:r w:rsidR="00776D24" w:rsidRPr="008A1DB4">
        <w:rPr>
          <w:spacing w:val="-2"/>
          <w:lang w:val="en-US"/>
        </w:rPr>
        <w:t xml:space="preserve"> </w:t>
      </w:r>
      <w:r w:rsidR="00C45946" w:rsidRPr="008A1DB4">
        <w:rPr>
          <w:spacing w:val="-2"/>
          <w:lang w:val="en-US"/>
        </w:rPr>
        <w:t xml:space="preserve">of the </w:t>
      </w:r>
      <w:r w:rsidRPr="008A1DB4">
        <w:rPr>
          <w:spacing w:val="-2"/>
          <w:lang w:val="en-US"/>
        </w:rPr>
        <w:t>Commission</w:t>
      </w:r>
      <w:r w:rsidR="00CB169D" w:rsidRPr="008A1DB4">
        <w:rPr>
          <w:spacing w:val="-2"/>
          <w:lang w:val="en-US"/>
        </w:rPr>
        <w:t xml:space="preserve">, </w:t>
      </w:r>
      <w:r w:rsidR="00776D24" w:rsidRPr="008A1DB4">
        <w:rPr>
          <w:spacing w:val="-2"/>
          <w:lang w:val="en-US"/>
        </w:rPr>
        <w:t xml:space="preserve">do not refer to new facts. In this regard, the Court recalls its consistent case law according to which the presumed victims and their representatives may </w:t>
      </w:r>
      <w:r w:rsidR="001D43D5">
        <w:rPr>
          <w:spacing w:val="-2"/>
          <w:lang w:val="en-US"/>
        </w:rPr>
        <w:t xml:space="preserve">mention </w:t>
      </w:r>
      <w:r w:rsidR="00776D24" w:rsidRPr="008A1DB4">
        <w:rPr>
          <w:spacing w:val="-2"/>
          <w:lang w:val="en-US"/>
        </w:rPr>
        <w:t xml:space="preserve">the violation of rights other than those included in the </w:t>
      </w:r>
      <w:r w:rsidRPr="008A1DB4">
        <w:rPr>
          <w:spacing w:val="-2"/>
          <w:lang w:val="en-US"/>
        </w:rPr>
        <w:t>Merits Report</w:t>
      </w:r>
      <w:r w:rsidR="003F6023" w:rsidRPr="008A1DB4">
        <w:rPr>
          <w:spacing w:val="-2"/>
          <w:lang w:val="en-US"/>
        </w:rPr>
        <w:t xml:space="preserve">, </w:t>
      </w:r>
      <w:r w:rsidR="001D43D5">
        <w:rPr>
          <w:spacing w:val="-2"/>
          <w:lang w:val="en-US"/>
        </w:rPr>
        <w:t xml:space="preserve">provided </w:t>
      </w:r>
      <w:r w:rsidR="00776D24" w:rsidRPr="008A1DB4">
        <w:rPr>
          <w:spacing w:val="-2"/>
          <w:lang w:val="en-US"/>
        </w:rPr>
        <w:t xml:space="preserve">they relate to the facts contained in the said document, because the presumed victims are the holders of all the rights recognized in </w:t>
      </w:r>
      <w:r w:rsidRPr="008A1DB4">
        <w:rPr>
          <w:spacing w:val="-2"/>
          <w:lang w:val="en-US"/>
        </w:rPr>
        <w:t>the Convention</w:t>
      </w:r>
      <w:r w:rsidR="00776D24" w:rsidRPr="008A1DB4">
        <w:rPr>
          <w:spacing w:val="-2"/>
          <w:lang w:val="en-US"/>
        </w:rPr>
        <w:t>.</w:t>
      </w:r>
      <w:r w:rsidR="003F6023" w:rsidRPr="008A1DB4">
        <w:rPr>
          <w:rStyle w:val="FootnoteReference"/>
          <w:spacing w:val="-2"/>
          <w:lang w:val="en-US"/>
        </w:rPr>
        <w:footnoteReference w:id="29"/>
      </w:r>
      <w:r w:rsidR="00776D24" w:rsidRPr="008A1DB4">
        <w:rPr>
          <w:spacing w:val="-2"/>
          <w:lang w:val="en-US"/>
        </w:rPr>
        <w:t xml:space="preserve"> Similarly, the representative’s arguments</w:t>
      </w:r>
      <w:r w:rsidR="00934E49" w:rsidRPr="008A1DB4">
        <w:rPr>
          <w:spacing w:val="-2"/>
          <w:lang w:val="en-US"/>
        </w:rPr>
        <w:t xml:space="preserve"> on the unlawfulness of Wong Ho Wing’s detention and on the applications for </w:t>
      </w:r>
      <w:r w:rsidR="00E022F9" w:rsidRPr="008A1DB4">
        <w:rPr>
          <w:i/>
          <w:spacing w:val="-2"/>
          <w:lang w:val="en-US"/>
        </w:rPr>
        <w:t>habeas corpus</w:t>
      </w:r>
      <w:r w:rsidR="00934E49" w:rsidRPr="008A1DB4">
        <w:rPr>
          <w:spacing w:val="-2"/>
          <w:lang w:val="en-US"/>
        </w:rPr>
        <w:t xml:space="preserve"> filed </w:t>
      </w:r>
      <w:r w:rsidR="001D43D5">
        <w:rPr>
          <w:spacing w:val="-2"/>
          <w:lang w:val="en-US"/>
        </w:rPr>
        <w:t>after</w:t>
      </w:r>
      <w:r w:rsidR="00934E49" w:rsidRPr="008A1DB4">
        <w:rPr>
          <w:spacing w:val="-2"/>
          <w:lang w:val="en-US"/>
        </w:rPr>
        <w:t xml:space="preserve"> the 2011 </w:t>
      </w:r>
      <w:r w:rsidR="001D43D5">
        <w:rPr>
          <w:spacing w:val="-2"/>
          <w:lang w:val="en-US"/>
        </w:rPr>
        <w:t>ruling</w:t>
      </w:r>
      <w:r w:rsidR="00C45946" w:rsidRPr="008A1DB4">
        <w:rPr>
          <w:spacing w:val="-2"/>
          <w:lang w:val="en-US"/>
        </w:rPr>
        <w:t xml:space="preserve"> of the </w:t>
      </w:r>
      <w:r w:rsidR="00B43F84" w:rsidRPr="008A1DB4">
        <w:rPr>
          <w:spacing w:val="-2"/>
          <w:lang w:val="en-US"/>
        </w:rPr>
        <w:t>Constitutional Court</w:t>
      </w:r>
      <w:r w:rsidR="00934E49" w:rsidRPr="008A1DB4">
        <w:rPr>
          <w:spacing w:val="-2"/>
          <w:lang w:val="en-US"/>
        </w:rPr>
        <w:t xml:space="preserve"> are legal arguments a</w:t>
      </w:r>
      <w:r w:rsidR="00ED3D6C">
        <w:rPr>
          <w:spacing w:val="-2"/>
          <w:lang w:val="en-US"/>
        </w:rPr>
        <w:t>nd not new facts. Although the appeal</w:t>
      </w:r>
      <w:r w:rsidR="00934E49" w:rsidRPr="008A1DB4">
        <w:rPr>
          <w:spacing w:val="-2"/>
          <w:lang w:val="en-US"/>
        </w:rPr>
        <w:t xml:space="preserve"> filed on April 26, 2013</w:t>
      </w:r>
      <w:r w:rsidR="003911B6" w:rsidRPr="008A1DB4">
        <w:rPr>
          <w:spacing w:val="-2"/>
          <w:lang w:val="en-US"/>
        </w:rPr>
        <w:t>,</w:t>
      </w:r>
      <w:r w:rsidR="00934E49" w:rsidRPr="008A1DB4">
        <w:rPr>
          <w:rStyle w:val="FootnoteReference"/>
          <w:spacing w:val="-2"/>
          <w:lang w:val="en-US"/>
        </w:rPr>
        <w:footnoteReference w:id="30"/>
      </w:r>
      <w:r w:rsidR="003911B6" w:rsidRPr="008A1DB4">
        <w:rPr>
          <w:spacing w:val="-2"/>
          <w:lang w:val="en-US"/>
        </w:rPr>
        <w:t xml:space="preserve"> is not mentioned specifically, this Court considers that the fact that, following the</w:t>
      </w:r>
      <w:r w:rsidR="001D43D5">
        <w:rPr>
          <w:spacing w:val="-2"/>
          <w:lang w:val="en-US"/>
        </w:rPr>
        <w:t xml:space="preserve"> ruling </w:t>
      </w:r>
      <w:r w:rsidR="005868A4" w:rsidRPr="008A1DB4">
        <w:rPr>
          <w:spacing w:val="-2"/>
          <w:lang w:val="en-US"/>
        </w:rPr>
        <w:t>of the Constitutional</w:t>
      </w:r>
      <w:r w:rsidR="003911B6" w:rsidRPr="008A1DB4">
        <w:rPr>
          <w:spacing w:val="-2"/>
          <w:lang w:val="en-US"/>
        </w:rPr>
        <w:t xml:space="preserve"> Court, the representative filed numerous remedies to try and obtain Wong Ho Wing</w:t>
      </w:r>
      <w:r w:rsidR="001D43D5">
        <w:rPr>
          <w:spacing w:val="-2"/>
          <w:lang w:val="en-US"/>
        </w:rPr>
        <w:t>’s liberty</w:t>
      </w:r>
      <w:r w:rsidR="003911B6" w:rsidRPr="008A1DB4">
        <w:rPr>
          <w:spacing w:val="-2"/>
          <w:lang w:val="en-US"/>
        </w:rPr>
        <w:t xml:space="preserve"> forms part</w:t>
      </w:r>
      <w:r w:rsidR="003911B6" w:rsidRPr="008A1DB4">
        <w:rPr>
          <w:bCs/>
          <w:spacing w:val="-2"/>
          <w:szCs w:val="20"/>
          <w:lang w:val="en-US"/>
        </w:rPr>
        <w:t xml:space="preserve"> </w:t>
      </w:r>
      <w:r w:rsidR="00776D24" w:rsidRPr="008A1DB4">
        <w:rPr>
          <w:spacing w:val="-2"/>
          <w:lang w:val="en-US"/>
        </w:rPr>
        <w:t>of the factual framework</w:t>
      </w:r>
      <w:r w:rsidR="003911B6" w:rsidRPr="008A1DB4">
        <w:rPr>
          <w:spacing w:val="-2"/>
          <w:lang w:val="en-US"/>
        </w:rPr>
        <w:t>.</w:t>
      </w:r>
      <w:r w:rsidR="00E510CF" w:rsidRPr="008A1DB4">
        <w:rPr>
          <w:rStyle w:val="FootnoteReference"/>
          <w:spacing w:val="-2"/>
          <w:lang w:val="en-US"/>
        </w:rPr>
        <w:footnoteReference w:id="31"/>
      </w:r>
      <w:r w:rsidR="003911B6" w:rsidRPr="008A1DB4">
        <w:rPr>
          <w:spacing w:val="-2"/>
          <w:lang w:val="en-US"/>
        </w:rPr>
        <w:t xml:space="preserve"> The references to all the remedies that were filed constitute facts that complement and describe in greater detail this factual situation that </w:t>
      </w:r>
      <w:r w:rsidRPr="008A1DB4">
        <w:rPr>
          <w:spacing w:val="-2"/>
          <w:lang w:val="en-US"/>
        </w:rPr>
        <w:t>the Commission</w:t>
      </w:r>
      <w:r w:rsidR="003911B6" w:rsidRPr="008A1DB4">
        <w:rPr>
          <w:spacing w:val="-2"/>
          <w:lang w:val="en-US"/>
        </w:rPr>
        <w:t xml:space="preserve"> include</w:t>
      </w:r>
      <w:r w:rsidR="001D43D5">
        <w:rPr>
          <w:spacing w:val="-2"/>
          <w:lang w:val="en-US"/>
        </w:rPr>
        <w:t>d</w:t>
      </w:r>
      <w:r w:rsidR="003911B6" w:rsidRPr="008A1DB4">
        <w:rPr>
          <w:spacing w:val="-2"/>
          <w:lang w:val="en-US"/>
        </w:rPr>
        <w:t xml:space="preserve"> in its</w:t>
      </w:r>
      <w:r w:rsidR="000B57F5" w:rsidRPr="008A1DB4">
        <w:rPr>
          <w:spacing w:val="-2"/>
          <w:lang w:val="en-US"/>
        </w:rPr>
        <w:t xml:space="preserve"> </w:t>
      </w:r>
      <w:r w:rsidRPr="008A1DB4">
        <w:rPr>
          <w:spacing w:val="-2"/>
          <w:lang w:val="en-US"/>
        </w:rPr>
        <w:t>Merits Report</w:t>
      </w:r>
      <w:r w:rsidR="00BB7DA1" w:rsidRPr="008A1DB4">
        <w:rPr>
          <w:spacing w:val="-2"/>
          <w:lang w:val="en-US"/>
        </w:rPr>
        <w:t xml:space="preserve">. </w:t>
      </w:r>
      <w:r w:rsidR="003911B6" w:rsidRPr="008A1DB4">
        <w:rPr>
          <w:spacing w:val="-2"/>
          <w:lang w:val="en-US"/>
        </w:rPr>
        <w:t>The</w:t>
      </w:r>
      <w:r w:rsidRPr="008A1DB4">
        <w:rPr>
          <w:spacing w:val="-2"/>
          <w:lang w:val="en-US"/>
        </w:rPr>
        <w:t xml:space="preserve"> Court</w:t>
      </w:r>
      <w:r w:rsidR="00962DCE" w:rsidRPr="008A1DB4">
        <w:rPr>
          <w:spacing w:val="-2"/>
          <w:lang w:val="en-US"/>
        </w:rPr>
        <w:t xml:space="preserve"> </w:t>
      </w:r>
      <w:r w:rsidR="003911B6" w:rsidRPr="008A1DB4">
        <w:rPr>
          <w:spacing w:val="-2"/>
          <w:lang w:val="en-US"/>
        </w:rPr>
        <w:t xml:space="preserve">also considers that the </w:t>
      </w:r>
      <w:r w:rsidR="00C45946" w:rsidRPr="008A1DB4">
        <w:rPr>
          <w:spacing w:val="-2"/>
          <w:lang w:val="en-US"/>
        </w:rPr>
        <w:t>representative</w:t>
      </w:r>
      <w:r w:rsidR="003911B6" w:rsidRPr="008A1DB4">
        <w:rPr>
          <w:spacing w:val="-2"/>
          <w:lang w:val="en-US"/>
        </w:rPr>
        <w:t>’s arguments about suppose</w:t>
      </w:r>
      <w:r w:rsidR="001D43D5">
        <w:rPr>
          <w:spacing w:val="-2"/>
          <w:lang w:val="en-US"/>
        </w:rPr>
        <w:t>d</w:t>
      </w:r>
      <w:r w:rsidR="003911B6" w:rsidRPr="008A1DB4">
        <w:rPr>
          <w:spacing w:val="-2"/>
          <w:lang w:val="en-US"/>
        </w:rPr>
        <w:t xml:space="preserve"> pressure placed on Peru and on </w:t>
      </w:r>
      <w:r w:rsidR="00B43F84" w:rsidRPr="008A1DB4">
        <w:rPr>
          <w:spacing w:val="-2"/>
          <w:lang w:val="en-US"/>
        </w:rPr>
        <w:t>Wong</w:t>
      </w:r>
      <w:r w:rsidR="00A83101" w:rsidRPr="008A1DB4">
        <w:rPr>
          <w:spacing w:val="-2"/>
          <w:lang w:val="en-US"/>
        </w:rPr>
        <w:t xml:space="preserve"> Ho Wing</w:t>
      </w:r>
      <w:r w:rsidR="001D43D5">
        <w:rPr>
          <w:spacing w:val="-2"/>
          <w:lang w:val="en-US"/>
        </w:rPr>
        <w:t>’s family</w:t>
      </w:r>
      <w:r w:rsidR="00A83101" w:rsidRPr="008A1DB4">
        <w:rPr>
          <w:spacing w:val="-2"/>
          <w:lang w:val="en-US"/>
        </w:rPr>
        <w:t xml:space="preserve"> </w:t>
      </w:r>
      <w:r w:rsidR="003911B6" w:rsidRPr="008A1DB4">
        <w:rPr>
          <w:spacing w:val="-2"/>
          <w:lang w:val="en-US"/>
        </w:rPr>
        <w:t>so that the extradition would be granted constitutes factual circumstances that would be part of the extradition pr</w:t>
      </w:r>
      <w:r w:rsidR="001D43D5">
        <w:rPr>
          <w:spacing w:val="-2"/>
          <w:lang w:val="en-US"/>
        </w:rPr>
        <w:t>ocess in Peru; accordingly, these</w:t>
      </w:r>
      <w:r w:rsidR="003911B6" w:rsidRPr="008A1DB4">
        <w:rPr>
          <w:spacing w:val="-2"/>
          <w:lang w:val="en-US"/>
        </w:rPr>
        <w:t xml:space="preserve"> are facts that explain or clarify the facts contained in </w:t>
      </w:r>
      <w:r w:rsidR="00776D24" w:rsidRPr="008A1DB4">
        <w:rPr>
          <w:spacing w:val="-2"/>
          <w:lang w:val="en-US"/>
        </w:rPr>
        <w:t>the factual framework</w:t>
      </w:r>
      <w:r w:rsidR="00A83101" w:rsidRPr="008A1DB4">
        <w:rPr>
          <w:spacing w:val="-2"/>
          <w:lang w:val="en-US"/>
        </w:rPr>
        <w:t xml:space="preserve"> </w:t>
      </w:r>
      <w:r w:rsidR="003911B6" w:rsidRPr="008A1DB4">
        <w:rPr>
          <w:spacing w:val="-2"/>
          <w:lang w:val="en-US"/>
        </w:rPr>
        <w:t>established by the</w:t>
      </w:r>
      <w:r w:rsidR="00A83101" w:rsidRPr="008A1DB4">
        <w:rPr>
          <w:spacing w:val="-2"/>
          <w:lang w:val="en-US"/>
        </w:rPr>
        <w:t xml:space="preserve"> </w:t>
      </w:r>
      <w:r w:rsidRPr="008A1DB4">
        <w:rPr>
          <w:spacing w:val="-2"/>
          <w:lang w:val="en-US"/>
        </w:rPr>
        <w:t>Merits Report</w:t>
      </w:r>
      <w:r w:rsidR="00A83101" w:rsidRPr="008A1DB4">
        <w:rPr>
          <w:spacing w:val="-2"/>
          <w:lang w:val="en-US"/>
        </w:rPr>
        <w:t xml:space="preserve"> </w:t>
      </w:r>
      <w:r w:rsidR="003911B6" w:rsidRPr="008A1DB4">
        <w:rPr>
          <w:spacing w:val="-2"/>
          <w:lang w:val="en-US"/>
        </w:rPr>
        <w:t xml:space="preserve">in this case. Consequently, the Court does not find the State’s objection admissible as regards the facts relating to the alleged suffering </w:t>
      </w:r>
      <w:r w:rsidR="00B43F84" w:rsidRPr="008A1DB4">
        <w:rPr>
          <w:bCs/>
          <w:spacing w:val="-2"/>
          <w:szCs w:val="20"/>
          <w:lang w:val="en-US"/>
        </w:rPr>
        <w:t>of Wong</w:t>
      </w:r>
      <w:r w:rsidR="00962DCE" w:rsidRPr="008A1DB4">
        <w:rPr>
          <w:bCs/>
          <w:spacing w:val="-2"/>
          <w:szCs w:val="20"/>
          <w:lang w:val="en-US"/>
        </w:rPr>
        <w:t xml:space="preserve"> Ho Wing, </w:t>
      </w:r>
      <w:r w:rsidR="003911B6" w:rsidRPr="008A1DB4">
        <w:rPr>
          <w:bCs/>
          <w:spacing w:val="-2"/>
          <w:szCs w:val="20"/>
          <w:lang w:val="en-US"/>
        </w:rPr>
        <w:t>his detention and the remedies filed following the</w:t>
      </w:r>
      <w:r w:rsidR="001D43D5">
        <w:rPr>
          <w:bCs/>
          <w:spacing w:val="-2"/>
          <w:szCs w:val="20"/>
          <w:lang w:val="en-US"/>
        </w:rPr>
        <w:t xml:space="preserve"> ruling</w:t>
      </w:r>
      <w:r w:rsidR="005868A4" w:rsidRPr="008A1DB4">
        <w:rPr>
          <w:bCs/>
          <w:spacing w:val="-2"/>
          <w:szCs w:val="20"/>
          <w:lang w:val="en-US"/>
        </w:rPr>
        <w:t xml:space="preserve"> of the Constitutional</w:t>
      </w:r>
      <w:r w:rsidR="00B43F84" w:rsidRPr="008A1DB4">
        <w:rPr>
          <w:bCs/>
          <w:spacing w:val="-2"/>
          <w:szCs w:val="20"/>
          <w:lang w:val="en-US"/>
        </w:rPr>
        <w:t xml:space="preserve"> Court</w:t>
      </w:r>
      <w:r w:rsidR="00962DCE" w:rsidRPr="008A1DB4">
        <w:rPr>
          <w:bCs/>
          <w:spacing w:val="-2"/>
          <w:szCs w:val="20"/>
          <w:lang w:val="en-US"/>
        </w:rPr>
        <w:t>, as</w:t>
      </w:r>
      <w:r w:rsidR="003911B6" w:rsidRPr="008A1DB4">
        <w:rPr>
          <w:bCs/>
          <w:spacing w:val="-2"/>
          <w:szCs w:val="20"/>
          <w:lang w:val="en-US"/>
        </w:rPr>
        <w:t xml:space="preserve"> well as with regard to the alleged pressure to grant the extradition. Despite the</w:t>
      </w:r>
      <w:r w:rsidR="001D43D5">
        <w:rPr>
          <w:bCs/>
          <w:spacing w:val="-2"/>
          <w:szCs w:val="20"/>
          <w:lang w:val="en-US"/>
        </w:rPr>
        <w:t xml:space="preserve"> above</w:t>
      </w:r>
      <w:r w:rsidR="003911B6" w:rsidRPr="008A1DB4">
        <w:rPr>
          <w:bCs/>
          <w:spacing w:val="-2"/>
          <w:szCs w:val="20"/>
          <w:lang w:val="en-US"/>
        </w:rPr>
        <w:t xml:space="preserve">, in the chapter on the facts, the Court will determine those that it considers proved in the instant case. </w:t>
      </w:r>
      <w:bookmarkEnd w:id="345"/>
    </w:p>
    <w:p w14:paraId="6BBC48BE" w14:textId="77777777" w:rsidR="003F6023" w:rsidRPr="008A1DB4" w:rsidRDefault="003F6023" w:rsidP="00956E97">
      <w:pPr>
        <w:tabs>
          <w:tab w:val="left" w:pos="720"/>
        </w:tabs>
        <w:autoSpaceDE w:val="0"/>
        <w:autoSpaceDN w:val="0"/>
        <w:adjustRightInd w:val="0"/>
        <w:rPr>
          <w:spacing w:val="-2"/>
          <w:szCs w:val="20"/>
          <w:lang w:val="en-US"/>
        </w:rPr>
      </w:pPr>
    </w:p>
    <w:p w14:paraId="313F9B75" w14:textId="0FF40693" w:rsidR="00F11578" w:rsidRPr="008A1DB4" w:rsidRDefault="003911B6" w:rsidP="00956E97">
      <w:pPr>
        <w:numPr>
          <w:ilvl w:val="0"/>
          <w:numId w:val="2"/>
        </w:numPr>
        <w:tabs>
          <w:tab w:val="left" w:pos="720"/>
        </w:tabs>
        <w:autoSpaceDE w:val="0"/>
        <w:autoSpaceDN w:val="0"/>
        <w:adjustRightInd w:val="0"/>
        <w:rPr>
          <w:spacing w:val="-2"/>
          <w:szCs w:val="20"/>
          <w:lang w:val="en-US"/>
        </w:rPr>
      </w:pPr>
      <w:bookmarkStart w:id="346" w:name="_Ref416369525"/>
      <w:r w:rsidRPr="008A1DB4">
        <w:rPr>
          <w:bCs/>
          <w:spacing w:val="-2"/>
          <w:szCs w:val="20"/>
          <w:lang w:val="en-US"/>
        </w:rPr>
        <w:t>To the contrary</w:t>
      </w:r>
      <w:r w:rsidR="005468C1" w:rsidRPr="008A1DB4">
        <w:rPr>
          <w:bCs/>
          <w:spacing w:val="-2"/>
          <w:szCs w:val="20"/>
          <w:lang w:val="en-US"/>
        </w:rPr>
        <w:t xml:space="preserve">, </w:t>
      </w:r>
      <w:r w:rsidR="00F36400" w:rsidRPr="008A1DB4">
        <w:rPr>
          <w:spacing w:val="-2"/>
          <w:szCs w:val="20"/>
          <w:lang w:val="en-US"/>
        </w:rPr>
        <w:t>the Court</w:t>
      </w:r>
      <w:r w:rsidR="005468C1" w:rsidRPr="008A1DB4">
        <w:rPr>
          <w:spacing w:val="-2"/>
          <w:szCs w:val="20"/>
          <w:lang w:val="en-US"/>
        </w:rPr>
        <w:t xml:space="preserve"> </w:t>
      </w:r>
      <w:r w:rsidRPr="008A1DB4">
        <w:rPr>
          <w:spacing w:val="-2"/>
          <w:szCs w:val="20"/>
          <w:lang w:val="en-US"/>
        </w:rPr>
        <w:t xml:space="preserve">notes that the facts included in the statements of </w:t>
      </w:r>
      <w:r w:rsidR="00C45946" w:rsidRPr="008A1DB4">
        <w:rPr>
          <w:spacing w:val="-2"/>
          <w:lang w:val="en-US"/>
        </w:rPr>
        <w:t xml:space="preserve">the </w:t>
      </w:r>
      <w:r w:rsidR="00F36400" w:rsidRPr="008A1DB4">
        <w:rPr>
          <w:spacing w:val="-2"/>
          <w:lang w:val="en-US"/>
        </w:rPr>
        <w:t>presumed victim and</w:t>
      </w:r>
      <w:r w:rsidRPr="008A1DB4">
        <w:rPr>
          <w:spacing w:val="-2"/>
          <w:lang w:val="en-US"/>
        </w:rPr>
        <w:t xml:space="preserve"> his</w:t>
      </w:r>
      <w:r w:rsidR="001D43D5">
        <w:rPr>
          <w:spacing w:val="-2"/>
          <w:lang w:val="en-US"/>
        </w:rPr>
        <w:t xml:space="preserve"> next of kin with regard to </w:t>
      </w:r>
      <w:r w:rsidR="00B43F84" w:rsidRPr="008A1DB4">
        <w:rPr>
          <w:spacing w:val="-2"/>
          <w:lang w:val="en-US"/>
        </w:rPr>
        <w:t>Wong</w:t>
      </w:r>
      <w:r w:rsidR="00E6235B" w:rsidRPr="008A1DB4">
        <w:rPr>
          <w:spacing w:val="-2"/>
          <w:lang w:val="en-US"/>
        </w:rPr>
        <w:t xml:space="preserve"> Ho Wing</w:t>
      </w:r>
      <w:r w:rsidRPr="008A1DB4">
        <w:rPr>
          <w:spacing w:val="-2"/>
          <w:lang w:val="en-US"/>
        </w:rPr>
        <w:t xml:space="preserve">’s detention conditions, or the treatment received during his deprivation of liberty, as well as the proceedings for money-laundering opened in Peru do not constitute facts that explain, clarify or reject those included in the </w:t>
      </w:r>
      <w:r w:rsidR="00F36400" w:rsidRPr="008A1DB4">
        <w:rPr>
          <w:spacing w:val="-2"/>
          <w:szCs w:val="20"/>
          <w:lang w:val="en-US"/>
        </w:rPr>
        <w:t>Merits Report</w:t>
      </w:r>
      <w:r w:rsidR="005468C1" w:rsidRPr="008A1DB4">
        <w:rPr>
          <w:spacing w:val="-2"/>
          <w:szCs w:val="20"/>
          <w:lang w:val="en-US"/>
        </w:rPr>
        <w:t xml:space="preserve">. </w:t>
      </w:r>
      <w:r w:rsidRPr="008A1DB4">
        <w:rPr>
          <w:spacing w:val="-2"/>
          <w:szCs w:val="20"/>
          <w:lang w:val="en-US"/>
        </w:rPr>
        <w:t>Consequently, the Court will not take them into account in this case</w:t>
      </w:r>
      <w:r w:rsidR="005468C1" w:rsidRPr="008A1DB4">
        <w:rPr>
          <w:spacing w:val="-2"/>
          <w:szCs w:val="20"/>
          <w:lang w:val="en-US"/>
        </w:rPr>
        <w:t>.</w:t>
      </w:r>
      <w:bookmarkEnd w:id="346"/>
      <w:r w:rsidR="005468C1" w:rsidRPr="008A1DB4">
        <w:rPr>
          <w:spacing w:val="-2"/>
          <w:szCs w:val="20"/>
          <w:lang w:val="en-US"/>
        </w:rPr>
        <w:t xml:space="preserve"> </w:t>
      </w:r>
    </w:p>
    <w:p w14:paraId="703BA9D9" w14:textId="77777777" w:rsidR="00A83878" w:rsidRPr="008A1DB4" w:rsidRDefault="00A83878" w:rsidP="00956E97">
      <w:pPr>
        <w:rPr>
          <w:spacing w:val="-2"/>
          <w:lang w:val="en-US"/>
        </w:rPr>
      </w:pPr>
    </w:p>
    <w:p w14:paraId="3BEFDB93" w14:textId="77777777" w:rsidR="001A0D21" w:rsidRPr="008A1DB4" w:rsidRDefault="001A0D21" w:rsidP="00956E97">
      <w:pPr>
        <w:pStyle w:val="Title"/>
        <w:rPr>
          <w:spacing w:val="-2"/>
          <w:lang w:val="en-US"/>
        </w:rPr>
      </w:pPr>
      <w:bookmarkStart w:id="347" w:name="_Toc418912597"/>
      <w:bookmarkStart w:id="348" w:name="_Toc419394379"/>
      <w:bookmarkStart w:id="349" w:name="_Toc429490245"/>
      <w:bookmarkStart w:id="350" w:name="_Toc429503757"/>
      <w:bookmarkStart w:id="351" w:name="_Toc429504263"/>
      <w:bookmarkStart w:id="352" w:name="_Toc429677976"/>
      <w:bookmarkStart w:id="353" w:name="_Toc430017139"/>
      <w:bookmarkStart w:id="354" w:name="_Toc430017368"/>
      <w:bookmarkStart w:id="355" w:name="_Toc430018650"/>
      <w:bookmarkStart w:id="356" w:name="_Toc430125248"/>
      <w:bookmarkStart w:id="357" w:name="_Toc430125356"/>
      <w:r w:rsidRPr="008A1DB4">
        <w:rPr>
          <w:spacing w:val="-2"/>
          <w:lang w:val="en-US"/>
        </w:rPr>
        <w:t>VI</w:t>
      </w:r>
      <w:r w:rsidR="006F4421" w:rsidRPr="008A1DB4">
        <w:rPr>
          <w:spacing w:val="-2"/>
          <w:lang w:val="en-US"/>
        </w:rPr>
        <w:t>I</w:t>
      </w:r>
      <w:bookmarkEnd w:id="347"/>
      <w:bookmarkEnd w:id="348"/>
      <w:bookmarkEnd w:id="349"/>
      <w:bookmarkEnd w:id="350"/>
      <w:bookmarkEnd w:id="351"/>
      <w:bookmarkEnd w:id="352"/>
      <w:bookmarkEnd w:id="353"/>
      <w:bookmarkEnd w:id="354"/>
      <w:bookmarkEnd w:id="355"/>
      <w:bookmarkEnd w:id="356"/>
      <w:bookmarkEnd w:id="357"/>
    </w:p>
    <w:p w14:paraId="7BC7660C" w14:textId="07C33FDB" w:rsidR="001A0D21" w:rsidRPr="008A1DB4" w:rsidRDefault="003911B6" w:rsidP="00956E97">
      <w:pPr>
        <w:pStyle w:val="Title"/>
        <w:rPr>
          <w:spacing w:val="-2"/>
          <w:lang w:val="en-US"/>
        </w:rPr>
      </w:pPr>
      <w:r w:rsidRPr="008A1DB4">
        <w:rPr>
          <w:spacing w:val="-2"/>
          <w:lang w:val="en-US"/>
        </w:rPr>
        <w:t>EVIDENCE</w:t>
      </w:r>
    </w:p>
    <w:p w14:paraId="2BA2DDC9" w14:textId="77777777" w:rsidR="00327E7D" w:rsidRPr="008A1DB4" w:rsidRDefault="00327E7D" w:rsidP="00956E97">
      <w:pPr>
        <w:pStyle w:val="ListParagraph"/>
        <w:widowControl w:val="0"/>
        <w:autoSpaceDE w:val="0"/>
        <w:autoSpaceDN w:val="0"/>
        <w:adjustRightInd w:val="0"/>
        <w:ind w:left="0" w:right="22"/>
        <w:contextualSpacing w:val="0"/>
        <w:rPr>
          <w:spacing w:val="-2"/>
          <w:lang w:val="en-US"/>
        </w:rPr>
      </w:pPr>
    </w:p>
    <w:p w14:paraId="22233293" w14:textId="615260E7" w:rsidR="00327E7D" w:rsidRPr="008A1DB4" w:rsidRDefault="00327E7D" w:rsidP="00956E97">
      <w:pPr>
        <w:pStyle w:val="Heading1"/>
        <w:rPr>
          <w:spacing w:val="-2"/>
          <w:lang w:val="en-US" w:eastAsia="es-MX"/>
        </w:rPr>
      </w:pPr>
      <w:bookmarkStart w:id="358" w:name="_Toc418912599"/>
      <w:bookmarkStart w:id="359" w:name="_Toc419394381"/>
      <w:bookmarkStart w:id="360" w:name="_Toc429490247"/>
      <w:bookmarkStart w:id="361" w:name="_Toc429503759"/>
      <w:bookmarkStart w:id="362" w:name="_Toc429504265"/>
      <w:bookmarkStart w:id="363" w:name="_Toc429677978"/>
      <w:bookmarkStart w:id="364" w:name="_Toc430017141"/>
      <w:bookmarkStart w:id="365" w:name="_Toc430017370"/>
      <w:bookmarkStart w:id="366" w:name="_Toc430018652"/>
      <w:bookmarkStart w:id="367" w:name="_Toc430125250"/>
      <w:bookmarkStart w:id="368" w:name="_Toc430125358"/>
      <w:r w:rsidRPr="008A1DB4">
        <w:rPr>
          <w:iCs/>
          <w:spacing w:val="-2"/>
          <w:lang w:val="en-US" w:eastAsia="es-MX"/>
        </w:rPr>
        <w:t>A.</w:t>
      </w:r>
      <w:r w:rsidRPr="008A1DB4">
        <w:rPr>
          <w:spacing w:val="-2"/>
          <w:lang w:val="en-US" w:eastAsia="es-MX"/>
        </w:rPr>
        <w:t xml:space="preserve"> </w:t>
      </w:r>
      <w:r w:rsidR="003911B6" w:rsidRPr="008A1DB4">
        <w:rPr>
          <w:spacing w:val="-2"/>
          <w:lang w:val="en-US" w:eastAsia="es-MX"/>
        </w:rPr>
        <w:t>Documentary, testimonial and expert evidence</w:t>
      </w:r>
      <w:bookmarkEnd w:id="358"/>
      <w:bookmarkEnd w:id="359"/>
      <w:bookmarkEnd w:id="360"/>
      <w:bookmarkEnd w:id="361"/>
      <w:bookmarkEnd w:id="362"/>
      <w:bookmarkEnd w:id="363"/>
      <w:bookmarkEnd w:id="364"/>
      <w:bookmarkEnd w:id="365"/>
      <w:bookmarkEnd w:id="366"/>
      <w:bookmarkEnd w:id="367"/>
      <w:bookmarkEnd w:id="368"/>
      <w:r w:rsidRPr="008A1DB4">
        <w:rPr>
          <w:spacing w:val="-2"/>
          <w:lang w:val="en-US" w:eastAsia="es-MX"/>
        </w:rPr>
        <w:t xml:space="preserve"> </w:t>
      </w:r>
    </w:p>
    <w:p w14:paraId="3B5800FA" w14:textId="77777777" w:rsidR="00327E7D" w:rsidRPr="008A1DB4" w:rsidRDefault="00327E7D" w:rsidP="00956E97">
      <w:pPr>
        <w:pStyle w:val="ListParagraph"/>
        <w:widowControl w:val="0"/>
        <w:autoSpaceDE w:val="0"/>
        <w:autoSpaceDN w:val="0"/>
        <w:adjustRightInd w:val="0"/>
        <w:ind w:left="0" w:right="22"/>
        <w:contextualSpacing w:val="0"/>
        <w:rPr>
          <w:spacing w:val="-2"/>
          <w:lang w:val="en-US"/>
        </w:rPr>
      </w:pPr>
    </w:p>
    <w:p w14:paraId="3A2A4CEA" w14:textId="0496F8C1" w:rsidR="00327E7D" w:rsidRPr="008A1DB4" w:rsidRDefault="00F36400" w:rsidP="00956E97">
      <w:pPr>
        <w:pStyle w:val="ListParagraph"/>
        <w:widowControl w:val="0"/>
        <w:numPr>
          <w:ilvl w:val="0"/>
          <w:numId w:val="2"/>
        </w:numPr>
        <w:autoSpaceDE w:val="0"/>
        <w:autoSpaceDN w:val="0"/>
        <w:adjustRightInd w:val="0"/>
        <w:ind w:right="22"/>
        <w:contextualSpacing w:val="0"/>
        <w:rPr>
          <w:spacing w:val="-2"/>
          <w:lang w:val="en-US"/>
        </w:rPr>
      </w:pPr>
      <w:r w:rsidRPr="00ED3D6C">
        <w:rPr>
          <w:rFonts w:eastAsia="Batang" w:cs="Times New Roman"/>
          <w:spacing w:val="-2"/>
          <w:szCs w:val="20"/>
          <w:lang w:val="en-US" w:eastAsia="es-CR"/>
        </w:rPr>
        <w:t>This Court</w:t>
      </w:r>
      <w:r w:rsidR="00327E7D" w:rsidRPr="00ED3D6C">
        <w:rPr>
          <w:rFonts w:eastAsia="Batang" w:cs="Times New Roman"/>
          <w:spacing w:val="-2"/>
          <w:szCs w:val="20"/>
          <w:lang w:val="en-US" w:eastAsia="es-CR"/>
        </w:rPr>
        <w:t xml:space="preserve"> </w:t>
      </w:r>
      <w:r w:rsidR="003911B6" w:rsidRPr="00ED3D6C">
        <w:rPr>
          <w:rFonts w:eastAsia="Times New Roman" w:cs="Times New Roman"/>
          <w:spacing w:val="-2"/>
          <w:szCs w:val="20"/>
          <w:lang w:val="en-US" w:eastAsia="es-CR"/>
        </w:rPr>
        <w:t xml:space="preserve">received diverse documents presented as evidence by </w:t>
      </w:r>
      <w:r w:rsidRPr="00ED3D6C">
        <w:rPr>
          <w:rFonts w:eastAsia="Times New Roman" w:cs="Times New Roman"/>
          <w:spacing w:val="-2"/>
          <w:szCs w:val="20"/>
          <w:lang w:val="en-US" w:eastAsia="es-CR"/>
        </w:rPr>
        <w:t xml:space="preserve">the Commission and </w:t>
      </w:r>
      <w:r w:rsidR="003911B6" w:rsidRPr="00ED3D6C">
        <w:rPr>
          <w:rFonts w:eastAsia="Times New Roman" w:cs="Times New Roman"/>
          <w:spacing w:val="-2"/>
          <w:szCs w:val="20"/>
          <w:lang w:val="en-US" w:eastAsia="es-CR"/>
        </w:rPr>
        <w:t>the</w:t>
      </w:r>
      <w:r w:rsidR="00ED3D6C">
        <w:rPr>
          <w:rFonts w:eastAsia="Times New Roman" w:cs="Times New Roman"/>
          <w:spacing w:val="-2"/>
          <w:szCs w:val="20"/>
          <w:lang w:val="en-US" w:eastAsia="es-CR"/>
        </w:rPr>
        <w:t xml:space="preserve"> parties</w:t>
      </w:r>
      <w:r w:rsidR="003911B6" w:rsidRPr="008A1DB4">
        <w:rPr>
          <w:rFonts w:eastAsia="Times New Roman" w:cs="Times New Roman"/>
          <w:spacing w:val="-2"/>
          <w:szCs w:val="20"/>
          <w:lang w:val="en-US" w:eastAsia="es-CR"/>
        </w:rPr>
        <w:t xml:space="preserve"> attached to their main briefs </w:t>
      </w:r>
      <w:r w:rsidR="00327E7D" w:rsidRPr="008A1DB4">
        <w:rPr>
          <w:rFonts w:eastAsia="Calibri" w:cs="Verdana"/>
          <w:spacing w:val="-2"/>
          <w:szCs w:val="20"/>
          <w:lang w:val="en-US" w:eastAsia="es-CR"/>
        </w:rPr>
        <w:t>(</w:t>
      </w:r>
      <w:r w:rsidR="00327E7D" w:rsidRPr="008A1DB4">
        <w:rPr>
          <w:rFonts w:eastAsia="Calibri" w:cs="Verdana"/>
          <w:i/>
          <w:iCs/>
          <w:spacing w:val="-2"/>
          <w:szCs w:val="20"/>
          <w:lang w:val="en-US" w:eastAsia="es-CR"/>
        </w:rPr>
        <w:t>supra</w:t>
      </w:r>
      <w:r w:rsidR="00412C66" w:rsidRPr="008A1DB4">
        <w:rPr>
          <w:rFonts w:eastAsia="Calibri" w:cs="Verdana"/>
          <w:spacing w:val="-2"/>
          <w:szCs w:val="20"/>
          <w:lang w:val="en-US" w:eastAsia="es-CR"/>
        </w:rPr>
        <w:t xml:space="preserve"> </w:t>
      </w:r>
      <w:r w:rsidR="00631F9C" w:rsidRPr="008A1DB4">
        <w:rPr>
          <w:rFonts w:eastAsia="Calibri" w:cs="Verdana"/>
          <w:spacing w:val="-2"/>
          <w:szCs w:val="20"/>
          <w:lang w:val="en-US" w:eastAsia="es-CR"/>
        </w:rPr>
        <w:t>paras.</w:t>
      </w:r>
      <w:r w:rsidR="00412C66" w:rsidRPr="008A1DB4">
        <w:rPr>
          <w:spacing w:val="-2"/>
          <w:lang w:val="en-US"/>
        </w:rPr>
        <w:t xml:space="preserve"> </w:t>
      </w:r>
      <w:r w:rsidR="00412C66" w:rsidRPr="008A1DB4">
        <w:rPr>
          <w:spacing w:val="-2"/>
          <w:lang w:val="en-US"/>
        </w:rPr>
        <w:fldChar w:fldCharType="begin"/>
      </w:r>
      <w:r w:rsidR="00412C66" w:rsidRPr="008A1DB4">
        <w:rPr>
          <w:spacing w:val="-2"/>
          <w:lang w:val="en-US"/>
        </w:rPr>
        <w:instrText xml:space="preserve"> REF _Ref430087509 \r \h </w:instrText>
      </w:r>
      <w:r w:rsidR="00EB3BAE" w:rsidRPr="008A1DB4">
        <w:rPr>
          <w:spacing w:val="-2"/>
          <w:lang w:val="en-US"/>
        </w:rPr>
        <w:instrText xml:space="preserve"> \* MERGEFORMAT </w:instrText>
      </w:r>
      <w:r w:rsidR="00412C66" w:rsidRPr="008A1DB4">
        <w:rPr>
          <w:spacing w:val="-2"/>
          <w:lang w:val="en-US"/>
        </w:rPr>
      </w:r>
      <w:r w:rsidR="00412C66" w:rsidRPr="008A1DB4">
        <w:rPr>
          <w:spacing w:val="-2"/>
          <w:lang w:val="en-US"/>
        </w:rPr>
        <w:fldChar w:fldCharType="separate"/>
      </w:r>
      <w:r w:rsidR="00E961FA" w:rsidRPr="008A1DB4">
        <w:rPr>
          <w:spacing w:val="-2"/>
          <w:lang w:val="en-US"/>
        </w:rPr>
        <w:t>3</w:t>
      </w:r>
      <w:r w:rsidR="00412C66" w:rsidRPr="008A1DB4">
        <w:rPr>
          <w:spacing w:val="-2"/>
          <w:lang w:val="en-US"/>
        </w:rPr>
        <w:fldChar w:fldCharType="end"/>
      </w:r>
      <w:r w:rsidR="00412C66"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_Ref343193237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7</w:t>
      </w:r>
      <w:r w:rsidR="00BE2225" w:rsidRPr="008A1DB4">
        <w:rPr>
          <w:spacing w:val="-2"/>
          <w:lang w:val="en-US"/>
        </w:rPr>
        <w:fldChar w:fldCharType="end"/>
      </w:r>
      <w:r w:rsidRPr="008A1DB4">
        <w:rPr>
          <w:spacing w:val="-2"/>
          <w:lang w:val="en-US"/>
        </w:rPr>
        <w:t xml:space="preserve"> and </w:t>
      </w:r>
      <w:r w:rsidR="00412C66" w:rsidRPr="008A1DB4">
        <w:rPr>
          <w:spacing w:val="-2"/>
          <w:lang w:val="en-US"/>
        </w:rPr>
        <w:fldChar w:fldCharType="begin"/>
      </w:r>
      <w:r w:rsidR="00412C66" w:rsidRPr="008A1DB4">
        <w:rPr>
          <w:spacing w:val="-2"/>
          <w:lang w:val="en-US"/>
        </w:rPr>
        <w:instrText xml:space="preserve"> REF _Ref430087496 \r \h </w:instrText>
      </w:r>
      <w:r w:rsidR="00EB3BAE" w:rsidRPr="008A1DB4">
        <w:rPr>
          <w:spacing w:val="-2"/>
          <w:lang w:val="en-US"/>
        </w:rPr>
        <w:instrText xml:space="preserve"> \* MERGEFORMAT </w:instrText>
      </w:r>
      <w:r w:rsidR="00412C66" w:rsidRPr="008A1DB4">
        <w:rPr>
          <w:spacing w:val="-2"/>
          <w:lang w:val="en-US"/>
        </w:rPr>
      </w:r>
      <w:r w:rsidR="00412C66" w:rsidRPr="008A1DB4">
        <w:rPr>
          <w:spacing w:val="-2"/>
          <w:lang w:val="en-US"/>
        </w:rPr>
        <w:fldChar w:fldCharType="separate"/>
      </w:r>
      <w:r w:rsidR="00E961FA" w:rsidRPr="008A1DB4">
        <w:rPr>
          <w:spacing w:val="-2"/>
          <w:lang w:val="en-US"/>
        </w:rPr>
        <w:t>8</w:t>
      </w:r>
      <w:r w:rsidR="00412C66" w:rsidRPr="008A1DB4">
        <w:rPr>
          <w:spacing w:val="-2"/>
          <w:lang w:val="en-US"/>
        </w:rPr>
        <w:fldChar w:fldCharType="end"/>
      </w:r>
      <w:r w:rsidR="00327E7D" w:rsidRPr="008A1DB4">
        <w:rPr>
          <w:rFonts w:eastAsia="Calibri" w:cs="Verdana"/>
          <w:spacing w:val="-2"/>
          <w:szCs w:val="20"/>
          <w:lang w:val="en-US" w:eastAsia="es-CR"/>
        </w:rPr>
        <w:t>)</w:t>
      </w:r>
      <w:r w:rsidR="00327E7D" w:rsidRPr="008A1DB4">
        <w:rPr>
          <w:rFonts w:eastAsia="Times New Roman" w:cs="Times New Roman"/>
          <w:spacing w:val="-2"/>
          <w:szCs w:val="20"/>
          <w:lang w:val="en-US" w:eastAsia="es-CR"/>
        </w:rPr>
        <w:t xml:space="preserve">. </w:t>
      </w:r>
      <w:r w:rsidR="003911B6" w:rsidRPr="008A1DB4">
        <w:rPr>
          <w:rFonts w:eastAsia="Times New Roman"/>
          <w:spacing w:val="-2"/>
          <w:szCs w:val="20"/>
          <w:lang w:val="en-US"/>
        </w:rPr>
        <w:t xml:space="preserve">The </w:t>
      </w:r>
      <w:r w:rsidRPr="008A1DB4">
        <w:rPr>
          <w:rFonts w:eastAsia="Times New Roman"/>
          <w:spacing w:val="-2"/>
          <w:szCs w:val="20"/>
          <w:lang w:val="en-US"/>
        </w:rPr>
        <w:t>Court</w:t>
      </w:r>
      <w:r w:rsidR="00711BBE" w:rsidRPr="008A1DB4">
        <w:rPr>
          <w:rFonts w:eastAsia="Times New Roman"/>
          <w:spacing w:val="-2"/>
          <w:szCs w:val="20"/>
          <w:lang w:val="en-US"/>
        </w:rPr>
        <w:t xml:space="preserve"> </w:t>
      </w:r>
      <w:r w:rsidR="003911B6" w:rsidRPr="008A1DB4">
        <w:rPr>
          <w:rFonts w:eastAsia="Times New Roman"/>
          <w:spacing w:val="-2"/>
          <w:szCs w:val="20"/>
          <w:lang w:val="en-US"/>
        </w:rPr>
        <w:t xml:space="preserve">also received </w:t>
      </w:r>
      <w:r w:rsidR="00ED3D6C">
        <w:rPr>
          <w:rFonts w:eastAsia="Times New Roman"/>
          <w:spacing w:val="-2"/>
          <w:szCs w:val="20"/>
          <w:lang w:val="en-US"/>
        </w:rPr>
        <w:t xml:space="preserve">from the parties documents </w:t>
      </w:r>
      <w:r w:rsidR="003911B6" w:rsidRPr="008A1DB4">
        <w:rPr>
          <w:rFonts w:eastAsia="Times New Roman"/>
          <w:spacing w:val="-2"/>
          <w:szCs w:val="20"/>
          <w:lang w:val="en-US"/>
        </w:rPr>
        <w:t xml:space="preserve">it had requested as helpful evidence under </w:t>
      </w:r>
      <w:r w:rsidRPr="008A1DB4">
        <w:rPr>
          <w:rFonts w:eastAsia="Times New Roman"/>
          <w:spacing w:val="-2"/>
          <w:szCs w:val="20"/>
          <w:lang w:val="en-US"/>
        </w:rPr>
        <w:t>Article</w:t>
      </w:r>
      <w:r w:rsidR="00327E7D" w:rsidRPr="008A1DB4">
        <w:rPr>
          <w:rFonts w:eastAsia="Times New Roman"/>
          <w:spacing w:val="-2"/>
          <w:szCs w:val="20"/>
          <w:lang w:val="en-US"/>
        </w:rPr>
        <w:t xml:space="preserve"> 58 </w:t>
      </w:r>
      <w:r w:rsidRPr="008A1DB4">
        <w:rPr>
          <w:rFonts w:eastAsia="Times New Roman"/>
          <w:spacing w:val="-2"/>
          <w:szCs w:val="20"/>
          <w:lang w:val="en-US"/>
        </w:rPr>
        <w:t>of the Rules of Procedure</w:t>
      </w:r>
      <w:r w:rsidR="00327E7D" w:rsidRPr="008A1DB4">
        <w:rPr>
          <w:rFonts w:eastAsia="Times New Roman"/>
          <w:spacing w:val="-2"/>
          <w:szCs w:val="20"/>
          <w:lang w:val="en-US"/>
        </w:rPr>
        <w:t xml:space="preserve">. </w:t>
      </w:r>
      <w:r w:rsidR="003911B6" w:rsidRPr="008A1DB4">
        <w:rPr>
          <w:rFonts w:eastAsia="Times New Roman"/>
          <w:spacing w:val="-2"/>
          <w:szCs w:val="20"/>
          <w:lang w:val="en-US"/>
        </w:rPr>
        <w:t xml:space="preserve">In addition, </w:t>
      </w:r>
      <w:r w:rsidRPr="008A1DB4">
        <w:rPr>
          <w:rFonts w:eastAsia="Times New Roman" w:cs="Times New Roman"/>
          <w:spacing w:val="-2"/>
          <w:szCs w:val="20"/>
          <w:lang w:val="en-US" w:eastAsia="es-MX"/>
        </w:rPr>
        <w:t>the Court</w:t>
      </w:r>
      <w:r w:rsidR="00327E7D" w:rsidRPr="008A1DB4">
        <w:rPr>
          <w:rFonts w:eastAsia="Times New Roman" w:cs="Times New Roman"/>
          <w:spacing w:val="-2"/>
          <w:szCs w:val="20"/>
          <w:lang w:val="en-US" w:eastAsia="es-MX"/>
        </w:rPr>
        <w:t xml:space="preserve"> rec</w:t>
      </w:r>
      <w:r w:rsidR="003911B6" w:rsidRPr="008A1DB4">
        <w:rPr>
          <w:rFonts w:eastAsia="Times New Roman" w:cs="Times New Roman"/>
          <w:spacing w:val="-2"/>
          <w:szCs w:val="20"/>
          <w:lang w:val="en-US" w:eastAsia="es-MX"/>
        </w:rPr>
        <w:t xml:space="preserve">eived the affidavits made by </w:t>
      </w:r>
      <w:bookmarkStart w:id="369" w:name="_Ref317363514"/>
      <w:r w:rsidRPr="008A1DB4">
        <w:rPr>
          <w:rFonts w:eastAsia="Times New Roman" w:cs="Times New Roman"/>
          <w:spacing w:val="-2"/>
          <w:szCs w:val="20"/>
          <w:lang w:val="en-US" w:eastAsia="es-MX"/>
        </w:rPr>
        <w:t>the presumed victim</w:t>
      </w:r>
      <w:r w:rsidR="003911B6" w:rsidRPr="008A1DB4">
        <w:rPr>
          <w:rFonts w:eastAsia="Times New Roman" w:cs="Times New Roman"/>
          <w:spacing w:val="-2"/>
          <w:szCs w:val="20"/>
          <w:lang w:val="en-US" w:eastAsia="es-MX"/>
        </w:rPr>
        <w:t>,</w:t>
      </w:r>
      <w:r w:rsidR="00327E7D" w:rsidRPr="008A1DB4">
        <w:rPr>
          <w:rFonts w:eastAsia="Times New Roman" w:cs="Times New Roman"/>
          <w:spacing w:val="-2"/>
          <w:szCs w:val="20"/>
          <w:lang w:val="en-US" w:eastAsia="es-MX"/>
        </w:rPr>
        <w:t xml:space="preserve"> </w:t>
      </w:r>
      <w:r w:rsidR="00327E7D" w:rsidRPr="008A1DB4">
        <w:rPr>
          <w:spacing w:val="-2"/>
          <w:lang w:val="en-US"/>
        </w:rPr>
        <w:t>Wong Ho Wing</w:t>
      </w:r>
      <w:r w:rsidR="003911B6" w:rsidRPr="008A1DB4">
        <w:rPr>
          <w:spacing w:val="-2"/>
          <w:lang w:val="en-US"/>
        </w:rPr>
        <w:t>,</w:t>
      </w:r>
      <w:r w:rsidRPr="008A1DB4">
        <w:rPr>
          <w:spacing w:val="-2"/>
          <w:lang w:val="en-US"/>
        </w:rPr>
        <w:t xml:space="preserve"> and </w:t>
      </w:r>
      <w:r w:rsidR="003911B6" w:rsidRPr="008A1DB4">
        <w:rPr>
          <w:spacing w:val="-2"/>
          <w:lang w:val="en-US"/>
        </w:rPr>
        <w:t>the witnesses,</w:t>
      </w:r>
      <w:r w:rsidR="00327E7D" w:rsidRPr="008A1DB4">
        <w:rPr>
          <w:spacing w:val="-2"/>
          <w:lang w:val="en-US"/>
        </w:rPr>
        <w:t xml:space="preserve"> Kin </w:t>
      </w:r>
      <w:proofErr w:type="spellStart"/>
      <w:r w:rsidR="00327E7D" w:rsidRPr="008A1DB4">
        <w:rPr>
          <w:spacing w:val="-2"/>
          <w:lang w:val="en-US"/>
        </w:rPr>
        <w:t>Mui</w:t>
      </w:r>
      <w:proofErr w:type="spellEnd"/>
      <w:r w:rsidR="00327E7D" w:rsidRPr="008A1DB4">
        <w:rPr>
          <w:spacing w:val="-2"/>
          <w:lang w:val="en-US"/>
        </w:rPr>
        <w:t xml:space="preserve"> Chan</w:t>
      </w:r>
      <w:r w:rsidRPr="008A1DB4">
        <w:rPr>
          <w:spacing w:val="-2"/>
          <w:lang w:val="en-US"/>
        </w:rPr>
        <w:t xml:space="preserve"> and </w:t>
      </w:r>
      <w:r w:rsidR="00327E7D" w:rsidRPr="008A1DB4">
        <w:rPr>
          <w:spacing w:val="-2"/>
          <w:lang w:val="en-US"/>
        </w:rPr>
        <w:t>He Long Huang</w:t>
      </w:r>
      <w:r w:rsidR="00FB14CF" w:rsidRPr="008A1DB4">
        <w:rPr>
          <w:color w:val="000000"/>
          <w:spacing w:val="-2"/>
          <w:lang w:val="en-US"/>
        </w:rPr>
        <w:t>,</w:t>
      </w:r>
      <w:r w:rsidR="00327E7D" w:rsidRPr="008A1DB4">
        <w:rPr>
          <w:color w:val="000000"/>
          <w:spacing w:val="-2"/>
          <w:lang w:val="en-US"/>
        </w:rPr>
        <w:t xml:space="preserve"> as</w:t>
      </w:r>
      <w:r w:rsidR="003911B6" w:rsidRPr="008A1DB4">
        <w:rPr>
          <w:color w:val="000000"/>
          <w:spacing w:val="-2"/>
          <w:lang w:val="en-US"/>
        </w:rPr>
        <w:t xml:space="preserve"> well as the expert opinions of </w:t>
      </w:r>
      <w:r w:rsidR="00CF5356" w:rsidRPr="008A1DB4">
        <w:rPr>
          <w:color w:val="000000"/>
          <w:spacing w:val="-2"/>
          <w:lang w:val="en-US"/>
        </w:rPr>
        <w:t xml:space="preserve">Carmen </w:t>
      </w:r>
      <w:proofErr w:type="spellStart"/>
      <w:r w:rsidR="00CF5356" w:rsidRPr="008A1DB4">
        <w:rPr>
          <w:color w:val="000000"/>
          <w:spacing w:val="-2"/>
          <w:lang w:val="en-US"/>
        </w:rPr>
        <w:t>Wurst</w:t>
      </w:r>
      <w:proofErr w:type="spellEnd"/>
      <w:r w:rsidR="00CF5356" w:rsidRPr="008A1DB4">
        <w:rPr>
          <w:color w:val="000000"/>
          <w:spacing w:val="-2"/>
          <w:lang w:val="en-US"/>
        </w:rPr>
        <w:t xml:space="preserve"> de </w:t>
      </w:r>
      <w:proofErr w:type="spellStart"/>
      <w:r w:rsidR="00CF5356" w:rsidRPr="008A1DB4">
        <w:rPr>
          <w:color w:val="000000"/>
          <w:spacing w:val="-2"/>
          <w:lang w:val="en-US"/>
        </w:rPr>
        <w:t>Landá</w:t>
      </w:r>
      <w:r w:rsidR="00327E7D" w:rsidRPr="008A1DB4">
        <w:rPr>
          <w:color w:val="000000"/>
          <w:spacing w:val="-2"/>
          <w:lang w:val="en-US"/>
        </w:rPr>
        <w:t>zuri</w:t>
      </w:r>
      <w:proofErr w:type="spellEnd"/>
      <w:r w:rsidR="00327E7D" w:rsidRPr="008A1DB4">
        <w:rPr>
          <w:spacing w:val="-2"/>
          <w:lang w:val="en-US"/>
        </w:rPr>
        <w:t>, Ben Saul</w:t>
      </w:r>
      <w:r w:rsidRPr="008A1DB4">
        <w:rPr>
          <w:spacing w:val="-2"/>
          <w:lang w:val="en-US"/>
        </w:rPr>
        <w:t xml:space="preserve"> and </w:t>
      </w:r>
      <w:r w:rsidR="00327E7D" w:rsidRPr="008A1DB4">
        <w:rPr>
          <w:spacing w:val="-2"/>
          <w:lang w:val="en-US"/>
        </w:rPr>
        <w:t xml:space="preserve">Geoff Gilbert, </w:t>
      </w:r>
      <w:proofErr w:type="spellStart"/>
      <w:r w:rsidR="00327E7D" w:rsidRPr="008A1DB4">
        <w:rPr>
          <w:spacing w:val="-2"/>
          <w:lang w:val="en-US"/>
        </w:rPr>
        <w:t>Huawen</w:t>
      </w:r>
      <w:proofErr w:type="spellEnd"/>
      <w:r w:rsidR="00327E7D" w:rsidRPr="008A1DB4">
        <w:rPr>
          <w:spacing w:val="-2"/>
          <w:lang w:val="en-US"/>
        </w:rPr>
        <w:t xml:space="preserve"> Liu</w:t>
      </w:r>
      <w:r w:rsidRPr="008A1DB4">
        <w:rPr>
          <w:spacing w:val="-2"/>
          <w:lang w:val="en-US"/>
        </w:rPr>
        <w:t xml:space="preserve"> and </w:t>
      </w:r>
      <w:r w:rsidR="00327E7D" w:rsidRPr="008A1DB4">
        <w:rPr>
          <w:spacing w:val="-2"/>
          <w:lang w:val="en-US"/>
        </w:rPr>
        <w:t xml:space="preserve">Jean Carlo </w:t>
      </w:r>
      <w:proofErr w:type="spellStart"/>
      <w:r w:rsidR="00327E7D" w:rsidRPr="008A1DB4">
        <w:rPr>
          <w:spacing w:val="-2"/>
          <w:lang w:val="en-US"/>
        </w:rPr>
        <w:t>Mejía</w:t>
      </w:r>
      <w:proofErr w:type="spellEnd"/>
      <w:r w:rsidR="00327E7D" w:rsidRPr="008A1DB4">
        <w:rPr>
          <w:spacing w:val="-2"/>
          <w:lang w:val="en-US"/>
        </w:rPr>
        <w:t xml:space="preserve"> </w:t>
      </w:r>
      <w:proofErr w:type="spellStart"/>
      <w:r w:rsidR="00327E7D" w:rsidRPr="008A1DB4">
        <w:rPr>
          <w:spacing w:val="-2"/>
          <w:lang w:val="en-US"/>
        </w:rPr>
        <w:t>Azuero</w:t>
      </w:r>
      <w:proofErr w:type="spellEnd"/>
      <w:r w:rsidR="003911B6" w:rsidRPr="008A1DB4">
        <w:rPr>
          <w:spacing w:val="-2"/>
          <w:lang w:val="en-US"/>
        </w:rPr>
        <w:t>.</w:t>
      </w:r>
      <w:r w:rsidR="00327E7D" w:rsidRPr="008A1DB4">
        <w:rPr>
          <w:spacing w:val="-2"/>
          <w:vertAlign w:val="superscript"/>
          <w:lang w:val="en-US" w:eastAsia="es-CR"/>
        </w:rPr>
        <w:footnoteReference w:id="32"/>
      </w:r>
      <w:bookmarkEnd w:id="369"/>
      <w:r w:rsidR="003911B6" w:rsidRPr="008A1DB4">
        <w:rPr>
          <w:rFonts w:eastAsia="Times New Roman" w:cs="Times New Roman"/>
          <w:spacing w:val="-2"/>
          <w:szCs w:val="20"/>
          <w:lang w:val="en-US" w:eastAsia="es-CR"/>
        </w:rPr>
        <w:t xml:space="preserve"> Regarding the evidence provided during the</w:t>
      </w:r>
      <w:r w:rsidR="00327E7D" w:rsidRPr="008A1DB4">
        <w:rPr>
          <w:rFonts w:eastAsia="Times New Roman" w:cs="Times New Roman"/>
          <w:spacing w:val="-2"/>
          <w:szCs w:val="20"/>
          <w:lang w:val="en-US" w:eastAsia="es-CR"/>
        </w:rPr>
        <w:t xml:space="preserve"> </w:t>
      </w:r>
      <w:r w:rsidR="008C4EFC" w:rsidRPr="008A1DB4">
        <w:rPr>
          <w:rFonts w:eastAsia="Times New Roman" w:cs="Times New Roman"/>
          <w:spacing w:val="-2"/>
          <w:szCs w:val="20"/>
          <w:lang w:val="en-US" w:eastAsia="es-CR"/>
        </w:rPr>
        <w:t>public hearing</w:t>
      </w:r>
      <w:r w:rsidR="00327E7D" w:rsidRPr="008A1DB4">
        <w:rPr>
          <w:rFonts w:eastAsia="Times New Roman" w:cs="Times New Roman"/>
          <w:spacing w:val="-2"/>
          <w:szCs w:val="20"/>
          <w:lang w:val="en-US" w:eastAsia="es-CR"/>
        </w:rPr>
        <w:t xml:space="preserve">, </w:t>
      </w:r>
      <w:r w:rsidRPr="008A1DB4">
        <w:rPr>
          <w:rFonts w:eastAsia="Times New Roman" w:cs="Times New Roman"/>
          <w:spacing w:val="-2"/>
          <w:szCs w:val="20"/>
          <w:lang w:val="en-US" w:eastAsia="es-CR"/>
        </w:rPr>
        <w:t>the Court</w:t>
      </w:r>
      <w:r w:rsidR="00327E7D" w:rsidRPr="008A1DB4">
        <w:rPr>
          <w:rFonts w:eastAsia="Times New Roman" w:cs="Times New Roman"/>
          <w:spacing w:val="-2"/>
          <w:szCs w:val="20"/>
          <w:lang w:val="en-US" w:eastAsia="es-CR"/>
        </w:rPr>
        <w:t xml:space="preserve"> </w:t>
      </w:r>
      <w:r w:rsidR="003911B6" w:rsidRPr="008A1DB4">
        <w:rPr>
          <w:rFonts w:eastAsia="Times New Roman" w:cs="Times New Roman"/>
          <w:spacing w:val="-2"/>
          <w:szCs w:val="20"/>
          <w:lang w:val="en-US" w:eastAsia="es-CR"/>
        </w:rPr>
        <w:t xml:space="preserve">heard the expert opinions of </w:t>
      </w:r>
      <w:proofErr w:type="spellStart"/>
      <w:r w:rsidR="00327E7D" w:rsidRPr="008A1DB4">
        <w:rPr>
          <w:spacing w:val="-2"/>
          <w:lang w:val="en-US"/>
        </w:rPr>
        <w:t>Bingzhi</w:t>
      </w:r>
      <w:proofErr w:type="spellEnd"/>
      <w:r w:rsidR="00327E7D" w:rsidRPr="008A1DB4">
        <w:rPr>
          <w:spacing w:val="-2"/>
          <w:lang w:val="en-US"/>
        </w:rPr>
        <w:t xml:space="preserve"> Zhao, </w:t>
      </w:r>
      <w:proofErr w:type="spellStart"/>
      <w:r w:rsidR="00327E7D" w:rsidRPr="008A1DB4">
        <w:rPr>
          <w:spacing w:val="-2"/>
          <w:lang w:val="en-US"/>
        </w:rPr>
        <w:t>Ang</w:t>
      </w:r>
      <w:proofErr w:type="spellEnd"/>
      <w:r w:rsidR="00327E7D" w:rsidRPr="008A1DB4">
        <w:rPr>
          <w:spacing w:val="-2"/>
          <w:lang w:val="en-US"/>
        </w:rPr>
        <w:t xml:space="preserve"> Sun</w:t>
      </w:r>
      <w:r w:rsidRPr="008A1DB4">
        <w:rPr>
          <w:spacing w:val="-2"/>
          <w:lang w:val="en-US"/>
        </w:rPr>
        <w:t xml:space="preserve"> and </w:t>
      </w:r>
      <w:proofErr w:type="spellStart"/>
      <w:r w:rsidR="00327E7D" w:rsidRPr="008A1DB4">
        <w:rPr>
          <w:spacing w:val="-2"/>
          <w:lang w:val="en-US"/>
        </w:rPr>
        <w:t>Víctor</w:t>
      </w:r>
      <w:proofErr w:type="spellEnd"/>
      <w:r w:rsidR="00327E7D" w:rsidRPr="008A1DB4">
        <w:rPr>
          <w:spacing w:val="-2"/>
          <w:lang w:val="en-US"/>
        </w:rPr>
        <w:t xml:space="preserve"> Oscar </w:t>
      </w:r>
      <w:proofErr w:type="spellStart"/>
      <w:r w:rsidR="00327E7D" w:rsidRPr="008A1DB4">
        <w:rPr>
          <w:spacing w:val="-2"/>
          <w:lang w:val="en-US"/>
        </w:rPr>
        <w:t>Shiyin</w:t>
      </w:r>
      <w:proofErr w:type="spellEnd"/>
      <w:r w:rsidR="00327E7D" w:rsidRPr="008A1DB4">
        <w:rPr>
          <w:spacing w:val="-2"/>
          <w:lang w:val="en-US"/>
        </w:rPr>
        <w:t xml:space="preserve"> </w:t>
      </w:r>
      <w:proofErr w:type="spellStart"/>
      <w:r w:rsidR="00327E7D" w:rsidRPr="008A1DB4">
        <w:rPr>
          <w:spacing w:val="-2"/>
          <w:lang w:val="en-US"/>
        </w:rPr>
        <w:t>García</w:t>
      </w:r>
      <w:proofErr w:type="spellEnd"/>
      <w:r w:rsidR="00327E7D" w:rsidRPr="008A1DB4">
        <w:rPr>
          <w:spacing w:val="-2"/>
          <w:lang w:val="en-US"/>
        </w:rPr>
        <w:t xml:space="preserve"> </w:t>
      </w:r>
      <w:proofErr w:type="spellStart"/>
      <w:r w:rsidR="00327E7D" w:rsidRPr="008A1DB4">
        <w:rPr>
          <w:spacing w:val="-2"/>
          <w:lang w:val="en-US"/>
        </w:rPr>
        <w:t>Toma</w:t>
      </w:r>
      <w:proofErr w:type="spellEnd"/>
      <w:r w:rsidR="00327E7D" w:rsidRPr="008A1DB4">
        <w:rPr>
          <w:rFonts w:eastAsia="Times New Roman" w:cs="Times New Roman"/>
          <w:spacing w:val="-2"/>
          <w:szCs w:val="20"/>
          <w:lang w:val="en-US" w:eastAsia="es-CR"/>
        </w:rPr>
        <w:t>.</w:t>
      </w:r>
    </w:p>
    <w:p w14:paraId="03D57B89" w14:textId="77777777" w:rsidR="00110776" w:rsidRPr="008A1DB4" w:rsidRDefault="00110776" w:rsidP="00956E97">
      <w:pPr>
        <w:pStyle w:val="ListParagraph"/>
        <w:widowControl w:val="0"/>
        <w:autoSpaceDE w:val="0"/>
        <w:autoSpaceDN w:val="0"/>
        <w:adjustRightInd w:val="0"/>
        <w:ind w:left="0" w:right="22"/>
        <w:contextualSpacing w:val="0"/>
        <w:rPr>
          <w:spacing w:val="-2"/>
          <w:lang w:val="en-US"/>
        </w:rPr>
      </w:pPr>
    </w:p>
    <w:p w14:paraId="2FF0F809" w14:textId="2EB2C42C" w:rsidR="00F233BB" w:rsidRPr="008A1DB4" w:rsidRDefault="00327E7D" w:rsidP="00956E97">
      <w:pPr>
        <w:pStyle w:val="Heading1"/>
        <w:rPr>
          <w:spacing w:val="-2"/>
          <w:lang w:val="en-US" w:eastAsia="es-MX"/>
        </w:rPr>
      </w:pPr>
      <w:bookmarkStart w:id="370" w:name="_Toc375560911"/>
      <w:bookmarkStart w:id="371" w:name="_Toc395213497"/>
      <w:bookmarkStart w:id="372" w:name="_Toc396514854"/>
      <w:bookmarkStart w:id="373" w:name="_Toc405857804"/>
      <w:bookmarkStart w:id="374" w:name="_Toc418912600"/>
      <w:bookmarkStart w:id="375" w:name="_Toc419394382"/>
      <w:bookmarkStart w:id="376" w:name="_Toc429490248"/>
      <w:bookmarkStart w:id="377" w:name="_Toc429503760"/>
      <w:bookmarkStart w:id="378" w:name="_Toc429504266"/>
      <w:bookmarkStart w:id="379" w:name="_Toc429677979"/>
      <w:bookmarkStart w:id="380" w:name="_Toc430017142"/>
      <w:bookmarkStart w:id="381" w:name="_Toc430017371"/>
      <w:bookmarkStart w:id="382" w:name="_Toc430018653"/>
      <w:bookmarkStart w:id="383" w:name="_Toc430125251"/>
      <w:bookmarkStart w:id="384" w:name="_Toc430125359"/>
      <w:r w:rsidRPr="008A1DB4">
        <w:rPr>
          <w:spacing w:val="-2"/>
          <w:lang w:val="en-US" w:eastAsia="es-MX"/>
        </w:rPr>
        <w:t xml:space="preserve">B. </w:t>
      </w:r>
      <w:r w:rsidR="003911B6" w:rsidRPr="008A1DB4">
        <w:rPr>
          <w:spacing w:val="-2"/>
          <w:lang w:val="en-US" w:eastAsia="es-MX"/>
        </w:rPr>
        <w:t>Admission of the evidence</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00F233BB" w:rsidRPr="008A1DB4">
        <w:rPr>
          <w:iCs/>
          <w:spacing w:val="-2"/>
          <w:lang w:val="en-US" w:eastAsia="es-MX"/>
        </w:rPr>
        <w:t xml:space="preserve"> </w:t>
      </w:r>
      <w:r w:rsidR="00F233BB" w:rsidRPr="008A1DB4">
        <w:rPr>
          <w:spacing w:val="-2"/>
          <w:lang w:val="en-US" w:eastAsia="es-MX"/>
        </w:rPr>
        <w:t xml:space="preserve"> </w:t>
      </w:r>
    </w:p>
    <w:p w14:paraId="4A682CC3" w14:textId="77777777" w:rsidR="00110776" w:rsidRPr="008A1DB4" w:rsidRDefault="00110776" w:rsidP="00956E97">
      <w:pPr>
        <w:rPr>
          <w:spacing w:val="-2"/>
          <w:lang w:val="en-US" w:eastAsia="es-MX"/>
        </w:rPr>
      </w:pPr>
    </w:p>
    <w:p w14:paraId="198A1739" w14:textId="550FCD5D" w:rsidR="00F233BB" w:rsidRPr="008A1DB4" w:rsidRDefault="00F233BB" w:rsidP="00956E97">
      <w:pPr>
        <w:pStyle w:val="Heading2"/>
        <w:rPr>
          <w:bCs/>
          <w:spacing w:val="-2"/>
          <w:lang w:val="en-US"/>
        </w:rPr>
      </w:pPr>
      <w:bookmarkStart w:id="385" w:name="_Toc375560912"/>
      <w:bookmarkStart w:id="386" w:name="_Toc405857805"/>
      <w:bookmarkStart w:id="387" w:name="_Toc419394383"/>
      <w:bookmarkStart w:id="388" w:name="_Toc429490249"/>
      <w:bookmarkStart w:id="389" w:name="_Toc429503761"/>
      <w:bookmarkStart w:id="390" w:name="_Toc429504267"/>
      <w:bookmarkStart w:id="391" w:name="_Toc429677980"/>
      <w:bookmarkStart w:id="392" w:name="_Toc430017143"/>
      <w:bookmarkStart w:id="393" w:name="_Toc430017372"/>
      <w:bookmarkStart w:id="394" w:name="_Toc430018654"/>
      <w:bookmarkStart w:id="395" w:name="_Toc430125252"/>
      <w:bookmarkStart w:id="396" w:name="_Toc430125360"/>
      <w:r w:rsidRPr="008A1DB4">
        <w:rPr>
          <w:bCs/>
          <w:spacing w:val="-2"/>
          <w:lang w:val="en-US"/>
        </w:rPr>
        <w:t xml:space="preserve">B.1) </w:t>
      </w:r>
      <w:r w:rsidR="003911B6" w:rsidRPr="008A1DB4">
        <w:rPr>
          <w:spacing w:val="-2"/>
          <w:lang w:val="en-US"/>
        </w:rPr>
        <w:t>Admission of the documentary evidence</w:t>
      </w:r>
      <w:bookmarkEnd w:id="385"/>
      <w:bookmarkEnd w:id="386"/>
      <w:bookmarkEnd w:id="387"/>
      <w:bookmarkEnd w:id="388"/>
      <w:bookmarkEnd w:id="389"/>
      <w:bookmarkEnd w:id="390"/>
      <w:bookmarkEnd w:id="391"/>
      <w:bookmarkEnd w:id="392"/>
      <w:bookmarkEnd w:id="393"/>
      <w:bookmarkEnd w:id="394"/>
      <w:bookmarkEnd w:id="395"/>
      <w:bookmarkEnd w:id="396"/>
      <w:r w:rsidRPr="008A1DB4">
        <w:rPr>
          <w:bCs/>
          <w:spacing w:val="-2"/>
          <w:lang w:val="en-US"/>
        </w:rPr>
        <w:t xml:space="preserve"> </w:t>
      </w:r>
    </w:p>
    <w:p w14:paraId="61A9AC23" w14:textId="77777777" w:rsidR="00110776" w:rsidRPr="008A1DB4" w:rsidRDefault="00110776" w:rsidP="00956E97">
      <w:pPr>
        <w:rPr>
          <w:spacing w:val="-2"/>
          <w:lang w:val="en-US"/>
        </w:rPr>
      </w:pPr>
    </w:p>
    <w:p w14:paraId="453DB107" w14:textId="5B25FC91" w:rsidR="00F233BB" w:rsidRPr="008A1DB4" w:rsidRDefault="003911B6" w:rsidP="00956E97">
      <w:pPr>
        <w:widowControl w:val="0"/>
        <w:numPr>
          <w:ilvl w:val="0"/>
          <w:numId w:val="2"/>
        </w:numPr>
        <w:autoSpaceDE w:val="0"/>
        <w:autoSpaceDN w:val="0"/>
        <w:adjustRightInd w:val="0"/>
        <w:textAlignment w:val="baseline"/>
        <w:rPr>
          <w:rFonts w:eastAsia="Calibri" w:cs="Verdana"/>
          <w:spacing w:val="-2"/>
          <w:szCs w:val="20"/>
          <w:lang w:val="en-US" w:eastAsia="es-MX"/>
        </w:rPr>
      </w:pPr>
      <w:r w:rsidRPr="008A1DB4">
        <w:rPr>
          <w:rFonts w:eastAsia="Calibri" w:cs="Verdana"/>
          <w:spacing w:val="-2"/>
          <w:szCs w:val="20"/>
          <w:lang w:val="en-US" w:eastAsia="es-MX"/>
        </w:rPr>
        <w:t>In this case, as in others, this Court admits those documents presented by the parties and the Commission at the appropriate opportunity that were not challenged or contested, and the authenticity of which was not questioned.</w:t>
      </w:r>
      <w:r w:rsidR="00F233BB" w:rsidRPr="008A1DB4">
        <w:rPr>
          <w:rFonts w:eastAsia="Calibri" w:cs="Verdana"/>
          <w:spacing w:val="-2"/>
          <w:szCs w:val="20"/>
          <w:vertAlign w:val="superscript"/>
          <w:lang w:val="en-US" w:eastAsia="es-MX"/>
        </w:rPr>
        <w:footnoteReference w:id="33"/>
      </w:r>
      <w:r w:rsidRPr="008A1DB4">
        <w:rPr>
          <w:rFonts w:eastAsia="Calibri" w:cs="Verdana"/>
          <w:spacing w:val="-2"/>
          <w:szCs w:val="20"/>
          <w:lang w:val="en-US" w:eastAsia="es-MX"/>
        </w:rPr>
        <w:t xml:space="preserve"> The documents requested by</w:t>
      </w:r>
      <w:r w:rsidR="00F233BB" w:rsidRPr="008A1DB4">
        <w:rPr>
          <w:rFonts w:eastAsia="Calibri" w:cs="Verdana"/>
          <w:spacing w:val="-2"/>
          <w:szCs w:val="20"/>
          <w:lang w:val="en-US" w:eastAsia="es-MX"/>
        </w:rPr>
        <w:t xml:space="preserve"> </w:t>
      </w:r>
      <w:r w:rsidR="00F36400" w:rsidRPr="008A1DB4">
        <w:rPr>
          <w:spacing w:val="-2"/>
          <w:lang w:val="en-US"/>
        </w:rPr>
        <w:t>the Court</w:t>
      </w:r>
      <w:r w:rsidR="00B045ED" w:rsidRPr="008A1DB4">
        <w:rPr>
          <w:spacing w:val="-2"/>
          <w:lang w:val="en-US"/>
        </w:rPr>
        <w:t xml:space="preserve"> o</w:t>
      </w:r>
      <w:r w:rsidRPr="008A1DB4">
        <w:rPr>
          <w:spacing w:val="-2"/>
          <w:lang w:val="en-US"/>
        </w:rPr>
        <w:t xml:space="preserve">r its President </w:t>
      </w:r>
      <w:r w:rsidR="002B2E6F" w:rsidRPr="008A1DB4">
        <w:rPr>
          <w:spacing w:val="-2"/>
          <w:lang w:val="en-US"/>
        </w:rPr>
        <w:t>and</w:t>
      </w:r>
      <w:r w:rsidRPr="008A1DB4">
        <w:rPr>
          <w:spacing w:val="-2"/>
          <w:lang w:val="en-US"/>
        </w:rPr>
        <w:t xml:space="preserve"> provided by the parties after the </w:t>
      </w:r>
      <w:r w:rsidR="008C4EFC" w:rsidRPr="008A1DB4">
        <w:rPr>
          <w:spacing w:val="-2"/>
          <w:lang w:val="en-US"/>
        </w:rPr>
        <w:t>public hearing</w:t>
      </w:r>
      <w:r w:rsidR="00B045ED" w:rsidRPr="008A1DB4">
        <w:rPr>
          <w:spacing w:val="-2"/>
          <w:lang w:val="en-US"/>
        </w:rPr>
        <w:t xml:space="preserve"> </w:t>
      </w:r>
      <w:r w:rsidRPr="008A1DB4">
        <w:rPr>
          <w:spacing w:val="-2"/>
          <w:lang w:val="en-US"/>
        </w:rPr>
        <w:t xml:space="preserve">were incorporated into the body of evidence in application </w:t>
      </w:r>
      <w:r w:rsidR="0058668C" w:rsidRPr="008A1DB4">
        <w:rPr>
          <w:spacing w:val="-2"/>
          <w:lang w:val="en-US"/>
        </w:rPr>
        <w:t>of Article</w:t>
      </w:r>
      <w:r w:rsidR="00B045ED" w:rsidRPr="008A1DB4">
        <w:rPr>
          <w:spacing w:val="-2"/>
          <w:lang w:val="en-US"/>
        </w:rPr>
        <w:t xml:space="preserve"> 58 </w:t>
      </w:r>
      <w:r w:rsidR="00F36400" w:rsidRPr="008A1DB4">
        <w:rPr>
          <w:spacing w:val="-2"/>
          <w:lang w:val="en-US"/>
        </w:rPr>
        <w:t>of the Rules of Procedure</w:t>
      </w:r>
      <w:r w:rsidR="00B045ED" w:rsidRPr="008A1DB4">
        <w:rPr>
          <w:spacing w:val="-2"/>
          <w:lang w:val="en-US"/>
        </w:rPr>
        <w:t>.</w:t>
      </w:r>
    </w:p>
    <w:p w14:paraId="6ABD2C1D" w14:textId="77777777" w:rsidR="00110776" w:rsidRPr="008A1DB4" w:rsidRDefault="00110776" w:rsidP="00956E97">
      <w:pPr>
        <w:widowControl w:val="0"/>
        <w:autoSpaceDE w:val="0"/>
        <w:autoSpaceDN w:val="0"/>
        <w:adjustRightInd w:val="0"/>
        <w:textAlignment w:val="baseline"/>
        <w:rPr>
          <w:rFonts w:eastAsia="Calibri" w:cs="Verdana"/>
          <w:spacing w:val="-2"/>
          <w:szCs w:val="20"/>
          <w:lang w:val="en-US" w:eastAsia="es-MX"/>
        </w:rPr>
      </w:pPr>
    </w:p>
    <w:p w14:paraId="4B661C61" w14:textId="0FF53F0D" w:rsidR="002B2E6F" w:rsidRPr="008A1DB4" w:rsidRDefault="002B2E6F" w:rsidP="00956E97">
      <w:pPr>
        <w:widowControl w:val="0"/>
        <w:numPr>
          <w:ilvl w:val="0"/>
          <w:numId w:val="2"/>
        </w:numPr>
        <w:autoSpaceDE w:val="0"/>
        <w:autoSpaceDN w:val="0"/>
        <w:adjustRightInd w:val="0"/>
        <w:textAlignment w:val="baseline"/>
        <w:rPr>
          <w:rFonts w:eastAsia="Calibri" w:cs="Verdana"/>
          <w:spacing w:val="-2"/>
          <w:szCs w:val="20"/>
          <w:lang w:val="en-US" w:eastAsia="es-MX"/>
        </w:rPr>
      </w:pPr>
      <w:r w:rsidRPr="008A1DB4">
        <w:rPr>
          <w:rFonts w:eastAsia="Calibri" w:cs="Verdana"/>
          <w:spacing w:val="-2"/>
          <w:szCs w:val="20"/>
          <w:lang w:val="en-US" w:eastAsia="es-CR"/>
        </w:rPr>
        <w:t xml:space="preserve">Regarding the newspaper articles presented by the parties </w:t>
      </w:r>
      <w:r w:rsidR="00F36400" w:rsidRPr="008A1DB4">
        <w:rPr>
          <w:rFonts w:eastAsia="Calibri" w:cs="Verdana"/>
          <w:spacing w:val="-2"/>
          <w:szCs w:val="20"/>
          <w:lang w:val="en-US" w:eastAsia="es-CR"/>
        </w:rPr>
        <w:t>and the Commission</w:t>
      </w:r>
      <w:r w:rsidR="00F233BB" w:rsidRPr="008A1DB4">
        <w:rPr>
          <w:rFonts w:eastAsia="Calibri" w:cs="Verdana"/>
          <w:spacing w:val="-2"/>
          <w:szCs w:val="20"/>
          <w:lang w:val="en-US" w:eastAsia="es-CR"/>
        </w:rPr>
        <w:t xml:space="preserve">, </w:t>
      </w:r>
      <w:r w:rsidR="00F36400" w:rsidRPr="008A1DB4">
        <w:rPr>
          <w:rFonts w:eastAsia="Calibri" w:cs="Verdana"/>
          <w:spacing w:val="-2"/>
          <w:szCs w:val="20"/>
          <w:lang w:val="en-US" w:eastAsia="es-CR"/>
        </w:rPr>
        <w:t>this Court</w:t>
      </w:r>
      <w:r w:rsidR="00F233BB" w:rsidRPr="008A1DB4">
        <w:rPr>
          <w:rFonts w:eastAsia="Calibri" w:cs="Verdana"/>
          <w:spacing w:val="-2"/>
          <w:szCs w:val="20"/>
          <w:lang w:val="en-US" w:eastAsia="es-CR"/>
        </w:rPr>
        <w:t xml:space="preserve"> ha</w:t>
      </w:r>
      <w:r w:rsidRPr="008A1DB4">
        <w:rPr>
          <w:rFonts w:eastAsia="Calibri" w:cs="Verdana"/>
          <w:spacing w:val="-2"/>
          <w:szCs w:val="20"/>
          <w:lang w:val="en-US" w:eastAsia="es-CR"/>
        </w:rPr>
        <w:t>s considered that they may be assessed when they refer to well-known public facts or declarations by State officials, or when they corroborate aspects related to the case.</w:t>
      </w:r>
      <w:r w:rsidRPr="008A1DB4">
        <w:rPr>
          <w:rFonts w:eastAsia="Calibri" w:cs="Verdana"/>
          <w:spacing w:val="-2"/>
          <w:szCs w:val="20"/>
          <w:vertAlign w:val="superscript"/>
          <w:lang w:val="en-US" w:eastAsia="es-CR"/>
        </w:rPr>
        <w:footnoteReference w:id="34"/>
      </w:r>
      <w:r w:rsidRPr="008A1DB4">
        <w:rPr>
          <w:rFonts w:eastAsia="Calibri" w:cs="Verdana"/>
          <w:spacing w:val="-2"/>
          <w:szCs w:val="20"/>
          <w:lang w:val="en-US" w:eastAsia="es-CR"/>
        </w:rPr>
        <w:t xml:space="preserve"> The Court decides to admit those documents that are complete or that, at least, allow their source and date of publication to be verified.</w:t>
      </w:r>
    </w:p>
    <w:p w14:paraId="4AC11F6D" w14:textId="77777777" w:rsidR="00110776" w:rsidRPr="008A1DB4" w:rsidRDefault="00110776" w:rsidP="00956E97">
      <w:pPr>
        <w:widowControl w:val="0"/>
        <w:autoSpaceDE w:val="0"/>
        <w:autoSpaceDN w:val="0"/>
        <w:adjustRightInd w:val="0"/>
        <w:textAlignment w:val="baseline"/>
        <w:rPr>
          <w:rFonts w:eastAsia="Calibri" w:cs="Verdana"/>
          <w:spacing w:val="-2"/>
          <w:szCs w:val="20"/>
          <w:lang w:val="en-US" w:eastAsia="es-MX"/>
        </w:rPr>
      </w:pPr>
    </w:p>
    <w:p w14:paraId="4F78A89B" w14:textId="54B83210" w:rsidR="002B2E6F" w:rsidRPr="008A1DB4" w:rsidRDefault="002B2E6F" w:rsidP="00956E97">
      <w:pPr>
        <w:widowControl w:val="0"/>
        <w:numPr>
          <w:ilvl w:val="0"/>
          <w:numId w:val="2"/>
        </w:numPr>
        <w:autoSpaceDE w:val="0"/>
        <w:autoSpaceDN w:val="0"/>
        <w:adjustRightInd w:val="0"/>
        <w:textAlignment w:val="baseline"/>
        <w:rPr>
          <w:rFonts w:eastAsia="Calibri" w:cs="Verdana"/>
          <w:spacing w:val="-2"/>
          <w:szCs w:val="20"/>
          <w:lang w:val="en-US" w:eastAsia="es-MX"/>
        </w:rPr>
      </w:pPr>
      <w:bookmarkStart w:id="397" w:name="_Ref340672620"/>
      <w:r w:rsidRPr="008A1DB4">
        <w:rPr>
          <w:rFonts w:eastAsia="Calibri" w:cs="Verdana"/>
          <w:spacing w:val="-2"/>
          <w:szCs w:val="20"/>
          <w:lang w:val="en-US" w:eastAsia="es-MX"/>
        </w:rPr>
        <w:t>Also, with regard to some documents indicated by the parties and</w:t>
      </w:r>
      <w:r w:rsidR="00F36400" w:rsidRPr="008A1DB4">
        <w:rPr>
          <w:rFonts w:eastAsia="Calibri" w:cs="Verdana"/>
          <w:spacing w:val="-2"/>
          <w:szCs w:val="20"/>
          <w:lang w:val="en-US" w:eastAsia="es-MX"/>
        </w:rPr>
        <w:t xml:space="preserve"> the Commission</w:t>
      </w:r>
      <w:r w:rsidR="00F233BB" w:rsidRPr="008A1DB4">
        <w:rPr>
          <w:rFonts w:eastAsia="Calibri" w:cs="Verdana"/>
          <w:spacing w:val="-2"/>
          <w:szCs w:val="20"/>
          <w:lang w:val="en-US" w:eastAsia="es-MX"/>
        </w:rPr>
        <w:t xml:space="preserve"> </w:t>
      </w:r>
      <w:r w:rsidRPr="008A1DB4">
        <w:rPr>
          <w:rFonts w:eastAsia="Calibri" w:cs="Verdana"/>
          <w:spacing w:val="-2"/>
          <w:szCs w:val="20"/>
          <w:lang w:val="en-US" w:eastAsia="es-MX"/>
        </w:rPr>
        <w:t xml:space="preserve">by means of electronic links, this Court has established that, if a party provides at least the direct electronic link to the document that it cites as evidence and it is possible to Access it, neither </w:t>
      </w:r>
      <w:r w:rsidR="008A1DB4" w:rsidRPr="008A1DB4">
        <w:rPr>
          <w:rFonts w:eastAsia="Calibri" w:cs="Verdana"/>
          <w:spacing w:val="-2"/>
          <w:szCs w:val="20"/>
          <w:lang w:val="en-US" w:eastAsia="es-MX"/>
        </w:rPr>
        <w:t>legal</w:t>
      </w:r>
      <w:r w:rsidR="0006115A" w:rsidRPr="008A1DB4">
        <w:rPr>
          <w:rFonts w:eastAsia="Calibri" w:cs="Verdana"/>
          <w:spacing w:val="-2"/>
          <w:szCs w:val="20"/>
          <w:lang w:val="en-US" w:eastAsia="es-MX"/>
        </w:rPr>
        <w:t xml:space="preserve"> certainty nor procedural equality is affected, because it can be located immediately by the Court and by the other parties.</w:t>
      </w:r>
      <w:r w:rsidR="0006115A" w:rsidRPr="008A1DB4">
        <w:rPr>
          <w:rFonts w:eastAsia="Calibri" w:cs="Verdana"/>
          <w:spacing w:val="-2"/>
          <w:szCs w:val="20"/>
          <w:vertAlign w:val="superscript"/>
          <w:lang w:val="en-US" w:eastAsia="es-MX"/>
        </w:rPr>
        <w:footnoteReference w:id="35"/>
      </w:r>
      <w:r w:rsidR="0006115A" w:rsidRPr="008A1DB4">
        <w:rPr>
          <w:rFonts w:eastAsia="Calibri" w:cs="Verdana"/>
          <w:spacing w:val="-2"/>
          <w:szCs w:val="20"/>
          <w:lang w:val="en-US" w:eastAsia="es-MX"/>
        </w:rPr>
        <w:t xml:space="preserve"> In this case, neither the other parties nor the Commission opposed or commented on the content and authenticity of such documents.</w:t>
      </w:r>
    </w:p>
    <w:bookmarkEnd w:id="397"/>
    <w:p w14:paraId="2EC614EA" w14:textId="77777777" w:rsidR="00110776" w:rsidRPr="008A1DB4" w:rsidRDefault="00110776" w:rsidP="00956E97">
      <w:pPr>
        <w:widowControl w:val="0"/>
        <w:autoSpaceDE w:val="0"/>
        <w:autoSpaceDN w:val="0"/>
        <w:adjustRightInd w:val="0"/>
        <w:textAlignment w:val="baseline"/>
        <w:rPr>
          <w:rFonts w:eastAsia="Calibri" w:cs="Verdana"/>
          <w:spacing w:val="-2"/>
          <w:szCs w:val="20"/>
          <w:lang w:val="en-US" w:eastAsia="es-MX"/>
        </w:rPr>
      </w:pPr>
    </w:p>
    <w:p w14:paraId="001D24F6" w14:textId="148D8888" w:rsidR="00AA07BA" w:rsidRPr="008A1DB4" w:rsidRDefault="0006115A" w:rsidP="00956E97">
      <w:pPr>
        <w:widowControl w:val="0"/>
        <w:numPr>
          <w:ilvl w:val="0"/>
          <w:numId w:val="2"/>
        </w:numPr>
        <w:autoSpaceDE w:val="0"/>
        <w:autoSpaceDN w:val="0"/>
        <w:adjustRightInd w:val="0"/>
        <w:textAlignment w:val="baseline"/>
        <w:rPr>
          <w:rFonts w:eastAsia="Calibri" w:cs="Verdana"/>
          <w:spacing w:val="-2"/>
          <w:szCs w:val="20"/>
          <w:lang w:val="en-US" w:eastAsia="es-MX"/>
        </w:rPr>
      </w:pPr>
      <w:r w:rsidRPr="008A1DB4">
        <w:rPr>
          <w:rFonts w:eastAsia="Calibri" w:cs="Verdana"/>
          <w:spacing w:val="-2"/>
          <w:szCs w:val="20"/>
          <w:lang w:val="en-US" w:eastAsia="es-MX"/>
        </w:rPr>
        <w:t xml:space="preserve">Regarding the procedural occasion to present documentary evidence, according to </w:t>
      </w:r>
      <w:r w:rsidR="00F36400" w:rsidRPr="008A1DB4">
        <w:rPr>
          <w:rFonts w:eastAsia="Calibri" w:cs="Verdana"/>
          <w:spacing w:val="-2"/>
          <w:szCs w:val="20"/>
          <w:lang w:val="en-US" w:eastAsia="es-CR"/>
        </w:rPr>
        <w:t>Article</w:t>
      </w:r>
      <w:r w:rsidRPr="008A1DB4">
        <w:rPr>
          <w:rFonts w:eastAsia="Calibri" w:cs="Verdana"/>
          <w:spacing w:val="-2"/>
          <w:szCs w:val="20"/>
          <w:lang w:val="en-US" w:eastAsia="es-CR"/>
        </w:rPr>
        <w:t xml:space="preserve"> 57(</w:t>
      </w:r>
      <w:r w:rsidR="00F233BB" w:rsidRPr="008A1DB4">
        <w:rPr>
          <w:rFonts w:eastAsia="Calibri" w:cs="Verdana"/>
          <w:spacing w:val="-2"/>
          <w:szCs w:val="20"/>
          <w:lang w:val="en-US" w:eastAsia="es-CR"/>
        </w:rPr>
        <w:t>2</w:t>
      </w:r>
      <w:r w:rsidRPr="008A1DB4">
        <w:rPr>
          <w:rFonts w:eastAsia="Calibri" w:cs="Verdana"/>
          <w:spacing w:val="-2"/>
          <w:szCs w:val="20"/>
          <w:lang w:val="en-US" w:eastAsia="es-CR"/>
        </w:rPr>
        <w:t>)</w:t>
      </w:r>
      <w:r w:rsidR="00F233BB" w:rsidRPr="008A1DB4">
        <w:rPr>
          <w:rFonts w:eastAsia="Calibri" w:cs="Verdana"/>
          <w:spacing w:val="-2"/>
          <w:szCs w:val="20"/>
          <w:lang w:val="en-US" w:eastAsia="es-CR"/>
        </w:rPr>
        <w:t xml:space="preserve"> </w:t>
      </w:r>
      <w:r w:rsidR="00F36400" w:rsidRPr="008A1DB4">
        <w:rPr>
          <w:rFonts w:eastAsia="Calibri" w:cs="Verdana"/>
          <w:spacing w:val="-2"/>
          <w:szCs w:val="20"/>
          <w:lang w:val="en-US" w:eastAsia="es-CR"/>
        </w:rPr>
        <w:t>of the Rules of Procedure</w:t>
      </w:r>
      <w:r w:rsidR="00F233BB" w:rsidRPr="008A1DB4">
        <w:rPr>
          <w:rFonts w:eastAsia="Calibri" w:cs="Verdana"/>
          <w:spacing w:val="-2"/>
          <w:szCs w:val="20"/>
          <w:lang w:val="en-US" w:eastAsia="es-CR"/>
        </w:rPr>
        <w:t xml:space="preserve">, </w:t>
      </w:r>
      <w:r w:rsidRPr="008A1DB4">
        <w:rPr>
          <w:rFonts w:eastAsia="Calibri" w:cs="Verdana"/>
          <w:spacing w:val="-2"/>
          <w:szCs w:val="20"/>
          <w:lang w:val="en-US" w:eastAsia="es-CR"/>
        </w:rPr>
        <w:t xml:space="preserve">in general, it must be presented with the briefs submitting the case, with motions and </w:t>
      </w:r>
      <w:r w:rsidR="008A1DB4" w:rsidRPr="008A1DB4">
        <w:rPr>
          <w:rFonts w:eastAsia="Calibri" w:cs="Verdana"/>
          <w:spacing w:val="-2"/>
          <w:szCs w:val="20"/>
          <w:lang w:val="en-US" w:eastAsia="es-CR"/>
        </w:rPr>
        <w:t>arguments</w:t>
      </w:r>
      <w:r w:rsidRPr="008A1DB4">
        <w:rPr>
          <w:rFonts w:eastAsia="Calibri" w:cs="Verdana"/>
          <w:spacing w:val="-2"/>
          <w:szCs w:val="20"/>
          <w:lang w:val="en-US" w:eastAsia="es-CR"/>
        </w:rPr>
        <w:t>, or answering the submission of the case, as app</w:t>
      </w:r>
      <w:r w:rsidR="00ED3D6C">
        <w:rPr>
          <w:rFonts w:eastAsia="Calibri" w:cs="Verdana"/>
          <w:spacing w:val="-2"/>
          <w:szCs w:val="20"/>
          <w:lang w:val="en-US" w:eastAsia="es-CR"/>
        </w:rPr>
        <w:t>ropriate</w:t>
      </w:r>
      <w:r w:rsidR="00F233BB" w:rsidRPr="008A1DB4">
        <w:rPr>
          <w:rFonts w:eastAsia="Calibri" w:cs="Verdana"/>
          <w:spacing w:val="-2"/>
          <w:szCs w:val="20"/>
          <w:lang w:val="en-US" w:eastAsia="es-MX"/>
        </w:rPr>
        <w:t xml:space="preserve">. </w:t>
      </w:r>
      <w:bookmarkStart w:id="398" w:name="_Ref374884821"/>
    </w:p>
    <w:p w14:paraId="791F9D92" w14:textId="77777777" w:rsidR="00AA07BA" w:rsidRPr="008A1DB4" w:rsidRDefault="00AA07BA" w:rsidP="00956E97">
      <w:pPr>
        <w:widowControl w:val="0"/>
        <w:autoSpaceDE w:val="0"/>
        <w:autoSpaceDN w:val="0"/>
        <w:adjustRightInd w:val="0"/>
        <w:textAlignment w:val="baseline"/>
        <w:rPr>
          <w:rFonts w:eastAsia="Calibri" w:cs="Verdana"/>
          <w:spacing w:val="-2"/>
          <w:szCs w:val="20"/>
          <w:lang w:val="en-US" w:eastAsia="es-MX"/>
        </w:rPr>
      </w:pPr>
    </w:p>
    <w:p w14:paraId="4CECF0B0" w14:textId="5C5AC2D5" w:rsidR="00465AC3" w:rsidRPr="008A1DB4" w:rsidRDefault="00F36400" w:rsidP="0006115A">
      <w:pPr>
        <w:widowControl w:val="0"/>
        <w:numPr>
          <w:ilvl w:val="0"/>
          <w:numId w:val="2"/>
        </w:numPr>
        <w:autoSpaceDE w:val="0"/>
        <w:autoSpaceDN w:val="0"/>
        <w:adjustRightInd w:val="0"/>
        <w:textAlignment w:val="baseline"/>
        <w:rPr>
          <w:rFonts w:eastAsia="Calibri" w:cs="Verdana"/>
          <w:i/>
          <w:iCs/>
          <w:spacing w:val="-2"/>
          <w:szCs w:val="20"/>
          <w:lang w:val="en-US"/>
        </w:rPr>
      </w:pPr>
      <w:r w:rsidRPr="008A1DB4">
        <w:rPr>
          <w:rFonts w:eastAsia="Calibri" w:cs="Verdana"/>
          <w:spacing w:val="-2"/>
          <w:szCs w:val="20"/>
          <w:lang w:val="en-US"/>
        </w:rPr>
        <w:t>The State</w:t>
      </w:r>
      <w:r w:rsidR="0006115A" w:rsidRPr="008A1DB4">
        <w:rPr>
          <w:rFonts w:eastAsia="Calibri" w:cs="Verdana"/>
          <w:spacing w:val="-2"/>
          <w:szCs w:val="20"/>
          <w:lang w:val="en-US"/>
        </w:rPr>
        <w:t xml:space="preserve"> presented certain documentation with its</w:t>
      </w:r>
      <w:r w:rsidR="00F233BB" w:rsidRPr="008A1DB4">
        <w:rPr>
          <w:rFonts w:eastAsia="Calibri" w:cs="Verdana"/>
          <w:spacing w:val="-2"/>
          <w:szCs w:val="20"/>
          <w:lang w:val="en-US"/>
        </w:rPr>
        <w:t xml:space="preserve"> </w:t>
      </w:r>
      <w:r w:rsidR="00D72E3B" w:rsidRPr="008A1DB4">
        <w:rPr>
          <w:rFonts w:eastAsia="Calibri" w:cs="Verdana"/>
          <w:spacing w:val="-2"/>
          <w:szCs w:val="20"/>
          <w:lang w:val="en-US"/>
        </w:rPr>
        <w:t>final written arguments</w:t>
      </w:r>
      <w:r w:rsidR="0006115A" w:rsidRPr="008A1DB4">
        <w:rPr>
          <w:rFonts w:eastAsia="Calibri" w:cs="Verdana"/>
          <w:spacing w:val="-2"/>
          <w:szCs w:val="20"/>
          <w:lang w:val="en-US"/>
        </w:rPr>
        <w:t>.</w:t>
      </w:r>
      <w:r w:rsidR="00F233BB" w:rsidRPr="008A1DB4">
        <w:rPr>
          <w:rFonts w:eastAsia="Calibri" w:cs="Verdana"/>
          <w:spacing w:val="-2"/>
          <w:szCs w:val="20"/>
          <w:vertAlign w:val="superscript"/>
          <w:lang w:val="en-US"/>
        </w:rPr>
        <w:footnoteReference w:id="36"/>
      </w:r>
      <w:r w:rsidR="0006115A" w:rsidRPr="008A1DB4">
        <w:rPr>
          <w:rFonts w:eastAsia="Calibri" w:cs="Verdana"/>
          <w:spacing w:val="-2"/>
          <w:szCs w:val="20"/>
          <w:lang w:val="en-US"/>
        </w:rPr>
        <w:t xml:space="preserve"> The parties </w:t>
      </w:r>
      <w:r w:rsidRPr="008A1DB4">
        <w:rPr>
          <w:rFonts w:eastAsia="Calibri" w:cs="Verdana"/>
          <w:spacing w:val="-2"/>
          <w:szCs w:val="20"/>
          <w:lang w:val="en-US"/>
        </w:rPr>
        <w:t xml:space="preserve">and </w:t>
      </w:r>
      <w:r w:rsidRPr="008A1DB4">
        <w:rPr>
          <w:rFonts w:eastAsia="Times New Roman" w:cs="Times New Roman"/>
          <w:spacing w:val="-2"/>
          <w:szCs w:val="20"/>
          <w:lang w:val="en-US" w:eastAsia="es-CR"/>
        </w:rPr>
        <w:t>the Commission</w:t>
      </w:r>
      <w:r w:rsidR="00F233BB" w:rsidRPr="008A1DB4">
        <w:rPr>
          <w:rFonts w:eastAsia="Times New Roman" w:cs="Times New Roman"/>
          <w:spacing w:val="-2"/>
          <w:szCs w:val="20"/>
          <w:lang w:val="en-US" w:eastAsia="es-CR"/>
        </w:rPr>
        <w:t xml:space="preserve"> </w:t>
      </w:r>
      <w:r w:rsidR="0006115A" w:rsidRPr="008A1DB4">
        <w:rPr>
          <w:rFonts w:eastAsia="Times New Roman" w:cs="Times New Roman"/>
          <w:spacing w:val="-2"/>
          <w:szCs w:val="20"/>
          <w:lang w:val="en-US" w:eastAsia="es-CR"/>
        </w:rPr>
        <w:t xml:space="preserve">were able to present their </w:t>
      </w:r>
      <w:r w:rsidR="0058668C" w:rsidRPr="008A1DB4">
        <w:rPr>
          <w:rFonts w:eastAsia="Times New Roman" w:cs="Times New Roman"/>
          <w:spacing w:val="-2"/>
          <w:szCs w:val="20"/>
          <w:lang w:val="en-US" w:eastAsia="es-CR"/>
        </w:rPr>
        <w:t>observations</w:t>
      </w:r>
      <w:r w:rsidR="00F233BB" w:rsidRPr="008A1DB4">
        <w:rPr>
          <w:rFonts w:eastAsia="Times New Roman" w:cs="Times New Roman"/>
          <w:spacing w:val="-2"/>
          <w:szCs w:val="20"/>
          <w:lang w:val="en-US" w:eastAsia="es-CR"/>
        </w:rPr>
        <w:t xml:space="preserve"> </w:t>
      </w:r>
      <w:r w:rsidR="0006115A" w:rsidRPr="008A1DB4">
        <w:rPr>
          <w:rFonts w:eastAsia="Times New Roman" w:cs="Times New Roman"/>
          <w:spacing w:val="-2"/>
          <w:szCs w:val="20"/>
          <w:lang w:val="en-US" w:eastAsia="es-CR"/>
        </w:rPr>
        <w:t xml:space="preserve">on this information and documentation. </w:t>
      </w:r>
      <w:r w:rsidR="00C45946" w:rsidRPr="008A1DB4">
        <w:rPr>
          <w:rFonts w:eastAsia="Times New Roman" w:cs="Times New Roman"/>
          <w:spacing w:val="-2"/>
          <w:szCs w:val="20"/>
          <w:lang w:val="en-US" w:eastAsia="es-CR"/>
        </w:rPr>
        <w:t>The representative</w:t>
      </w:r>
      <w:r w:rsidR="00927D6F" w:rsidRPr="008A1DB4">
        <w:rPr>
          <w:rFonts w:eastAsia="Times New Roman" w:cs="Times New Roman"/>
          <w:spacing w:val="-2"/>
          <w:szCs w:val="20"/>
          <w:lang w:val="en-US" w:eastAsia="es-CR"/>
        </w:rPr>
        <w:t xml:space="preserve"> </w:t>
      </w:r>
      <w:r w:rsidR="0006115A" w:rsidRPr="008A1DB4">
        <w:rPr>
          <w:rFonts w:eastAsia="Times New Roman" w:cs="Times New Roman"/>
          <w:spacing w:val="-2"/>
          <w:szCs w:val="20"/>
          <w:lang w:val="en-US" w:eastAsia="es-CR"/>
        </w:rPr>
        <w:t xml:space="preserve">asked that the new </w:t>
      </w:r>
      <w:r w:rsidR="00945E57" w:rsidRPr="008A1DB4">
        <w:rPr>
          <w:rFonts w:eastAsia="Times New Roman" w:cs="Times New Roman"/>
          <w:spacing w:val="-2"/>
          <w:szCs w:val="20"/>
          <w:lang w:val="en-US" w:eastAsia="es-CR"/>
        </w:rPr>
        <w:t>diplomatic assurances</w:t>
      </w:r>
      <w:r w:rsidR="0006115A" w:rsidRPr="008A1DB4">
        <w:rPr>
          <w:rFonts w:eastAsia="Times New Roman" w:cs="Times New Roman"/>
          <w:spacing w:val="-2"/>
          <w:szCs w:val="20"/>
          <w:lang w:val="en-US" w:eastAsia="es-CR"/>
        </w:rPr>
        <w:t xml:space="preserve"> presented by Peru with its </w:t>
      </w:r>
      <w:r w:rsidR="00D72E3B" w:rsidRPr="008A1DB4">
        <w:rPr>
          <w:rFonts w:eastAsia="Times New Roman" w:cs="Times New Roman"/>
          <w:spacing w:val="-2"/>
          <w:szCs w:val="20"/>
          <w:lang w:val="en-US" w:eastAsia="es-CR"/>
        </w:rPr>
        <w:t>final written arguments</w:t>
      </w:r>
      <w:r w:rsidR="00AA07BA" w:rsidRPr="008A1DB4">
        <w:rPr>
          <w:rFonts w:eastAsia="Times New Roman" w:cs="Times New Roman"/>
          <w:spacing w:val="-2"/>
          <w:szCs w:val="20"/>
          <w:lang w:val="en-US" w:eastAsia="es-CR"/>
        </w:rPr>
        <w:t xml:space="preserve"> </w:t>
      </w:r>
      <w:r w:rsidR="0006115A" w:rsidRPr="008A1DB4">
        <w:rPr>
          <w:rFonts w:eastAsia="Times New Roman" w:cs="Times New Roman"/>
          <w:spacing w:val="-2"/>
          <w:szCs w:val="20"/>
          <w:lang w:val="en-US" w:eastAsia="es-CR"/>
        </w:rPr>
        <w:t xml:space="preserve">be “rejected” because they were </w:t>
      </w:r>
      <w:r w:rsidR="00ED3D6C">
        <w:rPr>
          <w:rFonts w:eastAsia="Times New Roman" w:cs="Times New Roman"/>
          <w:spacing w:val="-2"/>
          <w:szCs w:val="20"/>
          <w:lang w:val="en-US" w:eastAsia="es-CR"/>
        </w:rPr>
        <w:t>time-barred.</w:t>
      </w:r>
      <w:r w:rsidR="0006115A" w:rsidRPr="008A1DB4">
        <w:rPr>
          <w:rFonts w:eastAsia="Times New Roman" w:cs="Times New Roman"/>
          <w:spacing w:val="-2"/>
          <w:szCs w:val="20"/>
          <w:lang w:val="en-US" w:eastAsia="es-CR"/>
        </w:rPr>
        <w:t xml:space="preserve"> According to </w:t>
      </w:r>
      <w:r w:rsidR="00C45946" w:rsidRPr="008A1DB4">
        <w:rPr>
          <w:rFonts w:eastAsia="Times New Roman" w:cs="Times New Roman"/>
          <w:spacing w:val="-2"/>
          <w:szCs w:val="20"/>
          <w:lang w:val="en-US" w:eastAsia="es-CR"/>
        </w:rPr>
        <w:t>the representative</w:t>
      </w:r>
      <w:r w:rsidR="00927D6F" w:rsidRPr="008A1DB4">
        <w:rPr>
          <w:rFonts w:eastAsia="Times New Roman" w:cs="Times New Roman"/>
          <w:spacing w:val="-2"/>
          <w:szCs w:val="20"/>
          <w:lang w:val="en-US" w:eastAsia="es-CR"/>
        </w:rPr>
        <w:t>, “</w:t>
      </w:r>
      <w:r w:rsidR="0006115A" w:rsidRPr="008A1DB4">
        <w:rPr>
          <w:rFonts w:eastAsia="Times New Roman" w:cs="Times New Roman"/>
          <w:spacing w:val="-2"/>
          <w:szCs w:val="20"/>
          <w:lang w:val="en-US" w:eastAsia="es-CR"/>
        </w:rPr>
        <w:t xml:space="preserve">any guarantee not to impose the death penalty or </w:t>
      </w:r>
      <w:r w:rsidR="00ED3D6C">
        <w:rPr>
          <w:rFonts w:eastAsia="Times New Roman" w:cs="Times New Roman"/>
          <w:spacing w:val="-2"/>
          <w:szCs w:val="20"/>
          <w:lang w:val="en-US" w:eastAsia="es-CR"/>
        </w:rPr>
        <w:t xml:space="preserve">that there is no </w:t>
      </w:r>
      <w:r w:rsidR="0006115A" w:rsidRPr="008A1DB4">
        <w:rPr>
          <w:rFonts w:eastAsia="Times New Roman" w:cs="Times New Roman"/>
          <w:spacing w:val="-2"/>
          <w:szCs w:val="20"/>
          <w:lang w:val="en-US" w:eastAsia="es-CR"/>
        </w:rPr>
        <w:t>risk of being subjected to torture or other cruel, inhuman or degrading treatment or punishment must be presented before the domestic courts and, in this case, before Peru’s Supreme Court of Justice</w:t>
      </w:r>
      <w:r w:rsidR="00ED3D6C">
        <w:rPr>
          <w:rFonts w:eastAsia="Times New Roman" w:cs="Times New Roman"/>
          <w:spacing w:val="-2"/>
          <w:szCs w:val="20"/>
          <w:lang w:val="en-US" w:eastAsia="es-CR"/>
        </w:rPr>
        <w:t xml:space="preserve"> and </w:t>
      </w:r>
      <w:r w:rsidR="00B43F84" w:rsidRPr="008A1DB4">
        <w:rPr>
          <w:rFonts w:eastAsia="Times New Roman" w:cs="Times New Roman"/>
          <w:spacing w:val="-2"/>
          <w:szCs w:val="20"/>
          <w:lang w:val="en-US" w:eastAsia="es-CR"/>
        </w:rPr>
        <w:t>Constitutional Court</w:t>
      </w:r>
      <w:r w:rsidR="0006115A" w:rsidRPr="008A1DB4">
        <w:rPr>
          <w:rFonts w:eastAsia="Times New Roman" w:cs="Times New Roman"/>
          <w:spacing w:val="-2"/>
          <w:szCs w:val="20"/>
          <w:lang w:val="en-US" w:eastAsia="es-CR"/>
        </w:rPr>
        <w:t>.”</w:t>
      </w:r>
      <w:r w:rsidR="00927D6F" w:rsidRPr="008A1DB4">
        <w:rPr>
          <w:rFonts w:eastAsia="Times New Roman" w:cs="Times New Roman"/>
          <w:spacing w:val="-2"/>
          <w:szCs w:val="20"/>
          <w:lang w:val="en-US" w:eastAsia="es-CR"/>
        </w:rPr>
        <w:t xml:space="preserve"> </w:t>
      </w:r>
      <w:r w:rsidRPr="008A1DB4">
        <w:rPr>
          <w:rFonts w:eastAsia="Times New Roman" w:cs="Times New Roman"/>
          <w:spacing w:val="-2"/>
          <w:szCs w:val="20"/>
          <w:lang w:val="en-US" w:eastAsia="es-CR"/>
        </w:rPr>
        <w:t>The Court</w:t>
      </w:r>
      <w:r w:rsidR="0006115A" w:rsidRPr="008A1DB4">
        <w:rPr>
          <w:rFonts w:eastAsia="Times New Roman" w:cs="Times New Roman"/>
          <w:spacing w:val="-2"/>
          <w:szCs w:val="20"/>
          <w:lang w:val="en-US" w:eastAsia="es-CR"/>
        </w:rPr>
        <w:t xml:space="preserve"> considers that these objections </w:t>
      </w:r>
      <w:r w:rsidR="00C45946" w:rsidRPr="008A1DB4">
        <w:rPr>
          <w:rFonts w:eastAsia="Times New Roman" w:cs="Times New Roman"/>
          <w:spacing w:val="-2"/>
          <w:szCs w:val="20"/>
          <w:lang w:val="en-US" w:eastAsia="es-CR"/>
        </w:rPr>
        <w:t>of the representative</w:t>
      </w:r>
      <w:r w:rsidR="00BE4B50" w:rsidRPr="008A1DB4">
        <w:rPr>
          <w:rFonts w:eastAsia="Times New Roman" w:cs="Times New Roman"/>
          <w:spacing w:val="-2"/>
          <w:szCs w:val="20"/>
          <w:lang w:val="en-US" w:eastAsia="es-CR"/>
        </w:rPr>
        <w:t xml:space="preserve"> </w:t>
      </w:r>
      <w:r w:rsidR="0006115A" w:rsidRPr="008A1DB4">
        <w:rPr>
          <w:rFonts w:eastAsia="Times New Roman" w:cs="Times New Roman"/>
          <w:spacing w:val="-2"/>
          <w:szCs w:val="20"/>
          <w:lang w:val="en-US" w:eastAsia="es-CR"/>
        </w:rPr>
        <w:t xml:space="preserve">refer to matters relating to the merits of this dispute; hence, it is not appropriate to decide them when examining the admissibility of the evidence. </w:t>
      </w:r>
    </w:p>
    <w:p w14:paraId="38DA6189" w14:textId="77777777" w:rsidR="001528A7" w:rsidRPr="008A1DB4" w:rsidRDefault="001528A7" w:rsidP="00956E97">
      <w:pPr>
        <w:pStyle w:val="ListParagraph"/>
        <w:rPr>
          <w:rFonts w:eastAsia="Times New Roman" w:cs="Times New Roman"/>
          <w:spacing w:val="-2"/>
          <w:szCs w:val="20"/>
          <w:lang w:val="en-US" w:eastAsia="es-CR"/>
        </w:rPr>
      </w:pPr>
    </w:p>
    <w:p w14:paraId="2CDC9731" w14:textId="25FBAEC6" w:rsidR="00465AC3" w:rsidRPr="008A1DB4" w:rsidRDefault="0006115A" w:rsidP="0006115A">
      <w:pPr>
        <w:widowControl w:val="0"/>
        <w:numPr>
          <w:ilvl w:val="0"/>
          <w:numId w:val="2"/>
        </w:numPr>
        <w:autoSpaceDE w:val="0"/>
        <w:autoSpaceDN w:val="0"/>
        <w:adjustRightInd w:val="0"/>
        <w:textAlignment w:val="baseline"/>
        <w:rPr>
          <w:rFonts w:eastAsia="Calibri" w:cs="Verdana"/>
          <w:i/>
          <w:iCs/>
          <w:spacing w:val="-2"/>
          <w:szCs w:val="20"/>
          <w:lang w:val="en-US"/>
        </w:rPr>
      </w:pPr>
      <w:r w:rsidRPr="008A1DB4">
        <w:rPr>
          <w:rFonts w:eastAsia="Times New Roman" w:cs="Times New Roman"/>
          <w:spacing w:val="-2"/>
          <w:szCs w:val="20"/>
          <w:lang w:val="en-US" w:eastAsia="es-CR"/>
        </w:rPr>
        <w:t>In addition</w:t>
      </w:r>
      <w:r w:rsidR="00927D6F" w:rsidRPr="008A1DB4">
        <w:rPr>
          <w:rFonts w:eastAsia="Times New Roman" w:cs="Times New Roman"/>
          <w:spacing w:val="-2"/>
          <w:szCs w:val="20"/>
          <w:lang w:val="en-US" w:eastAsia="es-CR"/>
        </w:rPr>
        <w:t xml:space="preserve">, </w:t>
      </w:r>
      <w:r w:rsidR="00F36400" w:rsidRPr="008A1DB4">
        <w:rPr>
          <w:rFonts w:eastAsia="Times New Roman" w:cs="Times New Roman"/>
          <w:spacing w:val="-2"/>
          <w:szCs w:val="20"/>
          <w:lang w:val="en-US" w:eastAsia="es-CR"/>
        </w:rPr>
        <w:t>the Commission</w:t>
      </w:r>
      <w:r w:rsidR="00927D6F" w:rsidRPr="008A1DB4">
        <w:rPr>
          <w:rFonts w:eastAsia="Times New Roman" w:cs="Times New Roman"/>
          <w:spacing w:val="-2"/>
          <w:szCs w:val="20"/>
          <w:lang w:val="en-US" w:eastAsia="es-CR"/>
        </w:rPr>
        <w:t xml:space="preserve"> </w:t>
      </w:r>
      <w:r w:rsidR="00AA07BA" w:rsidRPr="008A1DB4">
        <w:rPr>
          <w:rFonts w:cs="Times New Roman"/>
          <w:spacing w:val="-2"/>
          <w:szCs w:val="20"/>
          <w:lang w:val="en-US" w:eastAsia="en-US"/>
        </w:rPr>
        <w:t>“</w:t>
      </w:r>
      <w:r w:rsidRPr="008A1DB4">
        <w:rPr>
          <w:rFonts w:cs="Times New Roman"/>
          <w:spacing w:val="-2"/>
          <w:szCs w:val="20"/>
          <w:lang w:val="en-US" w:eastAsia="en-US"/>
        </w:rPr>
        <w:t xml:space="preserve">called the Court’s attention to the lack of clarity of the nature </w:t>
      </w:r>
      <w:r w:rsidRPr="008A1DB4">
        <w:rPr>
          <w:rFonts w:cs="Times New Roman"/>
          <w:spacing w:val="-2"/>
          <w:szCs w:val="20"/>
          <w:lang w:val="en-US" w:eastAsia="en-US"/>
        </w:rPr>
        <w:lastRenderedPageBreak/>
        <w:t>and purpose of annex 3 of the State’s final arguments brief.</w:t>
      </w:r>
      <w:r w:rsidR="00AA07BA" w:rsidRPr="008A1DB4">
        <w:rPr>
          <w:rFonts w:cs="Times New Roman"/>
          <w:spacing w:val="-2"/>
          <w:szCs w:val="20"/>
          <w:lang w:val="en-US" w:eastAsia="en-US"/>
        </w:rPr>
        <w:t>”</w:t>
      </w:r>
      <w:r w:rsidRPr="008A1DB4">
        <w:rPr>
          <w:rFonts w:cs="Times New Roman"/>
          <w:spacing w:val="-2"/>
          <w:szCs w:val="20"/>
          <w:lang w:val="en-US" w:eastAsia="en-US"/>
        </w:rPr>
        <w:t xml:space="preserve"> It underlined that “the procedurally acceptable content of that </w:t>
      </w:r>
      <w:r w:rsidR="00ED3D6C">
        <w:rPr>
          <w:rFonts w:cs="Times New Roman"/>
          <w:spacing w:val="-2"/>
          <w:szCs w:val="20"/>
          <w:lang w:val="en-US" w:eastAsia="en-US"/>
        </w:rPr>
        <w:t>brief</w:t>
      </w:r>
      <w:r w:rsidRPr="008A1DB4">
        <w:rPr>
          <w:rFonts w:cs="Times New Roman"/>
          <w:spacing w:val="-2"/>
          <w:szCs w:val="20"/>
          <w:lang w:val="en-US" w:eastAsia="en-US"/>
        </w:rPr>
        <w:t xml:space="preserve"> is exclusively as the State’s final arguments and, in no way, can be understood as a clarification or in the sense of modifying the sco</w:t>
      </w:r>
      <w:r w:rsidR="00ED3D6C">
        <w:rPr>
          <w:rFonts w:cs="Times New Roman"/>
          <w:spacing w:val="-2"/>
          <w:szCs w:val="20"/>
          <w:lang w:val="en-US" w:eastAsia="en-US"/>
        </w:rPr>
        <w:t>pe and content of the opinion provided by</w:t>
      </w:r>
      <w:r w:rsidRPr="008A1DB4">
        <w:rPr>
          <w:rFonts w:cs="Times New Roman"/>
          <w:spacing w:val="-2"/>
          <w:szCs w:val="20"/>
          <w:lang w:val="en-US" w:eastAsia="en-US"/>
        </w:rPr>
        <w:t xml:space="preserve"> the </w:t>
      </w:r>
      <w:r w:rsidR="00ED3D6C">
        <w:rPr>
          <w:rFonts w:cs="Times New Roman"/>
          <w:spacing w:val="-2"/>
          <w:szCs w:val="20"/>
          <w:lang w:val="en-US" w:eastAsia="en-US"/>
        </w:rPr>
        <w:t xml:space="preserve">said </w:t>
      </w:r>
      <w:r w:rsidRPr="008A1DB4">
        <w:rPr>
          <w:rFonts w:cs="Times New Roman"/>
          <w:spacing w:val="-2"/>
          <w:szCs w:val="20"/>
          <w:lang w:val="en-US" w:eastAsia="en-US"/>
        </w:rPr>
        <w:t>expert witness during the hearing.” The Court notes that, in this annex, Peru “present[</w:t>
      </w:r>
      <w:proofErr w:type="spellStart"/>
      <w:r w:rsidRPr="008A1DB4">
        <w:rPr>
          <w:rFonts w:cs="Times New Roman"/>
          <w:spacing w:val="-2"/>
          <w:szCs w:val="20"/>
          <w:lang w:val="en-US" w:eastAsia="en-US"/>
        </w:rPr>
        <w:t>ed</w:t>
      </w:r>
      <w:proofErr w:type="spellEnd"/>
      <w:r w:rsidRPr="008A1DB4">
        <w:rPr>
          <w:rFonts w:cs="Times New Roman"/>
          <w:spacing w:val="-2"/>
          <w:szCs w:val="20"/>
          <w:lang w:val="en-US" w:eastAsia="en-US"/>
        </w:rPr>
        <w:t>] its point of view with regard to the expert opinion of Professor</w:t>
      </w:r>
      <w:r w:rsidRPr="008A1DB4">
        <w:rPr>
          <w:rFonts w:eastAsia="Calibri" w:cs="Verdana"/>
          <w:i/>
          <w:iCs/>
          <w:spacing w:val="-2"/>
          <w:szCs w:val="20"/>
          <w:lang w:val="en-US"/>
        </w:rPr>
        <w:t xml:space="preserve"> </w:t>
      </w:r>
      <w:proofErr w:type="spellStart"/>
      <w:r w:rsidR="00EB3D67" w:rsidRPr="008A1DB4">
        <w:rPr>
          <w:rFonts w:cs="Times New Roman"/>
          <w:spacing w:val="-2"/>
          <w:szCs w:val="20"/>
          <w:lang w:val="en-US" w:eastAsia="en-US"/>
        </w:rPr>
        <w:t>Bingzhi</w:t>
      </w:r>
      <w:proofErr w:type="spellEnd"/>
      <w:r w:rsidR="00EB3D67" w:rsidRPr="008A1DB4">
        <w:rPr>
          <w:rFonts w:cs="Times New Roman"/>
          <w:spacing w:val="-2"/>
          <w:szCs w:val="20"/>
          <w:lang w:val="en-US" w:eastAsia="en-US"/>
        </w:rPr>
        <w:t xml:space="preserve"> Zhao</w:t>
      </w:r>
      <w:r w:rsidRPr="008A1DB4">
        <w:rPr>
          <w:rFonts w:cs="Times New Roman"/>
          <w:spacing w:val="-2"/>
          <w:szCs w:val="20"/>
          <w:lang w:val="en-US" w:eastAsia="en-US"/>
        </w:rPr>
        <w:t>,</w:t>
      </w:r>
      <w:r w:rsidR="00EB3D67" w:rsidRPr="008A1DB4">
        <w:rPr>
          <w:rFonts w:cs="Times New Roman"/>
          <w:spacing w:val="-2"/>
          <w:szCs w:val="20"/>
          <w:lang w:val="en-US" w:eastAsia="en-US"/>
        </w:rPr>
        <w:t>”</w:t>
      </w:r>
      <w:r w:rsidRPr="008A1DB4">
        <w:rPr>
          <w:rFonts w:cs="Times New Roman"/>
          <w:spacing w:val="-2"/>
          <w:szCs w:val="20"/>
          <w:lang w:val="en-US" w:eastAsia="en-US"/>
        </w:rPr>
        <w:t xml:space="preserve"> owing to the difficulties of translating Chinese into Spanish, and the explanation of a legal system that </w:t>
      </w:r>
      <w:r w:rsidR="00ED3D6C">
        <w:rPr>
          <w:rFonts w:cs="Times New Roman"/>
          <w:spacing w:val="-2"/>
          <w:szCs w:val="20"/>
          <w:lang w:val="en-US" w:eastAsia="en-US"/>
        </w:rPr>
        <w:t xml:space="preserve">differs from that </w:t>
      </w:r>
      <w:r w:rsidRPr="008A1DB4">
        <w:rPr>
          <w:rFonts w:cs="Times New Roman"/>
          <w:spacing w:val="-2"/>
          <w:szCs w:val="20"/>
          <w:lang w:val="en-US" w:eastAsia="en-US"/>
        </w:rPr>
        <w:t xml:space="preserve">of the States Parties to </w:t>
      </w:r>
      <w:r w:rsidR="00F36400" w:rsidRPr="008A1DB4">
        <w:rPr>
          <w:rFonts w:cs="Times New Roman"/>
          <w:spacing w:val="-2"/>
          <w:szCs w:val="20"/>
          <w:lang w:val="en-US" w:eastAsia="en-US"/>
        </w:rPr>
        <w:t>the Convention</w:t>
      </w:r>
      <w:r w:rsidR="00EB3D67" w:rsidRPr="008A1DB4">
        <w:rPr>
          <w:rFonts w:cs="Times New Roman"/>
          <w:spacing w:val="-2"/>
          <w:szCs w:val="20"/>
          <w:lang w:val="en-US" w:eastAsia="en-US"/>
        </w:rPr>
        <w:t xml:space="preserve">, </w:t>
      </w:r>
      <w:r w:rsidRPr="008A1DB4">
        <w:rPr>
          <w:rFonts w:cs="Times New Roman"/>
          <w:spacing w:val="-2"/>
          <w:szCs w:val="20"/>
          <w:lang w:val="en-US" w:eastAsia="en-US"/>
        </w:rPr>
        <w:t xml:space="preserve">because some concepts did not have an exact translation. This could make it difficult to understand the expert opinion; nevertheless, “the original sense of the information and ideas of the deponent were retained.” In this regard, the Court notes that, insofar as it was received on the date on which the time frame for the presentation of the final written arguments expired, it would consider this annex to be an expansion of the State’s arguments concerning the issues dealt with by expert witness </w:t>
      </w:r>
      <w:proofErr w:type="spellStart"/>
      <w:r w:rsidR="00CF6BDE" w:rsidRPr="008A1DB4">
        <w:rPr>
          <w:rFonts w:cs="Times New Roman"/>
          <w:spacing w:val="-2"/>
          <w:szCs w:val="20"/>
          <w:lang w:val="en-US" w:eastAsia="en-US"/>
        </w:rPr>
        <w:t>Bingzhi</w:t>
      </w:r>
      <w:proofErr w:type="spellEnd"/>
      <w:r w:rsidR="00CF6BDE" w:rsidRPr="008A1DB4">
        <w:rPr>
          <w:rFonts w:cs="Times New Roman"/>
          <w:spacing w:val="-2"/>
          <w:szCs w:val="20"/>
          <w:lang w:val="en-US" w:eastAsia="en-US"/>
        </w:rPr>
        <w:t xml:space="preserve"> Zhao </w:t>
      </w:r>
      <w:r w:rsidRPr="008A1DB4">
        <w:rPr>
          <w:rFonts w:cs="Times New Roman"/>
          <w:spacing w:val="-2"/>
          <w:szCs w:val="20"/>
          <w:lang w:val="en-US" w:eastAsia="en-US"/>
        </w:rPr>
        <w:t>during the</w:t>
      </w:r>
      <w:r w:rsidR="00CF6BDE" w:rsidRPr="008A1DB4">
        <w:rPr>
          <w:rFonts w:cs="Times New Roman"/>
          <w:spacing w:val="-2"/>
          <w:szCs w:val="20"/>
          <w:lang w:val="en-US" w:eastAsia="en-US"/>
        </w:rPr>
        <w:t xml:space="preserve"> </w:t>
      </w:r>
      <w:r w:rsidR="008C4EFC" w:rsidRPr="008A1DB4">
        <w:rPr>
          <w:rFonts w:cs="Times New Roman"/>
          <w:spacing w:val="-2"/>
          <w:szCs w:val="20"/>
          <w:lang w:val="en-US" w:eastAsia="en-US"/>
        </w:rPr>
        <w:t>public hearing</w:t>
      </w:r>
      <w:r w:rsidR="00CF6BDE" w:rsidRPr="008A1DB4">
        <w:rPr>
          <w:rFonts w:cs="Times New Roman"/>
          <w:spacing w:val="-2"/>
          <w:szCs w:val="20"/>
          <w:lang w:val="en-US" w:eastAsia="en-US"/>
        </w:rPr>
        <w:t xml:space="preserve">. </w:t>
      </w:r>
      <w:r w:rsidRPr="008A1DB4">
        <w:rPr>
          <w:rFonts w:cs="Times New Roman"/>
          <w:spacing w:val="-2"/>
          <w:szCs w:val="20"/>
          <w:lang w:val="en-US" w:eastAsia="en-US"/>
        </w:rPr>
        <w:t>However, these arguments do not form part of the said expert opinion and do not possess the probative value of that opinion.</w:t>
      </w:r>
    </w:p>
    <w:p w14:paraId="25A10526" w14:textId="77777777" w:rsidR="001528A7" w:rsidRPr="008A1DB4" w:rsidRDefault="001528A7" w:rsidP="00956E97">
      <w:pPr>
        <w:widowControl w:val="0"/>
        <w:autoSpaceDE w:val="0"/>
        <w:autoSpaceDN w:val="0"/>
        <w:adjustRightInd w:val="0"/>
        <w:textAlignment w:val="baseline"/>
        <w:rPr>
          <w:rFonts w:eastAsia="Calibri" w:cs="Verdana"/>
          <w:i/>
          <w:iCs/>
          <w:spacing w:val="-2"/>
          <w:szCs w:val="20"/>
          <w:lang w:val="en-US"/>
        </w:rPr>
      </w:pPr>
    </w:p>
    <w:p w14:paraId="2D4F4E2F" w14:textId="3BF1F909" w:rsidR="00AA07BA" w:rsidRPr="008A1DB4" w:rsidRDefault="001102A1" w:rsidP="00956E97">
      <w:pPr>
        <w:widowControl w:val="0"/>
        <w:numPr>
          <w:ilvl w:val="0"/>
          <w:numId w:val="2"/>
        </w:numPr>
        <w:autoSpaceDE w:val="0"/>
        <w:autoSpaceDN w:val="0"/>
        <w:adjustRightInd w:val="0"/>
        <w:textAlignment w:val="baseline"/>
        <w:rPr>
          <w:rFonts w:eastAsia="Calibri" w:cs="Verdana"/>
          <w:i/>
          <w:iCs/>
          <w:spacing w:val="-2"/>
          <w:szCs w:val="20"/>
          <w:lang w:val="en-US"/>
        </w:rPr>
      </w:pPr>
      <w:r w:rsidRPr="008A1DB4">
        <w:rPr>
          <w:rFonts w:eastAsia="Times New Roman" w:cs="Times New Roman"/>
          <w:spacing w:val="-2"/>
          <w:szCs w:val="20"/>
          <w:lang w:val="en-US" w:eastAsia="es-CR"/>
        </w:rPr>
        <w:t>The admissibility of the</w:t>
      </w:r>
      <w:r w:rsidR="00ED3D6C">
        <w:rPr>
          <w:rFonts w:eastAsia="Times New Roman" w:cs="Times New Roman"/>
          <w:spacing w:val="-2"/>
          <w:szCs w:val="20"/>
          <w:lang w:val="en-US" w:eastAsia="es-CR"/>
        </w:rPr>
        <w:t xml:space="preserve"> remaining documents</w:t>
      </w:r>
      <w:r w:rsidR="00BB336A" w:rsidRPr="008A1DB4">
        <w:rPr>
          <w:rFonts w:eastAsia="Times New Roman" w:cs="Times New Roman"/>
          <w:spacing w:val="-2"/>
          <w:szCs w:val="20"/>
          <w:lang w:val="en-US" w:eastAsia="es-CR"/>
        </w:rPr>
        <w:t xml:space="preserve"> presented by the State with its </w:t>
      </w:r>
      <w:r w:rsidR="00D72E3B" w:rsidRPr="008A1DB4">
        <w:rPr>
          <w:rFonts w:eastAsia="Calibri" w:cs="Verdana"/>
          <w:spacing w:val="-2"/>
          <w:szCs w:val="20"/>
          <w:lang w:val="en-US"/>
        </w:rPr>
        <w:t>final written arguments</w:t>
      </w:r>
      <w:r w:rsidR="00784726" w:rsidRPr="008A1DB4">
        <w:rPr>
          <w:rFonts w:eastAsia="Calibri" w:cs="Verdana"/>
          <w:spacing w:val="-2"/>
          <w:szCs w:val="20"/>
          <w:lang w:val="en-US"/>
        </w:rPr>
        <w:t xml:space="preserve"> </w:t>
      </w:r>
      <w:r w:rsidR="00BB336A" w:rsidRPr="008A1DB4">
        <w:rPr>
          <w:rFonts w:eastAsia="Calibri" w:cs="Verdana"/>
          <w:spacing w:val="-2"/>
          <w:szCs w:val="20"/>
          <w:lang w:val="en-US"/>
        </w:rPr>
        <w:t>was no</w:t>
      </w:r>
      <w:r w:rsidR="00ED3D6C">
        <w:rPr>
          <w:rFonts w:eastAsia="Calibri" w:cs="Verdana"/>
          <w:spacing w:val="-2"/>
          <w:szCs w:val="20"/>
          <w:lang w:val="en-US"/>
        </w:rPr>
        <w:t>t contested, and their authenticity and veracity were</w:t>
      </w:r>
      <w:r w:rsidR="00BB336A" w:rsidRPr="008A1DB4">
        <w:rPr>
          <w:rFonts w:eastAsia="Calibri" w:cs="Verdana"/>
          <w:spacing w:val="-2"/>
          <w:szCs w:val="20"/>
          <w:lang w:val="en-US"/>
        </w:rPr>
        <w:t xml:space="preserve"> not questioned. Pursuant to </w:t>
      </w:r>
      <w:r w:rsidR="00F36400" w:rsidRPr="008A1DB4">
        <w:rPr>
          <w:rFonts w:eastAsia="Calibri" w:cs="Verdana"/>
          <w:spacing w:val="-2"/>
          <w:szCs w:val="20"/>
          <w:lang w:val="en-US" w:eastAsia="es-CR"/>
        </w:rPr>
        <w:t>Article</w:t>
      </w:r>
      <w:r w:rsidR="00BB336A" w:rsidRPr="008A1DB4">
        <w:rPr>
          <w:rFonts w:eastAsia="Calibri" w:cs="Verdana"/>
          <w:spacing w:val="-2"/>
          <w:szCs w:val="20"/>
          <w:lang w:val="en-US" w:eastAsia="es-CR"/>
        </w:rPr>
        <w:t xml:space="preserve"> 58(</w:t>
      </w:r>
      <w:r w:rsidR="00E40A84" w:rsidRPr="008A1DB4">
        <w:rPr>
          <w:rFonts w:eastAsia="Calibri" w:cs="Verdana"/>
          <w:spacing w:val="-2"/>
          <w:szCs w:val="20"/>
          <w:lang w:val="en-US" w:eastAsia="es-CR"/>
        </w:rPr>
        <w:t>a</w:t>
      </w:r>
      <w:r w:rsidR="00BB336A" w:rsidRPr="008A1DB4">
        <w:rPr>
          <w:rFonts w:eastAsia="Calibri" w:cs="Verdana"/>
          <w:spacing w:val="-2"/>
          <w:szCs w:val="20"/>
          <w:lang w:val="en-US" w:eastAsia="es-CR"/>
        </w:rPr>
        <w:t>)</w:t>
      </w:r>
      <w:r w:rsidR="00E40A84"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of its</w:t>
      </w:r>
      <w:r w:rsidR="00F36400" w:rsidRPr="008A1DB4">
        <w:rPr>
          <w:rFonts w:eastAsia="Calibri" w:cs="Verdana"/>
          <w:spacing w:val="-2"/>
          <w:szCs w:val="20"/>
          <w:lang w:val="en-US" w:eastAsia="es-CR"/>
        </w:rPr>
        <w:t xml:space="preserve"> Rules of Procedure</w:t>
      </w:r>
      <w:r w:rsidR="00E40A84" w:rsidRPr="008A1DB4">
        <w:rPr>
          <w:rFonts w:eastAsia="Calibri" w:cs="Verdana"/>
          <w:spacing w:val="-2"/>
          <w:szCs w:val="20"/>
          <w:lang w:val="en-US" w:eastAsia="es-CR"/>
        </w:rPr>
        <w:t>,</w:t>
      </w:r>
      <w:r w:rsidR="00E40A84" w:rsidRPr="008A1DB4">
        <w:rPr>
          <w:rFonts w:eastAsia="Calibri" w:cs="Verdana"/>
          <w:spacing w:val="-2"/>
          <w:szCs w:val="20"/>
          <w:lang w:val="en-US" w:eastAsia="es-MX"/>
        </w:rPr>
        <w:t xml:space="preserve"> </w:t>
      </w:r>
      <w:r w:rsidR="00F36400" w:rsidRPr="008A1DB4">
        <w:rPr>
          <w:rFonts w:eastAsia="Calibri" w:cs="Verdana"/>
          <w:spacing w:val="-2"/>
          <w:szCs w:val="20"/>
          <w:lang w:val="en-US" w:eastAsia="es-MX"/>
        </w:rPr>
        <w:t>the Court</w:t>
      </w:r>
      <w:r w:rsidR="00E40A84" w:rsidRPr="008A1DB4">
        <w:rPr>
          <w:rFonts w:eastAsia="Calibri" w:cs="Verdana"/>
          <w:spacing w:val="-2"/>
          <w:szCs w:val="20"/>
          <w:lang w:val="en-US" w:eastAsia="es-MX"/>
        </w:rPr>
        <w:t xml:space="preserve"> </w:t>
      </w:r>
      <w:r w:rsidR="00ED3D6C">
        <w:rPr>
          <w:rFonts w:eastAsia="Calibri" w:cs="Verdana"/>
          <w:spacing w:val="-2"/>
          <w:szCs w:val="20"/>
          <w:lang w:val="en-US" w:eastAsia="es-MX"/>
        </w:rPr>
        <w:t>finds it in order to admit tho</w:t>
      </w:r>
      <w:r w:rsidR="00BB336A" w:rsidRPr="008A1DB4">
        <w:rPr>
          <w:rFonts w:eastAsia="Calibri" w:cs="Verdana"/>
          <w:spacing w:val="-2"/>
          <w:szCs w:val="20"/>
          <w:lang w:val="en-US" w:eastAsia="es-MX"/>
        </w:rPr>
        <w:t>se documents, insofar as they may be u</w:t>
      </w:r>
      <w:r w:rsidR="00ED3D6C">
        <w:rPr>
          <w:rFonts w:eastAsia="Calibri" w:cs="Verdana"/>
          <w:spacing w:val="-2"/>
          <w:szCs w:val="20"/>
          <w:lang w:val="en-US" w:eastAsia="es-MX"/>
        </w:rPr>
        <w:t xml:space="preserve">seful to decide this case, </w:t>
      </w:r>
      <w:r w:rsidR="00BB336A" w:rsidRPr="008A1DB4">
        <w:rPr>
          <w:rFonts w:eastAsia="Calibri" w:cs="Verdana"/>
          <w:spacing w:val="-2"/>
          <w:szCs w:val="20"/>
          <w:lang w:val="en-US" w:eastAsia="es-MX"/>
        </w:rPr>
        <w:t>help contextualize other evidence</w:t>
      </w:r>
      <w:r w:rsidR="00ED3D6C">
        <w:rPr>
          <w:rFonts w:eastAsia="Calibri" w:cs="Verdana"/>
          <w:spacing w:val="-2"/>
          <w:szCs w:val="20"/>
          <w:lang w:val="en-US" w:eastAsia="es-MX"/>
        </w:rPr>
        <w:t xml:space="preserve"> provided to the file, and </w:t>
      </w:r>
      <w:r w:rsidR="00BB336A" w:rsidRPr="008A1DB4">
        <w:rPr>
          <w:rFonts w:eastAsia="Calibri" w:cs="Verdana"/>
          <w:spacing w:val="-2"/>
          <w:szCs w:val="20"/>
          <w:lang w:val="en-US" w:eastAsia="es-MX"/>
        </w:rPr>
        <w:t>explain some of the parties’ arguments.</w:t>
      </w:r>
      <w:r w:rsidR="00E40A84" w:rsidRPr="008A1DB4">
        <w:rPr>
          <w:rFonts w:eastAsia="Calibri" w:cs="Verdana"/>
          <w:spacing w:val="-2"/>
          <w:szCs w:val="20"/>
          <w:lang w:val="en-US" w:eastAsia="es-CR"/>
        </w:rPr>
        <w:t xml:space="preserve"> </w:t>
      </w:r>
    </w:p>
    <w:p w14:paraId="56773092" w14:textId="77777777" w:rsidR="00E40A84" w:rsidRPr="008A1DB4" w:rsidRDefault="00E40A84" w:rsidP="00956E97">
      <w:pPr>
        <w:widowControl w:val="0"/>
        <w:autoSpaceDE w:val="0"/>
        <w:autoSpaceDN w:val="0"/>
        <w:adjustRightInd w:val="0"/>
        <w:textAlignment w:val="baseline"/>
        <w:rPr>
          <w:rFonts w:ascii="Times New Roman" w:hAnsi="Times New Roman" w:cs="Times New Roman"/>
          <w:color w:val="1D1D1D"/>
          <w:spacing w:val="-2"/>
          <w:sz w:val="22"/>
          <w:lang w:val="en-US" w:eastAsia="en-US"/>
        </w:rPr>
      </w:pPr>
    </w:p>
    <w:p w14:paraId="3B7CD908" w14:textId="300C9DE7" w:rsidR="00BB336A" w:rsidRPr="008A1DB4" w:rsidRDefault="00E40A84" w:rsidP="00956E97">
      <w:pPr>
        <w:widowControl w:val="0"/>
        <w:numPr>
          <w:ilvl w:val="0"/>
          <w:numId w:val="2"/>
        </w:numPr>
        <w:autoSpaceDE w:val="0"/>
        <w:autoSpaceDN w:val="0"/>
        <w:adjustRightInd w:val="0"/>
        <w:textAlignment w:val="baseline"/>
        <w:rPr>
          <w:rFonts w:eastAsia="Calibri" w:cs="Verdana"/>
          <w:i/>
          <w:iCs/>
          <w:spacing w:val="-2"/>
          <w:szCs w:val="20"/>
          <w:lang w:val="en-US"/>
        </w:rPr>
      </w:pPr>
      <w:r w:rsidRPr="008A1DB4">
        <w:rPr>
          <w:rFonts w:eastAsia="Calibri" w:cs="Verdana"/>
          <w:spacing w:val="-2"/>
          <w:szCs w:val="20"/>
          <w:lang w:val="en-US"/>
        </w:rPr>
        <w:t>A</w:t>
      </w:r>
      <w:r w:rsidR="00BB336A" w:rsidRPr="008A1DB4">
        <w:rPr>
          <w:rFonts w:eastAsia="Calibri" w:cs="Verdana"/>
          <w:spacing w:val="-2"/>
          <w:szCs w:val="20"/>
          <w:lang w:val="en-US"/>
        </w:rPr>
        <w:t>lso, on November 17</w:t>
      </w:r>
      <w:r w:rsidR="00F36400" w:rsidRPr="008A1DB4">
        <w:rPr>
          <w:rFonts w:eastAsia="Calibri" w:cs="Verdana"/>
          <w:spacing w:val="-2"/>
          <w:szCs w:val="20"/>
          <w:lang w:val="en-US"/>
        </w:rPr>
        <w:t xml:space="preserve"> and </w:t>
      </w:r>
      <w:r w:rsidR="00BB336A" w:rsidRPr="008A1DB4">
        <w:rPr>
          <w:rFonts w:eastAsia="Calibri" w:cs="Verdana"/>
          <w:spacing w:val="-2"/>
          <w:szCs w:val="20"/>
          <w:lang w:val="en-US"/>
        </w:rPr>
        <w:t>December 1,</w:t>
      </w:r>
      <w:r w:rsidRPr="008A1DB4">
        <w:rPr>
          <w:rFonts w:eastAsia="Calibri" w:cs="Verdana"/>
          <w:spacing w:val="-2"/>
          <w:szCs w:val="20"/>
          <w:lang w:val="en-US"/>
        </w:rPr>
        <w:t xml:space="preserve"> 2014</w:t>
      </w:r>
      <w:r w:rsidR="00743E5E" w:rsidRPr="008A1DB4">
        <w:rPr>
          <w:rFonts w:eastAsia="Calibri" w:cs="Verdana"/>
          <w:spacing w:val="-2"/>
          <w:szCs w:val="20"/>
          <w:lang w:val="en-US"/>
        </w:rPr>
        <w:t xml:space="preserve">, </w:t>
      </w:r>
      <w:r w:rsidR="00BB336A" w:rsidRPr="008A1DB4">
        <w:rPr>
          <w:rFonts w:eastAsia="Calibri" w:cs="Verdana"/>
          <w:spacing w:val="-2"/>
          <w:szCs w:val="20"/>
          <w:lang w:val="en-US"/>
        </w:rPr>
        <w:t>and also on</w:t>
      </w:r>
      <w:r w:rsidR="00743E5E" w:rsidRPr="008A1DB4">
        <w:rPr>
          <w:rFonts w:eastAsia="Calibri" w:cs="Verdana"/>
          <w:spacing w:val="-2"/>
          <w:szCs w:val="20"/>
          <w:lang w:val="en-US"/>
        </w:rPr>
        <w:t xml:space="preserve"> </w:t>
      </w:r>
      <w:r w:rsidR="00BB336A" w:rsidRPr="008A1DB4">
        <w:rPr>
          <w:rFonts w:eastAsia="Calibri" w:cs="Verdana"/>
          <w:spacing w:val="-2"/>
          <w:szCs w:val="20"/>
          <w:lang w:val="en-US"/>
        </w:rPr>
        <w:t>April 10,</w:t>
      </w:r>
      <w:r w:rsidR="00743E5E" w:rsidRPr="008A1DB4">
        <w:rPr>
          <w:rFonts w:eastAsia="Calibri" w:cs="Verdana"/>
          <w:spacing w:val="-2"/>
          <w:szCs w:val="20"/>
          <w:lang w:val="en-US"/>
        </w:rPr>
        <w:t xml:space="preserve"> 2015</w:t>
      </w:r>
      <w:r w:rsidR="00BB336A" w:rsidRPr="008A1DB4">
        <w:rPr>
          <w:rFonts w:eastAsia="Calibri" w:cs="Verdana"/>
          <w:spacing w:val="-2"/>
          <w:szCs w:val="20"/>
          <w:lang w:val="en-US"/>
        </w:rPr>
        <w:t>,</w:t>
      </w:r>
      <w:r w:rsidRPr="008A1DB4">
        <w:rPr>
          <w:rFonts w:eastAsia="Calibri" w:cs="Verdana"/>
          <w:spacing w:val="-2"/>
          <w:szCs w:val="20"/>
          <w:lang w:val="en-US"/>
        </w:rPr>
        <w:t xml:space="preserve"> </w:t>
      </w:r>
      <w:r w:rsidR="00F36400" w:rsidRPr="008A1DB4">
        <w:rPr>
          <w:rFonts w:eastAsia="Calibri" w:cs="Verdana"/>
          <w:spacing w:val="-2"/>
          <w:szCs w:val="20"/>
          <w:lang w:val="en-US"/>
        </w:rPr>
        <w:t>the State</w:t>
      </w:r>
      <w:r w:rsidR="00BC5C7E" w:rsidRPr="008A1DB4">
        <w:rPr>
          <w:rFonts w:eastAsia="Calibri" w:cs="Verdana"/>
          <w:spacing w:val="-2"/>
          <w:szCs w:val="20"/>
          <w:lang w:val="en-US"/>
        </w:rPr>
        <w:t xml:space="preserve"> </w:t>
      </w:r>
      <w:r w:rsidRPr="008A1DB4">
        <w:rPr>
          <w:rFonts w:eastAsia="Calibri" w:cs="Verdana"/>
          <w:spacing w:val="-2"/>
          <w:szCs w:val="20"/>
          <w:lang w:val="en-US"/>
        </w:rPr>
        <w:t>present</w:t>
      </w:r>
      <w:r w:rsidR="00BB336A" w:rsidRPr="008A1DB4">
        <w:rPr>
          <w:rFonts w:eastAsia="Calibri" w:cs="Verdana"/>
          <w:spacing w:val="-2"/>
          <w:szCs w:val="20"/>
          <w:lang w:val="en-US"/>
        </w:rPr>
        <w:t xml:space="preserve">ed the helpful information and documentation requested by the judges </w:t>
      </w:r>
      <w:r w:rsidR="00F36400" w:rsidRPr="008A1DB4">
        <w:rPr>
          <w:rFonts w:eastAsia="Calibri" w:cs="Verdana"/>
          <w:spacing w:val="-2"/>
          <w:szCs w:val="20"/>
          <w:lang w:val="en-US"/>
        </w:rPr>
        <w:t>of the Court</w:t>
      </w:r>
      <w:r w:rsidRPr="008A1DB4">
        <w:rPr>
          <w:rFonts w:eastAsia="Calibri" w:cs="Verdana"/>
          <w:spacing w:val="-2"/>
          <w:szCs w:val="20"/>
          <w:lang w:val="en-US"/>
        </w:rPr>
        <w:t xml:space="preserve"> </w:t>
      </w:r>
      <w:r w:rsidR="00BB336A" w:rsidRPr="008A1DB4">
        <w:rPr>
          <w:rFonts w:eastAsia="Calibri" w:cs="Verdana"/>
          <w:spacing w:val="-2"/>
          <w:szCs w:val="20"/>
          <w:lang w:val="en-US"/>
        </w:rPr>
        <w:t>during the</w:t>
      </w:r>
      <w:r w:rsidRPr="008A1DB4">
        <w:rPr>
          <w:rFonts w:eastAsia="Calibri" w:cs="Verdana"/>
          <w:spacing w:val="-2"/>
          <w:szCs w:val="20"/>
          <w:lang w:val="en-US"/>
        </w:rPr>
        <w:t xml:space="preserve"> </w:t>
      </w:r>
      <w:r w:rsidR="008C4EFC" w:rsidRPr="008A1DB4">
        <w:rPr>
          <w:rFonts w:eastAsia="Calibri" w:cs="Verdana"/>
          <w:spacing w:val="-2"/>
          <w:szCs w:val="20"/>
          <w:lang w:val="en-US"/>
        </w:rPr>
        <w:t>public hearing</w:t>
      </w:r>
      <w:r w:rsidR="00F36400" w:rsidRPr="008A1DB4">
        <w:rPr>
          <w:rFonts w:eastAsia="Calibri" w:cs="Verdana"/>
          <w:spacing w:val="-2"/>
          <w:szCs w:val="20"/>
          <w:lang w:val="en-US"/>
        </w:rPr>
        <w:t xml:space="preserve"> and </w:t>
      </w:r>
      <w:r w:rsidR="00BB336A" w:rsidRPr="008A1DB4">
        <w:rPr>
          <w:rFonts w:eastAsia="Calibri" w:cs="Verdana"/>
          <w:spacing w:val="-2"/>
          <w:szCs w:val="20"/>
          <w:lang w:val="en-US"/>
        </w:rPr>
        <w:t>by its</w:t>
      </w:r>
      <w:r w:rsidRPr="008A1DB4">
        <w:rPr>
          <w:rFonts w:eastAsia="Calibri" w:cs="Verdana"/>
          <w:spacing w:val="-2"/>
          <w:szCs w:val="20"/>
          <w:lang w:val="en-US"/>
        </w:rPr>
        <w:t xml:space="preserve"> </w:t>
      </w:r>
      <w:r w:rsidR="00F36400" w:rsidRPr="008A1DB4">
        <w:rPr>
          <w:rFonts w:eastAsia="Calibri" w:cs="Verdana"/>
          <w:spacing w:val="-2"/>
          <w:szCs w:val="20"/>
          <w:lang w:val="en-US"/>
        </w:rPr>
        <w:t>President</w:t>
      </w:r>
      <w:r w:rsidRPr="008A1DB4">
        <w:rPr>
          <w:rFonts w:eastAsia="Calibri" w:cs="Verdana"/>
          <w:spacing w:val="-2"/>
          <w:szCs w:val="20"/>
          <w:lang w:val="en-US"/>
        </w:rPr>
        <w:t xml:space="preserve"> </w:t>
      </w:r>
      <w:r w:rsidR="00BB336A" w:rsidRPr="008A1DB4">
        <w:rPr>
          <w:rFonts w:eastAsia="Calibri" w:cs="Verdana"/>
          <w:spacing w:val="-2"/>
          <w:szCs w:val="20"/>
          <w:lang w:val="en-US"/>
        </w:rPr>
        <w:t>subsequently</w:t>
      </w:r>
      <w:r w:rsidRPr="008A1DB4">
        <w:rPr>
          <w:rFonts w:eastAsia="Calibri" w:cs="Verdana"/>
          <w:spacing w:val="-2"/>
          <w:szCs w:val="20"/>
          <w:lang w:val="en-US"/>
        </w:rPr>
        <w:t xml:space="preserve"> (</w:t>
      </w:r>
      <w:r w:rsidRPr="008A1DB4">
        <w:rPr>
          <w:rFonts w:eastAsia="Calibri" w:cs="Verdana"/>
          <w:i/>
          <w:iCs/>
          <w:spacing w:val="-2"/>
          <w:szCs w:val="20"/>
          <w:lang w:val="en-US"/>
        </w:rPr>
        <w:t>supra</w:t>
      </w:r>
      <w:r w:rsidRPr="008A1DB4">
        <w:rPr>
          <w:rFonts w:eastAsia="Calibri" w:cs="Verdana"/>
          <w:spacing w:val="-2"/>
          <w:szCs w:val="20"/>
          <w:lang w:val="en-US"/>
        </w:rPr>
        <w:t xml:space="preserve"> </w:t>
      </w:r>
      <w:r w:rsidR="00C45946" w:rsidRPr="008A1DB4">
        <w:rPr>
          <w:rFonts w:eastAsia="Calibri" w:cs="Verdana"/>
          <w:spacing w:val="-2"/>
          <w:szCs w:val="20"/>
          <w:lang w:val="en-US"/>
        </w:rPr>
        <w:t xml:space="preserve">para. </w:t>
      </w:r>
      <w:r w:rsidR="00BE2225" w:rsidRPr="008A1DB4">
        <w:rPr>
          <w:spacing w:val="-2"/>
          <w:lang w:val="en-US"/>
        </w:rPr>
        <w:fldChar w:fldCharType="begin"/>
      </w:r>
      <w:r w:rsidR="00BE2225" w:rsidRPr="008A1DB4">
        <w:rPr>
          <w:spacing w:val="-2"/>
          <w:lang w:val="en-US"/>
        </w:rPr>
        <w:instrText xml:space="preserve"> REF _Ref394864019 \r \h  \* MERGEFORMAT </w:instrText>
      </w:r>
      <w:r w:rsidR="00BE2225" w:rsidRPr="008A1DB4">
        <w:rPr>
          <w:spacing w:val="-2"/>
          <w:lang w:val="en-US"/>
        </w:rPr>
      </w:r>
      <w:r w:rsidR="00BE2225" w:rsidRPr="008A1DB4">
        <w:rPr>
          <w:spacing w:val="-2"/>
          <w:lang w:val="en-US"/>
        </w:rPr>
        <w:fldChar w:fldCharType="separate"/>
      </w:r>
      <w:r w:rsidR="00E961FA" w:rsidRPr="008A1DB4">
        <w:rPr>
          <w:rFonts w:eastAsia="Calibri" w:cs="Verdana"/>
          <w:spacing w:val="-2"/>
          <w:szCs w:val="20"/>
          <w:lang w:val="en-US"/>
        </w:rPr>
        <w:t>13</w:t>
      </w:r>
      <w:r w:rsidR="00BE2225" w:rsidRPr="008A1DB4">
        <w:rPr>
          <w:spacing w:val="-2"/>
          <w:lang w:val="en-US"/>
        </w:rPr>
        <w:fldChar w:fldCharType="end"/>
      </w:r>
      <w:r w:rsidRPr="008A1DB4">
        <w:rPr>
          <w:rFonts w:eastAsia="Calibri" w:cs="Verdana"/>
          <w:spacing w:val="-2"/>
          <w:szCs w:val="20"/>
          <w:lang w:val="en-US"/>
        </w:rPr>
        <w:t>).</w:t>
      </w:r>
      <w:r w:rsidR="00BB336A" w:rsidRPr="008A1DB4">
        <w:rPr>
          <w:rFonts w:eastAsia="Calibri" w:cs="Verdana"/>
          <w:spacing w:val="-2"/>
          <w:szCs w:val="20"/>
          <w:lang w:val="en-US"/>
        </w:rPr>
        <w:t xml:space="preserve"> The parties </w:t>
      </w:r>
      <w:r w:rsidR="00F36400" w:rsidRPr="008A1DB4">
        <w:rPr>
          <w:rFonts w:eastAsia="Calibri" w:cs="Verdana"/>
          <w:spacing w:val="-2"/>
          <w:szCs w:val="20"/>
          <w:lang w:val="en-US"/>
        </w:rPr>
        <w:t xml:space="preserve">and </w:t>
      </w:r>
      <w:r w:rsidR="00F36400" w:rsidRPr="008A1DB4">
        <w:rPr>
          <w:rFonts w:eastAsia="Times New Roman" w:cs="Times New Roman"/>
          <w:spacing w:val="-2"/>
          <w:szCs w:val="20"/>
          <w:lang w:val="en-US" w:eastAsia="es-CR"/>
        </w:rPr>
        <w:t>the Commission</w:t>
      </w:r>
      <w:r w:rsidR="00BE4B50" w:rsidRPr="008A1DB4">
        <w:rPr>
          <w:rFonts w:eastAsia="Times New Roman" w:cs="Times New Roman"/>
          <w:spacing w:val="-2"/>
          <w:szCs w:val="20"/>
          <w:lang w:val="en-US" w:eastAsia="es-CR"/>
        </w:rPr>
        <w:t xml:space="preserve"> </w:t>
      </w:r>
      <w:r w:rsidR="00BB336A" w:rsidRPr="008A1DB4">
        <w:rPr>
          <w:rFonts w:eastAsia="Times New Roman" w:cs="Times New Roman"/>
          <w:spacing w:val="-2"/>
          <w:szCs w:val="20"/>
          <w:lang w:val="en-US" w:eastAsia="es-CR"/>
        </w:rPr>
        <w:t xml:space="preserve">were able to present their </w:t>
      </w:r>
      <w:r w:rsidR="0058668C" w:rsidRPr="008A1DB4">
        <w:rPr>
          <w:rFonts w:eastAsia="Times New Roman" w:cs="Times New Roman"/>
          <w:spacing w:val="-2"/>
          <w:szCs w:val="20"/>
          <w:lang w:val="en-US" w:eastAsia="es-CR"/>
        </w:rPr>
        <w:t>observations</w:t>
      </w:r>
      <w:r w:rsidR="00BE4B50" w:rsidRPr="008A1DB4">
        <w:rPr>
          <w:rFonts w:eastAsia="Times New Roman" w:cs="Times New Roman"/>
          <w:spacing w:val="-2"/>
          <w:szCs w:val="20"/>
          <w:lang w:val="en-US" w:eastAsia="es-CR"/>
        </w:rPr>
        <w:t xml:space="preserve"> </w:t>
      </w:r>
      <w:r w:rsidR="00BB336A" w:rsidRPr="008A1DB4">
        <w:rPr>
          <w:rFonts w:eastAsia="Times New Roman" w:cs="Times New Roman"/>
          <w:spacing w:val="-2"/>
          <w:szCs w:val="20"/>
          <w:lang w:val="en-US" w:eastAsia="es-CR"/>
        </w:rPr>
        <w:t xml:space="preserve">on this information and documentation and its admissibility was not contested or its authenticity and veracity questioned. </w:t>
      </w:r>
      <w:r w:rsidR="00BB336A" w:rsidRPr="008A1DB4">
        <w:rPr>
          <w:rFonts w:eastAsia="Calibri" w:cs="Verdana"/>
          <w:spacing w:val="-2"/>
          <w:szCs w:val="20"/>
          <w:lang w:val="en-US"/>
        </w:rPr>
        <w:t xml:space="preserve">Pursuant to </w:t>
      </w:r>
      <w:r w:rsidR="00BB336A" w:rsidRPr="008A1DB4">
        <w:rPr>
          <w:rFonts w:eastAsia="Calibri" w:cs="Verdana"/>
          <w:spacing w:val="-2"/>
          <w:szCs w:val="20"/>
          <w:lang w:val="en-US" w:eastAsia="es-CR"/>
        </w:rPr>
        <w:t>Article 58(a) of its Rules of Procedure,</w:t>
      </w:r>
      <w:r w:rsidR="00BB336A" w:rsidRPr="008A1DB4">
        <w:rPr>
          <w:rFonts w:eastAsia="Calibri" w:cs="Verdana"/>
          <w:spacing w:val="-2"/>
          <w:szCs w:val="20"/>
          <w:lang w:val="en-US" w:eastAsia="es-MX"/>
        </w:rPr>
        <w:t xml:space="preserve"> the Court finds it in order to admit these documents, insofar as they may be useful to decide this case. </w:t>
      </w:r>
    </w:p>
    <w:bookmarkEnd w:id="398"/>
    <w:p w14:paraId="54917BB0" w14:textId="77777777" w:rsidR="00637A67" w:rsidRPr="008A1DB4" w:rsidRDefault="00637A67" w:rsidP="00956E97">
      <w:pPr>
        <w:widowControl w:val="0"/>
        <w:autoSpaceDE w:val="0"/>
        <w:autoSpaceDN w:val="0"/>
        <w:adjustRightInd w:val="0"/>
        <w:textAlignment w:val="baseline"/>
        <w:rPr>
          <w:rFonts w:eastAsia="Calibri" w:cs="Verdana"/>
          <w:i/>
          <w:iCs/>
          <w:spacing w:val="-2"/>
          <w:szCs w:val="20"/>
          <w:lang w:val="en-US"/>
        </w:rPr>
      </w:pPr>
    </w:p>
    <w:p w14:paraId="6C42F630" w14:textId="1854A022" w:rsidR="00FC1FD7" w:rsidRPr="008A1DB4" w:rsidRDefault="00F36400" w:rsidP="00956E97">
      <w:pPr>
        <w:widowControl w:val="0"/>
        <w:numPr>
          <w:ilvl w:val="0"/>
          <w:numId w:val="2"/>
        </w:numPr>
        <w:autoSpaceDE w:val="0"/>
        <w:autoSpaceDN w:val="0"/>
        <w:adjustRightInd w:val="0"/>
        <w:textAlignment w:val="baseline"/>
        <w:rPr>
          <w:rFonts w:eastAsia="Calibri" w:cs="Verdana"/>
          <w:spacing w:val="-2"/>
          <w:szCs w:val="20"/>
          <w:lang w:val="en-US" w:eastAsia="es-MX"/>
        </w:rPr>
      </w:pPr>
      <w:r w:rsidRPr="008A1DB4">
        <w:rPr>
          <w:rFonts w:eastAsia="Calibri" w:cs="Verdana"/>
          <w:spacing w:val="-2"/>
          <w:szCs w:val="20"/>
          <w:lang w:val="en-US" w:eastAsia="es-CR"/>
        </w:rPr>
        <w:t>The State</w:t>
      </w:r>
      <w:r w:rsidR="00961AF5"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 xml:space="preserve">opposed the admission of the additional costs requested by </w:t>
      </w:r>
      <w:r w:rsidR="00C45946" w:rsidRPr="008A1DB4">
        <w:rPr>
          <w:rFonts w:eastAsia="Calibri" w:cs="Verdana"/>
          <w:spacing w:val="-2"/>
          <w:szCs w:val="20"/>
          <w:lang w:val="en-US" w:eastAsia="es-CR"/>
        </w:rPr>
        <w:t>the representative</w:t>
      </w:r>
      <w:r w:rsidR="00961AF5"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in the</w:t>
      </w:r>
      <w:r w:rsidR="00961AF5" w:rsidRPr="008A1DB4">
        <w:rPr>
          <w:rFonts w:eastAsia="Calibri" w:cs="Verdana"/>
          <w:spacing w:val="-2"/>
          <w:szCs w:val="20"/>
          <w:lang w:val="en-US" w:eastAsia="es-CR"/>
        </w:rPr>
        <w:t xml:space="preserve"> </w:t>
      </w:r>
      <w:r w:rsidR="00A118B3" w:rsidRPr="008A1DB4">
        <w:rPr>
          <w:rFonts w:eastAsia="Calibri" w:cs="Verdana"/>
          <w:spacing w:val="-2"/>
          <w:szCs w:val="20"/>
          <w:lang w:val="en-US" w:eastAsia="es-CR"/>
        </w:rPr>
        <w:t>“</w:t>
      </w:r>
      <w:r w:rsidR="00BB336A" w:rsidRPr="008A1DB4">
        <w:rPr>
          <w:rFonts w:eastAsia="Calibri" w:cs="Verdana"/>
          <w:spacing w:val="-2"/>
          <w:szCs w:val="20"/>
          <w:lang w:val="en-US" w:eastAsia="es-CR"/>
        </w:rPr>
        <w:t xml:space="preserve">complementary </w:t>
      </w:r>
      <w:r w:rsidR="00C45946" w:rsidRPr="008A1DB4">
        <w:rPr>
          <w:rFonts w:eastAsia="Calibri" w:cs="Verdana"/>
          <w:spacing w:val="-2"/>
          <w:szCs w:val="20"/>
          <w:lang w:val="en-US" w:eastAsia="es-CR"/>
        </w:rPr>
        <w:t>motions and arguments brief</w:t>
      </w:r>
      <w:r w:rsidR="00A118B3" w:rsidRPr="008A1DB4">
        <w:rPr>
          <w:rFonts w:eastAsia="Calibri" w:cs="Verdana"/>
          <w:spacing w:val="-2"/>
          <w:szCs w:val="20"/>
          <w:lang w:val="en-US" w:eastAsia="es-CR"/>
        </w:rPr>
        <w:t>”</w:t>
      </w:r>
      <w:r w:rsidR="00BB336A" w:rsidRPr="008A1DB4">
        <w:rPr>
          <w:rFonts w:eastAsia="Calibri" w:cs="Verdana"/>
          <w:spacing w:val="-2"/>
          <w:szCs w:val="20"/>
          <w:lang w:val="en-US" w:eastAsia="es-CR"/>
        </w:rPr>
        <w:t xml:space="preserve"> presented on</w:t>
      </w:r>
      <w:r w:rsidR="00961AF5" w:rsidRPr="008A1DB4">
        <w:rPr>
          <w:rFonts w:eastAsia="Calibri" w:cs="Verdana"/>
          <w:spacing w:val="-2"/>
          <w:szCs w:val="20"/>
          <w:lang w:val="en-US" w:eastAsia="es-CR"/>
        </w:rPr>
        <w:t xml:space="preserve"> </w:t>
      </w:r>
      <w:r w:rsidR="00631F9C" w:rsidRPr="008A1DB4">
        <w:rPr>
          <w:rFonts w:eastAsia="Calibri" w:cs="Verdana"/>
          <w:spacing w:val="-2"/>
          <w:szCs w:val="20"/>
          <w:lang w:val="en-US" w:eastAsia="es-CR"/>
        </w:rPr>
        <w:t>February 9,</w:t>
      </w:r>
      <w:r w:rsidR="00961AF5" w:rsidRPr="008A1DB4">
        <w:rPr>
          <w:rFonts w:eastAsia="Calibri" w:cs="Verdana"/>
          <w:spacing w:val="-2"/>
          <w:szCs w:val="20"/>
          <w:lang w:val="en-US" w:eastAsia="es-CR"/>
        </w:rPr>
        <w:t xml:space="preserve"> 2014, as</w:t>
      </w:r>
      <w:r w:rsidR="00BB336A" w:rsidRPr="008A1DB4">
        <w:rPr>
          <w:rFonts w:eastAsia="Calibri" w:cs="Verdana"/>
          <w:spacing w:val="-2"/>
          <w:szCs w:val="20"/>
          <w:lang w:val="en-US" w:eastAsia="es-CR"/>
        </w:rPr>
        <w:t xml:space="preserve"> well as the requests for costs contained in the brief of August 30,</w:t>
      </w:r>
      <w:r w:rsidR="0027284C" w:rsidRPr="008A1DB4">
        <w:rPr>
          <w:rFonts w:eastAsia="Calibri" w:cs="Verdana"/>
          <w:spacing w:val="-2"/>
          <w:szCs w:val="20"/>
          <w:lang w:val="en-US" w:eastAsia="es-CR"/>
        </w:rPr>
        <w:t xml:space="preserve"> 2013, addressed to </w:t>
      </w:r>
      <w:r w:rsidRPr="008A1DB4">
        <w:rPr>
          <w:rFonts w:eastAsia="Calibri" w:cs="Verdana"/>
          <w:spacing w:val="-2"/>
          <w:szCs w:val="20"/>
          <w:lang w:val="en-US" w:eastAsia="es-CR"/>
        </w:rPr>
        <w:t>the Inter-American Commission</w:t>
      </w:r>
      <w:r w:rsidR="007F0FCE" w:rsidRPr="008A1DB4">
        <w:rPr>
          <w:rFonts w:eastAsia="Calibri" w:cs="Verdana"/>
          <w:spacing w:val="-2"/>
          <w:szCs w:val="20"/>
          <w:lang w:val="en-US" w:eastAsia="es-CR"/>
        </w:rPr>
        <w:t>,</w:t>
      </w:r>
      <w:r w:rsidR="00961AF5"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which</w:t>
      </w:r>
      <w:r w:rsidR="00C84244" w:rsidRPr="008A1DB4">
        <w:rPr>
          <w:rFonts w:eastAsia="Calibri" w:cs="Verdana"/>
          <w:spacing w:val="-2"/>
          <w:szCs w:val="20"/>
          <w:lang w:val="en-US" w:eastAsia="es-CR"/>
        </w:rPr>
        <w:t xml:space="preserve"> </w:t>
      </w:r>
      <w:r w:rsidR="00C45946" w:rsidRPr="008A1DB4">
        <w:rPr>
          <w:rFonts w:eastAsia="Calibri" w:cs="Verdana"/>
          <w:spacing w:val="-2"/>
          <w:szCs w:val="20"/>
          <w:lang w:val="en-US" w:eastAsia="es-CR"/>
        </w:rPr>
        <w:t>the representative</w:t>
      </w:r>
      <w:r w:rsidR="00C84244" w:rsidRPr="008A1DB4">
        <w:rPr>
          <w:rFonts w:eastAsia="Calibri" w:cs="Verdana"/>
          <w:spacing w:val="-2"/>
          <w:szCs w:val="20"/>
          <w:lang w:val="en-US" w:eastAsia="es-CR"/>
        </w:rPr>
        <w:t xml:space="preserve"> inclu</w:t>
      </w:r>
      <w:r w:rsidR="0027284C" w:rsidRPr="008A1DB4">
        <w:rPr>
          <w:rFonts w:eastAsia="Calibri" w:cs="Verdana"/>
          <w:spacing w:val="-2"/>
          <w:szCs w:val="20"/>
          <w:lang w:val="en-US" w:eastAsia="es-CR"/>
        </w:rPr>
        <w:t xml:space="preserve">ded among the annexes to his </w:t>
      </w:r>
      <w:r w:rsidR="00C45946" w:rsidRPr="008A1DB4">
        <w:rPr>
          <w:rFonts w:eastAsia="Calibri" w:cs="Verdana"/>
          <w:spacing w:val="-2"/>
          <w:szCs w:val="20"/>
          <w:lang w:val="en-US" w:eastAsia="es-CR"/>
        </w:rPr>
        <w:t>motions and arguments brief</w:t>
      </w:r>
      <w:r w:rsidR="00C84244" w:rsidRPr="008A1DB4">
        <w:rPr>
          <w:rFonts w:eastAsia="Calibri" w:cs="Verdana"/>
          <w:spacing w:val="-2"/>
          <w:szCs w:val="20"/>
          <w:lang w:val="en-US" w:eastAsia="es-CR"/>
        </w:rPr>
        <w:t xml:space="preserve">. </w:t>
      </w:r>
      <w:r w:rsidRPr="008A1DB4">
        <w:rPr>
          <w:rFonts w:eastAsia="Calibri" w:cs="Verdana"/>
          <w:spacing w:val="-2"/>
          <w:szCs w:val="20"/>
          <w:lang w:val="en-US" w:eastAsia="es-CR"/>
        </w:rPr>
        <w:t>The State</w:t>
      </w:r>
      <w:r w:rsidR="0019598C" w:rsidRPr="008A1DB4">
        <w:rPr>
          <w:rFonts w:eastAsia="Calibri" w:cs="Verdana"/>
          <w:spacing w:val="-2"/>
          <w:szCs w:val="20"/>
          <w:lang w:val="en-US" w:eastAsia="es-CR"/>
        </w:rPr>
        <w:t xml:space="preserve"> </w:t>
      </w:r>
      <w:r w:rsidR="00FC1FD7" w:rsidRPr="008A1DB4">
        <w:rPr>
          <w:rFonts w:eastAsia="Calibri" w:cs="Verdana"/>
          <w:spacing w:val="-2"/>
          <w:szCs w:val="20"/>
          <w:lang w:val="en-US" w:eastAsia="es-CR"/>
        </w:rPr>
        <w:t>a</w:t>
      </w:r>
      <w:r w:rsidR="0027284C" w:rsidRPr="008A1DB4">
        <w:rPr>
          <w:rFonts w:eastAsia="Calibri" w:cs="Verdana"/>
          <w:spacing w:val="-2"/>
          <w:szCs w:val="20"/>
          <w:lang w:val="en-US" w:eastAsia="es-CR"/>
        </w:rPr>
        <w:t xml:space="preserve">rgued that any request for costs should be made in the </w:t>
      </w:r>
      <w:r w:rsidR="00C45946" w:rsidRPr="008A1DB4">
        <w:rPr>
          <w:rFonts w:eastAsia="Calibri" w:cs="Verdana"/>
          <w:spacing w:val="-2"/>
          <w:szCs w:val="20"/>
          <w:lang w:val="en-US" w:eastAsia="es-CR"/>
        </w:rPr>
        <w:t>motions and arguments brief</w:t>
      </w:r>
      <w:r w:rsidR="0019598C"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so that the additional costs contained in the two briefs should be rejected. The Court notes that </w:t>
      </w:r>
      <w:r w:rsidR="00C45946" w:rsidRPr="008A1DB4">
        <w:rPr>
          <w:rFonts w:eastAsia="Calibri" w:cs="Verdana"/>
          <w:spacing w:val="-2"/>
          <w:szCs w:val="20"/>
          <w:lang w:val="en-US" w:eastAsia="es-CR"/>
        </w:rPr>
        <w:t>the representative</w:t>
      </w:r>
      <w:r w:rsidR="0019598C"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forwarded his </w:t>
      </w:r>
      <w:r w:rsidR="00C45946" w:rsidRPr="008A1DB4">
        <w:rPr>
          <w:rFonts w:eastAsia="Calibri" w:cs="Verdana"/>
          <w:spacing w:val="-2"/>
          <w:szCs w:val="20"/>
          <w:lang w:val="en-US" w:eastAsia="es-CR"/>
        </w:rPr>
        <w:t>motions and arguments brief</w:t>
      </w:r>
      <w:r w:rsidR="0027284C" w:rsidRPr="008A1DB4">
        <w:rPr>
          <w:rFonts w:eastAsia="Calibri" w:cs="Verdana"/>
          <w:spacing w:val="-2"/>
          <w:szCs w:val="20"/>
          <w:lang w:val="en-US" w:eastAsia="es-CR"/>
        </w:rPr>
        <w:t xml:space="preserve"> on</w:t>
      </w:r>
      <w:r w:rsidR="0019598C"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February 5,</w:t>
      </w:r>
      <w:r w:rsidR="0019598C" w:rsidRPr="008A1DB4">
        <w:rPr>
          <w:rFonts w:eastAsia="Calibri" w:cs="Verdana"/>
          <w:spacing w:val="-2"/>
          <w:szCs w:val="20"/>
          <w:lang w:val="en-US" w:eastAsia="es-CR"/>
        </w:rPr>
        <w:t xml:space="preserve"> 2014</w:t>
      </w:r>
      <w:r w:rsidR="0027284C" w:rsidRPr="008A1DB4">
        <w:rPr>
          <w:rFonts w:eastAsia="Calibri" w:cs="Verdana"/>
          <w:spacing w:val="-2"/>
          <w:szCs w:val="20"/>
          <w:lang w:val="en-US" w:eastAsia="es-CR"/>
        </w:rPr>
        <w:t xml:space="preserve">, and sent a complementary brief on </w:t>
      </w:r>
      <w:r w:rsidR="00631F9C" w:rsidRPr="008A1DB4">
        <w:rPr>
          <w:rFonts w:eastAsia="Calibri" w:cs="Verdana"/>
          <w:spacing w:val="-2"/>
          <w:szCs w:val="20"/>
          <w:lang w:val="en-US" w:eastAsia="es-CR"/>
        </w:rPr>
        <w:t>February 9,</w:t>
      </w:r>
      <w:r w:rsidR="00FC1FD7" w:rsidRPr="008A1DB4">
        <w:rPr>
          <w:rFonts w:eastAsia="Calibri" w:cs="Verdana"/>
          <w:spacing w:val="-2"/>
          <w:szCs w:val="20"/>
          <w:lang w:val="en-US" w:eastAsia="es-CR"/>
        </w:rPr>
        <w:t xml:space="preserve"> 2014, </w:t>
      </w:r>
      <w:r w:rsidR="0027284C" w:rsidRPr="008A1DB4">
        <w:rPr>
          <w:rFonts w:eastAsia="Calibri" w:cs="Verdana"/>
          <w:spacing w:val="-2"/>
          <w:szCs w:val="20"/>
          <w:lang w:val="en-US" w:eastAsia="es-CR"/>
        </w:rPr>
        <w:t xml:space="preserve">in which he included additional requests for costs and expenses </w:t>
      </w:r>
      <w:r w:rsidR="00FC1FD7" w:rsidRPr="008A1DB4">
        <w:rPr>
          <w:rFonts w:eastAsia="Calibri" w:cs="Verdana"/>
          <w:spacing w:val="-2"/>
          <w:szCs w:val="20"/>
          <w:lang w:val="en-US" w:eastAsia="es-CR"/>
        </w:rPr>
        <w:t>(</w:t>
      </w:r>
      <w:r w:rsidR="00FC1FD7" w:rsidRPr="008A1DB4">
        <w:rPr>
          <w:rFonts w:eastAsia="Calibri" w:cs="Verdana"/>
          <w:i/>
          <w:spacing w:val="-2"/>
          <w:szCs w:val="20"/>
          <w:lang w:val="en-US" w:eastAsia="es-CR"/>
        </w:rPr>
        <w:t>supra</w:t>
      </w:r>
      <w:r w:rsidR="00FC1FD7" w:rsidRPr="008A1DB4">
        <w:rPr>
          <w:rFonts w:eastAsia="Calibri" w:cs="Verdana"/>
          <w:spacing w:val="-2"/>
          <w:szCs w:val="20"/>
          <w:lang w:val="en-US" w:eastAsia="es-CR"/>
        </w:rPr>
        <w:t xml:space="preserve"> </w:t>
      </w:r>
      <w:r w:rsidR="00C45946" w:rsidRPr="008A1DB4">
        <w:rPr>
          <w:rFonts w:eastAsia="Calibri" w:cs="Verdana"/>
          <w:spacing w:val="-2"/>
          <w:szCs w:val="20"/>
          <w:lang w:val="en-US" w:eastAsia="es-CR"/>
        </w:rPr>
        <w:t xml:space="preserve">para. </w:t>
      </w:r>
      <w:r w:rsidR="00BE2225" w:rsidRPr="008A1DB4">
        <w:rPr>
          <w:spacing w:val="-2"/>
          <w:lang w:val="en-US"/>
        </w:rPr>
        <w:fldChar w:fldCharType="begin"/>
      </w:r>
      <w:r w:rsidR="00BE2225" w:rsidRPr="008A1DB4">
        <w:rPr>
          <w:spacing w:val="-2"/>
          <w:lang w:val="en-US"/>
        </w:rPr>
        <w:instrText xml:space="preserve"> REF _Ref416371728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7</w:t>
      </w:r>
      <w:r w:rsidR="00BE2225" w:rsidRPr="008A1DB4">
        <w:rPr>
          <w:spacing w:val="-2"/>
          <w:lang w:val="en-US"/>
        </w:rPr>
        <w:fldChar w:fldCharType="end"/>
      </w:r>
      <w:r w:rsidR="00FC1FD7" w:rsidRPr="008A1DB4">
        <w:rPr>
          <w:rFonts w:eastAsia="Calibri" w:cs="Verdana"/>
          <w:spacing w:val="-2"/>
          <w:szCs w:val="20"/>
          <w:lang w:val="en-US" w:eastAsia="es-CR"/>
        </w:rPr>
        <w:t xml:space="preserve">). </w:t>
      </w:r>
      <w:r w:rsidRPr="008A1DB4">
        <w:rPr>
          <w:rFonts w:eastAsia="Calibri" w:cs="Verdana"/>
          <w:spacing w:val="-2"/>
          <w:szCs w:val="20"/>
          <w:lang w:val="en-US" w:eastAsia="es-CR"/>
        </w:rPr>
        <w:t>The Court</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notes that the complementary brief was received within the time frame for the presentation of the </w:t>
      </w:r>
      <w:r w:rsidR="00C45946" w:rsidRPr="008A1DB4">
        <w:rPr>
          <w:rFonts w:eastAsia="Calibri" w:cs="Verdana"/>
          <w:spacing w:val="-2"/>
          <w:szCs w:val="20"/>
          <w:lang w:val="en-US" w:eastAsia="es-CR"/>
        </w:rPr>
        <w:t>motions and arguments brief</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in this case, which expired on </w:t>
      </w:r>
      <w:r w:rsidR="00631F9C" w:rsidRPr="008A1DB4">
        <w:rPr>
          <w:rFonts w:eastAsia="Calibri" w:cs="Verdana"/>
          <w:spacing w:val="-2"/>
          <w:szCs w:val="20"/>
          <w:lang w:val="en-US" w:eastAsia="es-CR"/>
        </w:rPr>
        <w:t>February 9,</w:t>
      </w:r>
      <w:r w:rsidR="00FC1FD7" w:rsidRPr="008A1DB4">
        <w:rPr>
          <w:rFonts w:eastAsia="Calibri" w:cs="Verdana"/>
          <w:spacing w:val="-2"/>
          <w:szCs w:val="20"/>
          <w:lang w:val="en-US" w:eastAsia="es-CR"/>
        </w:rPr>
        <w:t xml:space="preserve"> 2014. </w:t>
      </w:r>
      <w:r w:rsidR="0027284C" w:rsidRPr="008A1DB4">
        <w:rPr>
          <w:rFonts w:eastAsia="Calibri" w:cs="Verdana"/>
          <w:spacing w:val="-2"/>
          <w:szCs w:val="20"/>
          <w:lang w:val="en-US" w:eastAsia="es-CR"/>
        </w:rPr>
        <w:t>Therefore, it finds that the latter brief should be considered an integral part of the first brief forwarded by</w:t>
      </w:r>
      <w:r w:rsidR="00FC1FD7" w:rsidRPr="008A1DB4">
        <w:rPr>
          <w:rFonts w:eastAsia="Calibri" w:cs="Verdana"/>
          <w:spacing w:val="-2"/>
          <w:szCs w:val="20"/>
          <w:lang w:val="en-US" w:eastAsia="es-CR"/>
        </w:rPr>
        <w:t xml:space="preserve"> </w:t>
      </w:r>
      <w:r w:rsidR="00C45946" w:rsidRPr="008A1DB4">
        <w:rPr>
          <w:rFonts w:eastAsia="Calibri" w:cs="Verdana"/>
          <w:spacing w:val="-2"/>
          <w:szCs w:val="20"/>
          <w:lang w:val="en-US" w:eastAsia="es-CR"/>
        </w:rPr>
        <w:t>the representative</w:t>
      </w:r>
      <w:r w:rsidRPr="008A1DB4">
        <w:rPr>
          <w:rFonts w:eastAsia="Calibri" w:cs="Verdana"/>
          <w:spacing w:val="-2"/>
          <w:szCs w:val="20"/>
          <w:lang w:val="en-US" w:eastAsia="es-CR"/>
        </w:rPr>
        <w:t xml:space="preserve"> and </w:t>
      </w:r>
      <w:r w:rsidR="0027284C" w:rsidRPr="008A1DB4">
        <w:rPr>
          <w:rFonts w:eastAsia="Calibri" w:cs="Verdana"/>
          <w:spacing w:val="-2"/>
          <w:szCs w:val="20"/>
          <w:lang w:val="en-US" w:eastAsia="es-CR"/>
        </w:rPr>
        <w:t>considers admissible the requests for costs and expenses</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contained therein. Furthermore, with regard to the brief of</w:t>
      </w:r>
      <w:r w:rsidR="00FC1FD7"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August 30,</w:t>
      </w:r>
      <w:r w:rsidR="00FC1FD7" w:rsidRPr="008A1DB4">
        <w:rPr>
          <w:rFonts w:eastAsia="Calibri" w:cs="Verdana"/>
          <w:spacing w:val="-2"/>
          <w:szCs w:val="20"/>
          <w:lang w:val="en-US" w:eastAsia="es-CR"/>
        </w:rPr>
        <w:t xml:space="preserve"> 2013, </w:t>
      </w:r>
      <w:r w:rsidR="0027284C" w:rsidRPr="008A1DB4">
        <w:rPr>
          <w:rFonts w:eastAsia="Calibri" w:cs="Verdana"/>
          <w:spacing w:val="-2"/>
          <w:szCs w:val="20"/>
          <w:lang w:val="en-US" w:eastAsia="es-CR"/>
        </w:rPr>
        <w:t xml:space="preserve">sent with the annexes to the </w:t>
      </w:r>
      <w:r w:rsidR="00C45946" w:rsidRPr="008A1DB4">
        <w:rPr>
          <w:rFonts w:eastAsia="Calibri" w:cs="Verdana"/>
          <w:spacing w:val="-2"/>
          <w:szCs w:val="20"/>
          <w:lang w:val="en-US" w:eastAsia="es-CR"/>
        </w:rPr>
        <w:t>motions and arguments brief</w:t>
      </w:r>
      <w:r w:rsidR="00FC1FD7" w:rsidRPr="008A1DB4">
        <w:rPr>
          <w:rFonts w:eastAsia="Calibri" w:cs="Verdana"/>
          <w:spacing w:val="-2"/>
          <w:szCs w:val="20"/>
          <w:lang w:val="en-US" w:eastAsia="es-CR"/>
        </w:rPr>
        <w:t xml:space="preserve">, </w:t>
      </w:r>
      <w:r w:rsidRPr="008A1DB4">
        <w:rPr>
          <w:rFonts w:eastAsia="Calibri" w:cs="Verdana"/>
          <w:spacing w:val="-2"/>
          <w:szCs w:val="20"/>
          <w:lang w:val="en-US" w:eastAsia="es-CR"/>
        </w:rPr>
        <w:t>the Court</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has verified that it forms part of the file of the processing of this case before</w:t>
      </w:r>
      <w:r w:rsidR="00FC1FD7" w:rsidRPr="008A1DB4">
        <w:rPr>
          <w:rFonts w:eastAsia="Calibri" w:cs="Verdana"/>
          <w:spacing w:val="-2"/>
          <w:szCs w:val="20"/>
          <w:lang w:val="en-US" w:eastAsia="es-CR"/>
        </w:rPr>
        <w:t xml:space="preserve"> </w:t>
      </w:r>
      <w:r w:rsidRPr="008A1DB4">
        <w:rPr>
          <w:rFonts w:eastAsia="Calibri" w:cs="Verdana"/>
          <w:spacing w:val="-2"/>
          <w:szCs w:val="20"/>
          <w:lang w:val="en-US" w:eastAsia="es-CR"/>
        </w:rPr>
        <w:t>the Commission</w:t>
      </w:r>
      <w:r w:rsidR="00017AED" w:rsidRPr="008A1DB4">
        <w:rPr>
          <w:rFonts w:eastAsia="Calibri" w:cs="Verdana"/>
          <w:spacing w:val="-2"/>
          <w:szCs w:val="20"/>
          <w:lang w:val="en-US" w:eastAsia="es-CR"/>
        </w:rPr>
        <w:t>,</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so that finding it i</w:t>
      </w:r>
      <w:r w:rsidR="00ED3D6C">
        <w:rPr>
          <w:rFonts w:eastAsia="Calibri" w:cs="Verdana"/>
          <w:spacing w:val="-2"/>
          <w:szCs w:val="20"/>
          <w:lang w:val="en-US" w:eastAsia="es-CR"/>
        </w:rPr>
        <w:t>nadmissible would be pointless.</w:t>
      </w:r>
      <w:r w:rsidR="00FC1FD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Nevertheless, the Court notes that, when determining costs and expenses</w:t>
      </w:r>
      <w:r w:rsidR="00017AED"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it will take into account the requests contained in the representative’s</w:t>
      </w:r>
      <w:r w:rsidR="00017AED" w:rsidRPr="008A1DB4">
        <w:rPr>
          <w:rFonts w:eastAsia="Calibri" w:cs="Verdana"/>
          <w:spacing w:val="-2"/>
          <w:szCs w:val="20"/>
          <w:lang w:val="en-US" w:eastAsia="es-CR"/>
        </w:rPr>
        <w:t xml:space="preserve"> </w:t>
      </w:r>
      <w:r w:rsidR="00C45946" w:rsidRPr="008A1DB4">
        <w:rPr>
          <w:rFonts w:eastAsia="Calibri" w:cs="Verdana"/>
          <w:spacing w:val="-2"/>
          <w:szCs w:val="20"/>
          <w:lang w:val="en-US" w:eastAsia="es-CR"/>
        </w:rPr>
        <w:t xml:space="preserve">motions and arguments brief </w:t>
      </w:r>
      <w:r w:rsidR="0027284C" w:rsidRPr="008A1DB4">
        <w:rPr>
          <w:rFonts w:eastAsia="Calibri" w:cs="Verdana"/>
          <w:spacing w:val="-2"/>
          <w:szCs w:val="20"/>
          <w:lang w:val="en-US" w:eastAsia="es-CR"/>
        </w:rPr>
        <w:t>addressed to</w:t>
      </w:r>
      <w:r w:rsidR="008929F7" w:rsidRPr="008A1DB4">
        <w:rPr>
          <w:rFonts w:eastAsia="Calibri" w:cs="Verdana"/>
          <w:spacing w:val="-2"/>
          <w:szCs w:val="20"/>
          <w:lang w:val="en-US" w:eastAsia="es-CR"/>
        </w:rPr>
        <w:t xml:space="preserve"> </w:t>
      </w:r>
      <w:r w:rsidRPr="008A1DB4">
        <w:rPr>
          <w:rFonts w:eastAsia="Calibri" w:cs="Verdana"/>
          <w:spacing w:val="-2"/>
          <w:szCs w:val="20"/>
          <w:lang w:val="en-US" w:eastAsia="es-CR"/>
        </w:rPr>
        <w:t>the Court</w:t>
      </w:r>
      <w:r w:rsidR="0075265D" w:rsidRPr="008A1DB4">
        <w:rPr>
          <w:rFonts w:eastAsia="Calibri" w:cs="Verdana"/>
          <w:spacing w:val="-2"/>
          <w:szCs w:val="20"/>
          <w:lang w:val="en-US" w:eastAsia="es-CR"/>
        </w:rPr>
        <w:t xml:space="preserve"> </w:t>
      </w:r>
      <w:r w:rsidR="008929F7" w:rsidRPr="008A1DB4">
        <w:rPr>
          <w:rFonts w:eastAsia="Calibri" w:cs="Verdana"/>
          <w:spacing w:val="-2"/>
          <w:szCs w:val="20"/>
          <w:lang w:val="en-US" w:eastAsia="es-CR"/>
        </w:rPr>
        <w:t>(rec</w:t>
      </w:r>
      <w:r w:rsidR="0027284C" w:rsidRPr="008A1DB4">
        <w:rPr>
          <w:rFonts w:eastAsia="Calibri" w:cs="Verdana"/>
          <w:spacing w:val="-2"/>
          <w:szCs w:val="20"/>
          <w:lang w:val="en-US" w:eastAsia="es-CR"/>
        </w:rPr>
        <w:t xml:space="preserve">eived in communications of February </w:t>
      </w:r>
      <w:r w:rsidR="008929F7" w:rsidRPr="008A1DB4">
        <w:rPr>
          <w:rFonts w:eastAsia="Calibri" w:cs="Verdana"/>
          <w:spacing w:val="-2"/>
          <w:szCs w:val="20"/>
          <w:lang w:val="en-US" w:eastAsia="es-CR"/>
        </w:rPr>
        <w:t>5</w:t>
      </w:r>
      <w:r w:rsidR="00754AC7" w:rsidRPr="008A1DB4">
        <w:rPr>
          <w:rFonts w:eastAsia="Calibri" w:cs="Verdana"/>
          <w:spacing w:val="-2"/>
          <w:szCs w:val="20"/>
          <w:lang w:val="en-US" w:eastAsia="es-CR"/>
        </w:rPr>
        <w:t>, 6</w:t>
      </w:r>
      <w:r w:rsidRPr="008A1DB4">
        <w:rPr>
          <w:rFonts w:eastAsia="Calibri" w:cs="Verdana"/>
          <w:spacing w:val="-2"/>
          <w:szCs w:val="20"/>
          <w:lang w:val="en-US" w:eastAsia="es-CR"/>
        </w:rPr>
        <w:t xml:space="preserve"> and </w:t>
      </w:r>
      <w:r w:rsidR="00631F9C" w:rsidRPr="008A1DB4">
        <w:rPr>
          <w:rFonts w:eastAsia="Calibri" w:cs="Verdana"/>
          <w:spacing w:val="-2"/>
          <w:szCs w:val="20"/>
          <w:lang w:val="en-US" w:eastAsia="es-CR"/>
        </w:rPr>
        <w:t>9,</w:t>
      </w:r>
      <w:r w:rsidR="008929F7" w:rsidRPr="008A1DB4">
        <w:rPr>
          <w:rFonts w:eastAsia="Calibri" w:cs="Verdana"/>
          <w:spacing w:val="-2"/>
          <w:szCs w:val="20"/>
          <w:lang w:val="en-US" w:eastAsia="es-CR"/>
        </w:rPr>
        <w:t xml:space="preserve"> 2014)</w:t>
      </w:r>
      <w:r w:rsidRPr="008A1DB4">
        <w:rPr>
          <w:rFonts w:eastAsia="Calibri" w:cs="Verdana"/>
          <w:spacing w:val="-2"/>
          <w:szCs w:val="20"/>
          <w:lang w:val="en-US" w:eastAsia="es-CR"/>
        </w:rPr>
        <w:t xml:space="preserve"> and </w:t>
      </w:r>
      <w:r w:rsidR="00042993" w:rsidRPr="008A1DB4">
        <w:rPr>
          <w:rFonts w:eastAsia="Calibri" w:cs="Verdana"/>
          <w:spacing w:val="-2"/>
          <w:szCs w:val="20"/>
          <w:lang w:val="en-US" w:eastAsia="es-CR"/>
        </w:rPr>
        <w:t>no</w:t>
      </w:r>
      <w:r w:rsidR="0027284C" w:rsidRPr="008A1DB4">
        <w:rPr>
          <w:rFonts w:eastAsia="Calibri" w:cs="Verdana"/>
          <w:spacing w:val="-2"/>
          <w:szCs w:val="20"/>
          <w:lang w:val="en-US" w:eastAsia="es-CR"/>
        </w:rPr>
        <w:t xml:space="preserve">t those included in the brief of </w:t>
      </w:r>
      <w:r w:rsidR="00042993" w:rsidRPr="008A1DB4">
        <w:rPr>
          <w:rFonts w:eastAsia="Calibri" w:cs="Verdana"/>
          <w:spacing w:val="-2"/>
          <w:szCs w:val="20"/>
          <w:lang w:val="en-US" w:eastAsia="es-CR"/>
        </w:rPr>
        <w:t xml:space="preserve"> </w:t>
      </w:r>
      <w:r w:rsidR="00BB336A" w:rsidRPr="008A1DB4">
        <w:rPr>
          <w:rFonts w:eastAsia="Calibri" w:cs="Verdana"/>
          <w:spacing w:val="-2"/>
          <w:szCs w:val="20"/>
          <w:lang w:val="en-US" w:eastAsia="es-CR"/>
        </w:rPr>
        <w:t>August 30,</w:t>
      </w:r>
      <w:r w:rsidR="00042993" w:rsidRPr="008A1DB4">
        <w:rPr>
          <w:rFonts w:eastAsia="Calibri" w:cs="Verdana"/>
          <w:spacing w:val="-2"/>
          <w:szCs w:val="20"/>
          <w:lang w:val="en-US" w:eastAsia="es-CR"/>
        </w:rPr>
        <w:t xml:space="preserve"> 2013</w:t>
      </w:r>
      <w:r w:rsidR="0027284C" w:rsidRPr="008A1DB4">
        <w:rPr>
          <w:rFonts w:eastAsia="Calibri" w:cs="Verdana"/>
          <w:spacing w:val="-2"/>
          <w:szCs w:val="20"/>
          <w:lang w:val="en-US" w:eastAsia="es-CR"/>
        </w:rPr>
        <w:t>, addressed to</w:t>
      </w:r>
      <w:r w:rsidR="0075265D" w:rsidRPr="008A1DB4">
        <w:rPr>
          <w:rFonts w:eastAsia="Calibri" w:cs="Verdana"/>
          <w:spacing w:val="-2"/>
          <w:szCs w:val="20"/>
          <w:lang w:val="en-US" w:eastAsia="es-CR"/>
        </w:rPr>
        <w:t xml:space="preserve"> </w:t>
      </w:r>
      <w:r w:rsidRPr="008A1DB4">
        <w:rPr>
          <w:rFonts w:eastAsia="Calibri" w:cs="Verdana"/>
          <w:spacing w:val="-2"/>
          <w:szCs w:val="20"/>
          <w:lang w:val="en-US" w:eastAsia="es-CR"/>
        </w:rPr>
        <w:t>the Commission</w:t>
      </w:r>
      <w:r w:rsidR="00017AED"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since the former constituted the appropriate procedural stage for its presentation to this Court in accordance with </w:t>
      </w:r>
      <w:r w:rsidRPr="008A1DB4">
        <w:rPr>
          <w:rFonts w:eastAsia="Calibri" w:cs="Verdana"/>
          <w:spacing w:val="-2"/>
          <w:szCs w:val="20"/>
          <w:lang w:val="en-US" w:eastAsia="es-CR"/>
        </w:rPr>
        <w:t>Article</w:t>
      </w:r>
      <w:r w:rsidR="00017AED" w:rsidRPr="008A1DB4">
        <w:rPr>
          <w:rFonts w:eastAsia="Calibri" w:cs="Verdana"/>
          <w:spacing w:val="-2"/>
          <w:szCs w:val="20"/>
          <w:lang w:val="en-US" w:eastAsia="es-CR"/>
        </w:rPr>
        <w:t xml:space="preserve"> 4</w:t>
      </w:r>
      <w:r w:rsidR="0027284C" w:rsidRPr="008A1DB4">
        <w:rPr>
          <w:rFonts w:eastAsia="Calibri" w:cs="Verdana"/>
          <w:spacing w:val="-2"/>
          <w:szCs w:val="20"/>
          <w:lang w:val="en-US" w:eastAsia="es-CR"/>
        </w:rPr>
        <w:t>0(2)(</w:t>
      </w:r>
      <w:r w:rsidR="008929F7" w:rsidRPr="008A1DB4">
        <w:rPr>
          <w:rFonts w:eastAsia="Calibri" w:cs="Verdana"/>
          <w:spacing w:val="-2"/>
          <w:szCs w:val="20"/>
          <w:lang w:val="en-US" w:eastAsia="es-CR"/>
        </w:rPr>
        <w:t>d</w:t>
      </w:r>
      <w:r w:rsidR="0027284C" w:rsidRPr="008A1DB4">
        <w:rPr>
          <w:rFonts w:eastAsia="Calibri" w:cs="Verdana"/>
          <w:spacing w:val="-2"/>
          <w:szCs w:val="20"/>
          <w:lang w:val="en-US" w:eastAsia="es-CR"/>
        </w:rPr>
        <w:t>)</w:t>
      </w:r>
      <w:r w:rsidR="00017AED" w:rsidRPr="008A1DB4">
        <w:rPr>
          <w:rFonts w:eastAsia="Calibri" w:cs="Verdana"/>
          <w:spacing w:val="-2"/>
          <w:szCs w:val="20"/>
          <w:lang w:val="en-US" w:eastAsia="es-CR"/>
        </w:rPr>
        <w:t xml:space="preserve"> </w:t>
      </w:r>
      <w:r w:rsidRPr="008A1DB4">
        <w:rPr>
          <w:rFonts w:eastAsia="Calibri" w:cs="Verdana"/>
          <w:spacing w:val="-2"/>
          <w:szCs w:val="20"/>
          <w:lang w:val="en-US" w:eastAsia="es-CR"/>
        </w:rPr>
        <w:t>of the Court’s Rules of Procedure</w:t>
      </w:r>
      <w:r w:rsidR="00017AED"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This does not preclude the possibility of indicating and providing the evidence of the</w:t>
      </w:r>
      <w:r w:rsidR="008929F7"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costs and expenses</w:t>
      </w:r>
      <w:r w:rsidR="008929F7" w:rsidRPr="008A1DB4">
        <w:rPr>
          <w:rFonts w:eastAsia="Calibri" w:cs="Verdana"/>
          <w:spacing w:val="-2"/>
          <w:szCs w:val="20"/>
          <w:lang w:val="en-US" w:eastAsia="es-CR"/>
        </w:rPr>
        <w:t xml:space="preserve"> incurr</w:t>
      </w:r>
      <w:r w:rsidR="0027284C" w:rsidRPr="008A1DB4">
        <w:rPr>
          <w:rFonts w:eastAsia="Calibri" w:cs="Verdana"/>
          <w:spacing w:val="-2"/>
          <w:szCs w:val="20"/>
          <w:lang w:val="en-US" w:eastAsia="es-CR"/>
        </w:rPr>
        <w:t xml:space="preserve">ed during the proceedings before the Court subsequently, as indicated </w:t>
      </w:r>
      <w:r w:rsidR="008929F7" w:rsidRPr="008A1DB4">
        <w:rPr>
          <w:rFonts w:eastAsia="Calibri" w:cs="Verdana"/>
          <w:i/>
          <w:spacing w:val="-2"/>
          <w:szCs w:val="20"/>
          <w:lang w:val="en-US" w:eastAsia="es-CR"/>
        </w:rPr>
        <w:t>infra</w:t>
      </w:r>
      <w:r w:rsidR="008929F7" w:rsidRPr="008A1DB4">
        <w:rPr>
          <w:rFonts w:eastAsia="Calibri" w:cs="Verdana"/>
          <w:spacing w:val="-2"/>
          <w:szCs w:val="20"/>
          <w:lang w:val="en-US" w:eastAsia="es-CR"/>
        </w:rPr>
        <w:t>.</w:t>
      </w:r>
    </w:p>
    <w:p w14:paraId="5FEB74D0" w14:textId="77777777" w:rsidR="00BC5C7E" w:rsidRPr="008A1DB4" w:rsidRDefault="00BC5C7E" w:rsidP="00956E97">
      <w:pPr>
        <w:widowControl w:val="0"/>
        <w:autoSpaceDE w:val="0"/>
        <w:autoSpaceDN w:val="0"/>
        <w:adjustRightInd w:val="0"/>
        <w:textAlignment w:val="baseline"/>
        <w:rPr>
          <w:rFonts w:eastAsia="Calibri" w:cs="Verdana"/>
          <w:spacing w:val="-2"/>
          <w:szCs w:val="20"/>
          <w:lang w:val="en-US" w:eastAsia="es-MX"/>
        </w:rPr>
      </w:pPr>
    </w:p>
    <w:p w14:paraId="66ED469F" w14:textId="75AC12A1" w:rsidR="00EE2042" w:rsidRPr="008A1DB4" w:rsidRDefault="00C45946" w:rsidP="00956E97">
      <w:pPr>
        <w:widowControl w:val="0"/>
        <w:numPr>
          <w:ilvl w:val="0"/>
          <w:numId w:val="2"/>
        </w:numPr>
        <w:autoSpaceDE w:val="0"/>
        <w:autoSpaceDN w:val="0"/>
        <w:adjustRightInd w:val="0"/>
        <w:textAlignment w:val="baseline"/>
        <w:rPr>
          <w:rFonts w:eastAsia="Calibri" w:cs="Verdana"/>
          <w:spacing w:val="-2"/>
          <w:szCs w:val="20"/>
          <w:lang w:val="en-US" w:eastAsia="es-MX"/>
        </w:rPr>
      </w:pPr>
      <w:r w:rsidRPr="008A1DB4">
        <w:rPr>
          <w:rFonts w:eastAsia="Calibri" w:cs="Verdana"/>
          <w:spacing w:val="-2"/>
          <w:szCs w:val="20"/>
          <w:lang w:val="en-US" w:eastAsia="es-CR"/>
        </w:rPr>
        <w:lastRenderedPageBreak/>
        <w:t>The representative</w:t>
      </w:r>
      <w:r w:rsidR="00107D66"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forwarded</w:t>
      </w:r>
      <w:r w:rsidR="00F233BB"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with his</w:t>
      </w:r>
      <w:r w:rsidR="006D7F19" w:rsidRPr="008A1DB4">
        <w:rPr>
          <w:rFonts w:eastAsia="Calibri" w:cs="Verdana"/>
          <w:spacing w:val="-2"/>
          <w:szCs w:val="20"/>
          <w:lang w:val="en-US" w:eastAsia="es-CR"/>
        </w:rPr>
        <w:t xml:space="preserve"> </w:t>
      </w:r>
      <w:r w:rsidR="00D72E3B" w:rsidRPr="008A1DB4">
        <w:rPr>
          <w:rFonts w:eastAsia="Calibri" w:cs="Verdana"/>
          <w:spacing w:val="-2"/>
          <w:szCs w:val="20"/>
          <w:lang w:val="en-US" w:eastAsia="es-CR"/>
        </w:rPr>
        <w:t>final written arguments</w:t>
      </w:r>
      <w:r w:rsidR="006D7F19" w:rsidRPr="008A1DB4">
        <w:rPr>
          <w:rFonts w:eastAsia="Calibri" w:cs="Verdana"/>
          <w:spacing w:val="-2"/>
          <w:szCs w:val="20"/>
          <w:lang w:val="en-US" w:eastAsia="es-CR"/>
        </w:rPr>
        <w:t>,</w:t>
      </w:r>
      <w:r w:rsidR="00F233BB"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vouchers for the expenses he incurred following the </w:t>
      </w:r>
      <w:r w:rsidR="00ED3D6C">
        <w:rPr>
          <w:rFonts w:eastAsia="Calibri" w:cs="Verdana"/>
          <w:spacing w:val="-2"/>
          <w:szCs w:val="20"/>
          <w:lang w:val="en-US" w:eastAsia="es-CR"/>
        </w:rPr>
        <w:t>submission</w:t>
      </w:r>
      <w:r w:rsidR="0027284C" w:rsidRPr="008A1DB4">
        <w:rPr>
          <w:rFonts w:eastAsia="Calibri" w:cs="Verdana"/>
          <w:spacing w:val="-2"/>
          <w:szCs w:val="20"/>
          <w:lang w:val="en-US" w:eastAsia="es-CR"/>
        </w:rPr>
        <w:t xml:space="preserve"> of the </w:t>
      </w:r>
      <w:r w:rsidRPr="008A1DB4">
        <w:rPr>
          <w:rFonts w:eastAsia="Calibri" w:cs="Verdana"/>
          <w:spacing w:val="-2"/>
          <w:szCs w:val="20"/>
          <w:lang w:val="en-US" w:eastAsia="es-CR"/>
        </w:rPr>
        <w:t>motions and arguments brief</w:t>
      </w:r>
      <w:r w:rsidR="00F233BB" w:rsidRPr="008A1DB4">
        <w:rPr>
          <w:rFonts w:eastAsia="Calibri" w:cs="Verdana"/>
          <w:spacing w:val="-2"/>
          <w:szCs w:val="20"/>
          <w:lang w:val="en-US" w:eastAsia="es-CR"/>
        </w:rPr>
        <w:t xml:space="preserve">. </w:t>
      </w:r>
      <w:r w:rsidR="00F36400" w:rsidRPr="008A1DB4">
        <w:rPr>
          <w:rFonts w:eastAsia="Calibri" w:cs="Verdana"/>
          <w:spacing w:val="-2"/>
          <w:szCs w:val="20"/>
          <w:lang w:val="en-US" w:eastAsia="es-CR"/>
        </w:rPr>
        <w:t>The State</w:t>
      </w:r>
      <w:r w:rsidR="00F233BB" w:rsidRPr="008A1DB4">
        <w:rPr>
          <w:rFonts w:eastAsia="Calibri" w:cs="Verdana"/>
          <w:spacing w:val="-2"/>
          <w:szCs w:val="20"/>
          <w:lang w:val="en-US" w:eastAsia="es-CR"/>
        </w:rPr>
        <w:t xml:space="preserve"> </w:t>
      </w:r>
      <w:r w:rsidR="002A78CF" w:rsidRPr="008A1DB4">
        <w:rPr>
          <w:rFonts w:eastAsia="Calibri" w:cs="Verdana"/>
          <w:spacing w:val="-2"/>
          <w:szCs w:val="20"/>
          <w:lang w:val="en-US" w:eastAsia="es-CR"/>
        </w:rPr>
        <w:t>a</w:t>
      </w:r>
      <w:r w:rsidR="0027284C" w:rsidRPr="008A1DB4">
        <w:rPr>
          <w:rFonts w:eastAsia="Calibri" w:cs="Verdana"/>
          <w:spacing w:val="-2"/>
          <w:szCs w:val="20"/>
          <w:lang w:val="en-US" w:eastAsia="es-CR"/>
        </w:rPr>
        <w:t xml:space="preserve">rgued that these new requests for costs should be declared inadmissible as they were time-barred, because </w:t>
      </w:r>
      <w:r w:rsidRPr="008A1DB4">
        <w:rPr>
          <w:rFonts w:eastAsia="Calibri" w:cs="Verdana"/>
          <w:spacing w:val="-2"/>
          <w:szCs w:val="20"/>
          <w:lang w:val="en-US" w:eastAsia="es-CR"/>
        </w:rPr>
        <w:t>the representative</w:t>
      </w:r>
      <w:r w:rsidR="002A78CF" w:rsidRPr="008A1DB4">
        <w:rPr>
          <w:rFonts w:eastAsia="Calibri" w:cs="Verdana"/>
          <w:spacing w:val="-2"/>
          <w:szCs w:val="20"/>
          <w:lang w:val="en-US" w:eastAsia="es-CR"/>
        </w:rPr>
        <w:t xml:space="preserve"> </w:t>
      </w:r>
      <w:r w:rsidR="0027284C" w:rsidRPr="008A1DB4">
        <w:rPr>
          <w:rFonts w:eastAsia="Calibri" w:cs="Verdana"/>
          <w:spacing w:val="-2"/>
          <w:szCs w:val="20"/>
          <w:lang w:val="en-US" w:eastAsia="es-CR"/>
        </w:rPr>
        <w:t xml:space="preserve">should have made the requests in his </w:t>
      </w:r>
      <w:r w:rsidRPr="008A1DB4">
        <w:rPr>
          <w:rFonts w:eastAsia="Calibri" w:cs="Verdana"/>
          <w:spacing w:val="-2"/>
          <w:szCs w:val="20"/>
          <w:lang w:val="en-US" w:eastAsia="es-CR"/>
        </w:rPr>
        <w:t>motions and arguments brief</w:t>
      </w:r>
      <w:r w:rsidR="002A78CF" w:rsidRPr="008A1DB4">
        <w:rPr>
          <w:rFonts w:eastAsia="Calibri" w:cs="Verdana"/>
          <w:spacing w:val="-2"/>
          <w:szCs w:val="20"/>
          <w:lang w:val="en-US" w:eastAsia="es-CR"/>
        </w:rPr>
        <w:t xml:space="preserve">. </w:t>
      </w:r>
      <w:r w:rsidR="00F36400" w:rsidRPr="008A1DB4">
        <w:rPr>
          <w:rFonts w:eastAsia="Calibri" w:cs="Verdana"/>
          <w:spacing w:val="-2"/>
          <w:szCs w:val="20"/>
          <w:lang w:val="en-US" w:eastAsia="es-CR"/>
        </w:rPr>
        <w:t>The Court</w:t>
      </w:r>
      <w:r w:rsidR="002A78CF" w:rsidRPr="008A1DB4">
        <w:rPr>
          <w:rFonts w:eastAsia="Calibri" w:cs="Verdana"/>
          <w:spacing w:val="-2"/>
          <w:szCs w:val="20"/>
          <w:lang w:val="en-US" w:eastAsia="es-CR"/>
        </w:rPr>
        <w:t xml:space="preserve"> rec</w:t>
      </w:r>
      <w:r w:rsidR="0027284C" w:rsidRPr="008A1DB4">
        <w:rPr>
          <w:rFonts w:eastAsia="Calibri" w:cs="Verdana"/>
          <w:spacing w:val="-2"/>
          <w:szCs w:val="20"/>
          <w:lang w:val="en-US" w:eastAsia="es-CR"/>
        </w:rPr>
        <w:t xml:space="preserve">alls that, under </w:t>
      </w:r>
      <w:r w:rsidR="00F36400" w:rsidRPr="008A1DB4">
        <w:rPr>
          <w:rFonts w:eastAsia="Calibri" w:cs="Verdana"/>
          <w:spacing w:val="-2"/>
          <w:szCs w:val="20"/>
          <w:lang w:val="en-US" w:eastAsia="es-CR"/>
        </w:rPr>
        <w:t>Article</w:t>
      </w:r>
      <w:r w:rsidR="0027284C" w:rsidRPr="008A1DB4">
        <w:rPr>
          <w:rFonts w:eastAsia="Calibri" w:cs="Verdana"/>
          <w:spacing w:val="-2"/>
          <w:szCs w:val="20"/>
          <w:lang w:val="en-US" w:eastAsia="es-CR"/>
        </w:rPr>
        <w:t xml:space="preserve"> 57(</w:t>
      </w:r>
      <w:r w:rsidR="002A78CF" w:rsidRPr="008A1DB4">
        <w:rPr>
          <w:rFonts w:eastAsia="Calibri" w:cs="Verdana"/>
          <w:spacing w:val="-2"/>
          <w:szCs w:val="20"/>
          <w:lang w:val="en-US" w:eastAsia="es-CR"/>
        </w:rPr>
        <w:t>2</w:t>
      </w:r>
      <w:r w:rsidR="0027284C" w:rsidRPr="008A1DB4">
        <w:rPr>
          <w:rFonts w:eastAsia="Calibri" w:cs="Verdana"/>
          <w:spacing w:val="-2"/>
          <w:szCs w:val="20"/>
          <w:lang w:val="en-US" w:eastAsia="es-CR"/>
        </w:rPr>
        <w:t>)</w:t>
      </w:r>
      <w:r w:rsidR="002A78CF" w:rsidRPr="008A1DB4">
        <w:rPr>
          <w:rFonts w:eastAsia="Calibri" w:cs="Verdana"/>
          <w:spacing w:val="-2"/>
          <w:szCs w:val="20"/>
          <w:lang w:val="en-US" w:eastAsia="es-CR"/>
        </w:rPr>
        <w:t xml:space="preserve"> </w:t>
      </w:r>
      <w:r w:rsidR="00F36400" w:rsidRPr="008A1DB4">
        <w:rPr>
          <w:rFonts w:eastAsia="Calibri" w:cs="Verdana"/>
          <w:spacing w:val="-2"/>
          <w:szCs w:val="20"/>
          <w:lang w:val="en-US" w:eastAsia="es-CR"/>
        </w:rPr>
        <w:t>of the Rules of Procedure</w:t>
      </w:r>
      <w:r w:rsidR="002A78CF" w:rsidRPr="008A1DB4">
        <w:rPr>
          <w:rFonts w:eastAsia="Calibri" w:cs="Verdana"/>
          <w:spacing w:val="-2"/>
          <w:szCs w:val="20"/>
          <w:lang w:val="en-US" w:eastAsia="es-CR"/>
        </w:rPr>
        <w:t xml:space="preserve">, </w:t>
      </w:r>
      <w:r w:rsidR="00ED3D6C">
        <w:rPr>
          <w:rFonts w:eastAsia="Calibri" w:cs="Verdana"/>
          <w:spacing w:val="-2"/>
          <w:szCs w:val="20"/>
          <w:lang w:val="en-US" w:eastAsia="es-CR"/>
        </w:rPr>
        <w:t>evidence of facts that take</w:t>
      </w:r>
      <w:r w:rsidR="0027284C" w:rsidRPr="008A1DB4">
        <w:rPr>
          <w:rFonts w:eastAsia="Calibri" w:cs="Verdana"/>
          <w:spacing w:val="-2"/>
          <w:szCs w:val="20"/>
          <w:lang w:val="en-US" w:eastAsia="es-CR"/>
        </w:rPr>
        <w:t xml:space="preserve"> place following the </w:t>
      </w:r>
      <w:r w:rsidR="0027284C" w:rsidRPr="008A1DB4">
        <w:rPr>
          <w:rFonts w:eastAsia="Calibri" w:cs="Verdana"/>
          <w:spacing w:val="-2"/>
          <w:szCs w:val="20"/>
          <w:lang w:val="en-US" w:eastAsia="es-MX"/>
        </w:rPr>
        <w:t>motions and arguments brief</w:t>
      </w:r>
      <w:r w:rsidR="0027284C" w:rsidRPr="008A1DB4">
        <w:rPr>
          <w:rFonts w:eastAsia="Calibri" w:cs="Verdana"/>
          <w:spacing w:val="-2"/>
          <w:szCs w:val="20"/>
          <w:lang w:val="en-US" w:eastAsia="es-CR"/>
        </w:rPr>
        <w:t xml:space="preserve"> is admissible in the case </w:t>
      </w:r>
      <w:r w:rsidRPr="008A1DB4">
        <w:rPr>
          <w:rFonts w:eastAsia="Calibri" w:cs="Verdana"/>
          <w:spacing w:val="-2"/>
          <w:szCs w:val="20"/>
          <w:lang w:val="en-US" w:eastAsia="es-MX"/>
        </w:rPr>
        <w:t xml:space="preserve">of the representative of the </w:t>
      </w:r>
      <w:r w:rsidR="00F36400" w:rsidRPr="008A1DB4">
        <w:rPr>
          <w:rFonts w:eastAsia="Calibri" w:cs="Verdana"/>
          <w:spacing w:val="-2"/>
          <w:szCs w:val="20"/>
          <w:lang w:val="en-US" w:eastAsia="es-MX"/>
        </w:rPr>
        <w:t>presumed victim</w:t>
      </w:r>
      <w:r w:rsidR="00961AF5" w:rsidRPr="008A1DB4">
        <w:rPr>
          <w:rFonts w:eastAsia="Calibri" w:cs="Verdana"/>
          <w:spacing w:val="-2"/>
          <w:szCs w:val="20"/>
          <w:lang w:val="en-US" w:eastAsia="es-MX"/>
        </w:rPr>
        <w:t xml:space="preserve">. </w:t>
      </w:r>
      <w:r w:rsidR="0027284C" w:rsidRPr="008A1DB4">
        <w:rPr>
          <w:rFonts w:eastAsia="Calibri" w:cs="Verdana"/>
          <w:spacing w:val="-2"/>
          <w:szCs w:val="20"/>
          <w:lang w:val="en-US" w:eastAsia="es-MX"/>
        </w:rPr>
        <w:t xml:space="preserve">Therefore, following its consistent practice, </w:t>
      </w:r>
      <w:r w:rsidR="00F36400" w:rsidRPr="008A1DB4">
        <w:rPr>
          <w:rFonts w:eastAsia="Calibri" w:cs="Verdana"/>
          <w:spacing w:val="-2"/>
          <w:szCs w:val="20"/>
          <w:lang w:val="en-US" w:eastAsia="es-MX"/>
        </w:rPr>
        <w:t>the Court</w:t>
      </w:r>
      <w:r w:rsidR="0027284C" w:rsidRPr="008A1DB4">
        <w:rPr>
          <w:rFonts w:eastAsia="Calibri" w:cs="Verdana"/>
          <w:spacing w:val="-2"/>
          <w:szCs w:val="20"/>
          <w:lang w:val="en-US" w:eastAsia="es-MX"/>
        </w:rPr>
        <w:t xml:space="preserve"> admits the documentation on costs and expenses</w:t>
      </w:r>
      <w:r w:rsidR="005F7A5B" w:rsidRPr="008A1DB4">
        <w:rPr>
          <w:rFonts w:eastAsia="Calibri" w:cs="Verdana"/>
          <w:spacing w:val="-2"/>
          <w:szCs w:val="20"/>
          <w:lang w:val="en-US" w:eastAsia="es-MX"/>
        </w:rPr>
        <w:t xml:space="preserve"> </w:t>
      </w:r>
      <w:r w:rsidR="00961AF5" w:rsidRPr="008A1DB4">
        <w:rPr>
          <w:rFonts w:eastAsia="Calibri" w:cs="Verdana"/>
          <w:spacing w:val="-2"/>
          <w:szCs w:val="20"/>
          <w:lang w:val="en-US" w:eastAsia="es-MX"/>
        </w:rPr>
        <w:t>incurr</w:t>
      </w:r>
      <w:r w:rsidR="0027284C" w:rsidRPr="008A1DB4">
        <w:rPr>
          <w:rFonts w:eastAsia="Calibri" w:cs="Verdana"/>
          <w:spacing w:val="-2"/>
          <w:szCs w:val="20"/>
          <w:lang w:val="en-US" w:eastAsia="es-MX"/>
        </w:rPr>
        <w:t xml:space="preserve">ed after the presentation of the </w:t>
      </w:r>
      <w:r w:rsidRPr="008A1DB4">
        <w:rPr>
          <w:rFonts w:eastAsia="Calibri" w:cs="Verdana"/>
          <w:spacing w:val="-2"/>
          <w:szCs w:val="20"/>
          <w:lang w:val="en-US" w:eastAsia="es-MX"/>
        </w:rPr>
        <w:t xml:space="preserve">motions and </w:t>
      </w:r>
      <w:proofErr w:type="gramStart"/>
      <w:r w:rsidRPr="008A1DB4">
        <w:rPr>
          <w:rFonts w:eastAsia="Calibri" w:cs="Verdana"/>
          <w:spacing w:val="-2"/>
          <w:szCs w:val="20"/>
          <w:lang w:val="en-US" w:eastAsia="es-MX"/>
        </w:rPr>
        <w:t>arguments brief</w:t>
      </w:r>
      <w:r w:rsidR="00ED3D6C">
        <w:rPr>
          <w:rFonts w:eastAsia="Calibri" w:cs="Verdana"/>
          <w:spacing w:val="-2"/>
          <w:szCs w:val="20"/>
          <w:lang w:val="en-US" w:eastAsia="es-MX"/>
        </w:rPr>
        <w:t>,</w:t>
      </w:r>
      <w:r w:rsidR="0027284C" w:rsidRPr="008A1DB4">
        <w:rPr>
          <w:rFonts w:eastAsia="Calibri" w:cs="Verdana"/>
          <w:spacing w:val="-2"/>
          <w:szCs w:val="20"/>
          <w:lang w:val="en-US" w:eastAsia="es-MX"/>
        </w:rPr>
        <w:t xml:space="preserve"> </w:t>
      </w:r>
      <w:r w:rsidR="00ED3D6C">
        <w:rPr>
          <w:rFonts w:eastAsia="Calibri" w:cs="Verdana"/>
          <w:spacing w:val="-2"/>
          <w:szCs w:val="20"/>
          <w:lang w:val="en-US" w:eastAsia="es-MX"/>
        </w:rPr>
        <w:t>sent</w:t>
      </w:r>
      <w:r w:rsidR="0027284C" w:rsidRPr="008A1DB4">
        <w:rPr>
          <w:rFonts w:eastAsia="Calibri" w:cs="Verdana"/>
          <w:spacing w:val="-2"/>
          <w:szCs w:val="20"/>
          <w:lang w:val="en-US" w:eastAsia="es-MX"/>
        </w:rPr>
        <w:t xml:space="preserve"> by the representative together with his final written arguments</w:t>
      </w:r>
      <w:r w:rsidR="00ED3D6C">
        <w:rPr>
          <w:rFonts w:eastAsia="Calibri" w:cs="Verdana"/>
          <w:spacing w:val="-2"/>
          <w:szCs w:val="20"/>
          <w:lang w:val="en-US" w:eastAsia="es-MX"/>
        </w:rPr>
        <w:t>,</w:t>
      </w:r>
      <w:r w:rsidR="0027284C" w:rsidRPr="008A1DB4">
        <w:rPr>
          <w:rFonts w:eastAsia="Calibri" w:cs="Verdana"/>
          <w:spacing w:val="-2"/>
          <w:szCs w:val="20"/>
          <w:lang w:val="en-US" w:eastAsia="es-MX"/>
        </w:rPr>
        <w:t xml:space="preserve"> and incorporates</w:t>
      </w:r>
      <w:proofErr w:type="gramEnd"/>
      <w:r w:rsidR="0027284C" w:rsidRPr="008A1DB4">
        <w:rPr>
          <w:rFonts w:eastAsia="Calibri" w:cs="Verdana"/>
          <w:spacing w:val="-2"/>
          <w:szCs w:val="20"/>
          <w:lang w:val="en-US" w:eastAsia="es-MX"/>
        </w:rPr>
        <w:t xml:space="preserve"> it into the body of evidence.</w:t>
      </w:r>
    </w:p>
    <w:p w14:paraId="37BB33A7" w14:textId="77777777" w:rsidR="006977B6" w:rsidRPr="008A1DB4" w:rsidRDefault="006977B6" w:rsidP="00956E97">
      <w:pPr>
        <w:widowControl w:val="0"/>
        <w:autoSpaceDE w:val="0"/>
        <w:autoSpaceDN w:val="0"/>
        <w:adjustRightInd w:val="0"/>
        <w:textAlignment w:val="baseline"/>
        <w:rPr>
          <w:rFonts w:eastAsia="Calibri" w:cs="Verdana"/>
          <w:spacing w:val="-2"/>
          <w:szCs w:val="20"/>
          <w:lang w:val="en-US" w:eastAsia="es-MX"/>
        </w:rPr>
      </w:pPr>
    </w:p>
    <w:p w14:paraId="23B96B1B" w14:textId="196ED425" w:rsidR="00E40A84" w:rsidRPr="008A1DB4" w:rsidRDefault="0027284C" w:rsidP="0027284C">
      <w:pPr>
        <w:widowControl w:val="0"/>
        <w:numPr>
          <w:ilvl w:val="0"/>
          <w:numId w:val="2"/>
        </w:numPr>
        <w:autoSpaceDE w:val="0"/>
        <w:autoSpaceDN w:val="0"/>
        <w:adjustRightInd w:val="0"/>
        <w:textAlignment w:val="baseline"/>
        <w:rPr>
          <w:i/>
          <w:iCs/>
          <w:spacing w:val="-2"/>
          <w:szCs w:val="20"/>
          <w:lang w:val="en-US"/>
        </w:rPr>
      </w:pPr>
      <w:r w:rsidRPr="008A1DB4">
        <w:rPr>
          <w:rFonts w:eastAsia="Calibri" w:cs="Verdana"/>
          <w:spacing w:val="-2"/>
          <w:szCs w:val="20"/>
          <w:lang w:val="en-US" w:eastAsia="es-MX"/>
        </w:rPr>
        <w:t>On April 13, and June</w:t>
      </w:r>
      <w:r w:rsidR="005C6BF5" w:rsidRPr="008A1DB4">
        <w:rPr>
          <w:rFonts w:eastAsia="Calibri" w:cs="Verdana"/>
          <w:spacing w:val="-2"/>
          <w:szCs w:val="20"/>
          <w:lang w:val="en-US" w:eastAsia="es-MX"/>
        </w:rPr>
        <w:t xml:space="preserve"> </w:t>
      </w:r>
      <w:r w:rsidR="0075265D" w:rsidRPr="008A1DB4">
        <w:rPr>
          <w:rFonts w:eastAsia="Calibri" w:cs="Verdana"/>
          <w:spacing w:val="-2"/>
          <w:szCs w:val="20"/>
          <w:lang w:val="en-US" w:eastAsia="es-MX"/>
        </w:rPr>
        <w:t>11</w:t>
      </w:r>
      <w:r w:rsidR="00F36400" w:rsidRPr="008A1DB4">
        <w:rPr>
          <w:rFonts w:eastAsia="Calibri" w:cs="Verdana"/>
          <w:spacing w:val="-2"/>
          <w:szCs w:val="20"/>
          <w:lang w:val="en-US" w:eastAsia="es-MX"/>
        </w:rPr>
        <w:t xml:space="preserve"> and </w:t>
      </w:r>
      <w:r w:rsidRPr="008A1DB4">
        <w:rPr>
          <w:rFonts w:eastAsia="Calibri" w:cs="Verdana"/>
          <w:spacing w:val="-2"/>
          <w:szCs w:val="20"/>
          <w:lang w:val="en-US" w:eastAsia="es-MX"/>
        </w:rPr>
        <w:t xml:space="preserve">18, </w:t>
      </w:r>
      <w:r w:rsidR="00711BBE" w:rsidRPr="008A1DB4">
        <w:rPr>
          <w:rFonts w:eastAsia="Calibri" w:cs="Verdana"/>
          <w:spacing w:val="-2"/>
          <w:szCs w:val="20"/>
          <w:lang w:val="en-US" w:eastAsia="es-MX"/>
        </w:rPr>
        <w:t>2015</w:t>
      </w:r>
      <w:r w:rsidRPr="008A1DB4">
        <w:rPr>
          <w:rFonts w:eastAsia="Calibri" w:cs="Verdana"/>
          <w:spacing w:val="-2"/>
          <w:szCs w:val="20"/>
          <w:lang w:val="en-US" w:eastAsia="es-MX"/>
        </w:rPr>
        <w:t>,</w:t>
      </w:r>
      <w:r w:rsidR="006977B6" w:rsidRPr="008A1DB4">
        <w:rPr>
          <w:rFonts w:eastAsia="Calibri" w:cs="Verdana"/>
          <w:spacing w:val="-2"/>
          <w:szCs w:val="20"/>
          <w:lang w:val="en-US" w:eastAsia="es-MX"/>
        </w:rPr>
        <w:t xml:space="preserve"> </w:t>
      </w:r>
      <w:r w:rsidR="00C45946" w:rsidRPr="008A1DB4">
        <w:rPr>
          <w:rFonts w:eastAsia="Calibri" w:cs="Verdana"/>
          <w:spacing w:val="-2"/>
          <w:szCs w:val="20"/>
          <w:lang w:val="en-US" w:eastAsia="es-MX"/>
        </w:rPr>
        <w:t>the representative</w:t>
      </w:r>
      <w:r w:rsidR="006977B6" w:rsidRPr="008A1DB4">
        <w:rPr>
          <w:rFonts w:eastAsia="Calibri" w:cs="Verdana"/>
          <w:spacing w:val="-2"/>
          <w:szCs w:val="20"/>
          <w:lang w:val="en-US" w:eastAsia="es-MX"/>
        </w:rPr>
        <w:t xml:space="preserve"> </w:t>
      </w:r>
      <w:r w:rsidRPr="008A1DB4">
        <w:rPr>
          <w:rFonts w:eastAsia="Calibri" w:cs="Verdana"/>
          <w:spacing w:val="-2"/>
          <w:szCs w:val="20"/>
          <w:lang w:val="en-US" w:eastAsia="es-MX"/>
        </w:rPr>
        <w:t xml:space="preserve">sent information on a request made on March 3, 2015, in the domestic sphere to “change house arrest to </w:t>
      </w:r>
      <w:r w:rsidR="00F26E60">
        <w:rPr>
          <w:spacing w:val="-2"/>
          <w:lang w:val="en-US"/>
        </w:rPr>
        <w:t xml:space="preserve">an </w:t>
      </w:r>
      <w:r w:rsidR="00F26E60" w:rsidRPr="008A1DB4">
        <w:rPr>
          <w:spacing w:val="-2"/>
          <w:lang w:val="en-US"/>
        </w:rPr>
        <w:t>order to appear in court</w:t>
      </w:r>
      <w:r w:rsidR="00F26E60">
        <w:rPr>
          <w:spacing w:val="-2"/>
          <w:lang w:val="en-US"/>
        </w:rPr>
        <w:t xml:space="preserve"> periodically</w:t>
      </w:r>
      <w:r w:rsidRPr="008A1DB4">
        <w:rPr>
          <w:rFonts w:eastAsia="Calibri" w:cs="Verdana"/>
          <w:spacing w:val="-2"/>
          <w:szCs w:val="20"/>
          <w:lang w:val="en-US" w:eastAsia="es-MX"/>
        </w:rPr>
        <w:t>,” for the Court to assess it</w:t>
      </w:r>
      <w:r w:rsidR="00ED3D6C">
        <w:rPr>
          <w:rFonts w:eastAsia="Calibri" w:cs="Verdana"/>
          <w:spacing w:val="-2"/>
          <w:szCs w:val="20"/>
          <w:lang w:val="en-US" w:eastAsia="es-MX"/>
        </w:rPr>
        <w:t>, “because</w:t>
      </w:r>
      <w:r w:rsidRPr="008A1DB4">
        <w:rPr>
          <w:rFonts w:eastAsia="Calibri" w:cs="Verdana"/>
          <w:spacing w:val="-2"/>
          <w:szCs w:val="20"/>
          <w:lang w:val="en-US" w:eastAsia="es-MX"/>
        </w:rPr>
        <w:t xml:space="preserve"> it related to a supervening fact.” The State opposed the admission of this information because, in its opinion, the representative had not founded his request satisfactorily and the results of the request “</w:t>
      </w:r>
      <w:r w:rsidR="00ED3D6C">
        <w:rPr>
          <w:rFonts w:eastAsia="Calibri" w:cs="Verdana"/>
          <w:spacing w:val="-2"/>
          <w:szCs w:val="20"/>
          <w:lang w:val="en-US" w:eastAsia="es-MX"/>
        </w:rPr>
        <w:t>are not included in</w:t>
      </w:r>
      <w:r w:rsidRPr="008A1DB4">
        <w:rPr>
          <w:rFonts w:eastAsia="Calibri" w:cs="Verdana"/>
          <w:spacing w:val="-2"/>
          <w:szCs w:val="20"/>
          <w:lang w:val="en-US" w:eastAsia="es-MX"/>
        </w:rPr>
        <w:t xml:space="preserve"> the matters that are being analyzed by the Court […] in this case.” According to the State, the representative did not </w:t>
      </w:r>
      <w:r w:rsidR="00ED3D6C">
        <w:rPr>
          <w:rFonts w:eastAsia="Calibri" w:cs="Verdana"/>
          <w:spacing w:val="-2"/>
          <w:szCs w:val="20"/>
          <w:lang w:val="en-US" w:eastAsia="es-MX"/>
        </w:rPr>
        <w:t>identify</w:t>
      </w:r>
      <w:r w:rsidRPr="008A1DB4">
        <w:rPr>
          <w:rFonts w:eastAsia="Calibri" w:cs="Verdana"/>
          <w:spacing w:val="-2"/>
          <w:szCs w:val="20"/>
          <w:lang w:val="en-US" w:eastAsia="es-MX"/>
        </w:rPr>
        <w:t xml:space="preserve"> the specific purpose of his request or the provisions of the Rules of Procedure on which he based it. In addition, he did not specif</w:t>
      </w:r>
      <w:r w:rsidR="00ED3D6C">
        <w:rPr>
          <w:rFonts w:eastAsia="Calibri" w:cs="Verdana"/>
          <w:spacing w:val="-2"/>
          <w:szCs w:val="20"/>
          <w:lang w:val="en-US" w:eastAsia="es-MX"/>
        </w:rPr>
        <w:t xml:space="preserve">y why the request to change the </w:t>
      </w:r>
      <w:r w:rsidRPr="008A1DB4">
        <w:rPr>
          <w:rFonts w:eastAsia="Calibri" w:cs="Verdana"/>
          <w:spacing w:val="-2"/>
          <w:szCs w:val="20"/>
          <w:lang w:val="en-US" w:eastAsia="es-MX"/>
        </w:rPr>
        <w:t>house arrest would represent, “strictly, a ‘supervening fact,’” and had failed to</w:t>
      </w:r>
      <w:r w:rsidR="00ED3D6C">
        <w:rPr>
          <w:rFonts w:eastAsia="Calibri" w:cs="Verdana"/>
          <w:spacing w:val="-2"/>
          <w:szCs w:val="20"/>
          <w:lang w:val="en-US" w:eastAsia="es-MX"/>
        </w:rPr>
        <w:t xml:space="preserve"> indicate</w:t>
      </w:r>
      <w:r w:rsidRPr="008A1DB4">
        <w:rPr>
          <w:rFonts w:eastAsia="Calibri" w:cs="Verdana"/>
          <w:spacing w:val="-2"/>
          <w:szCs w:val="20"/>
          <w:lang w:val="en-US" w:eastAsia="es-MX"/>
        </w:rPr>
        <w:t xml:space="preserve"> what he sought to p</w:t>
      </w:r>
      <w:r w:rsidR="00ED3D6C">
        <w:rPr>
          <w:rFonts w:eastAsia="Calibri" w:cs="Verdana"/>
          <w:spacing w:val="-2"/>
          <w:szCs w:val="20"/>
          <w:lang w:val="en-US" w:eastAsia="es-MX"/>
        </w:rPr>
        <w:t>rove with this documentation, or with which to</w:t>
      </w:r>
      <w:r w:rsidRPr="008A1DB4">
        <w:rPr>
          <w:rFonts w:eastAsia="Calibri" w:cs="Verdana"/>
          <w:spacing w:val="-2"/>
          <w:szCs w:val="20"/>
          <w:lang w:val="en-US" w:eastAsia="es-MX"/>
        </w:rPr>
        <w:t xml:space="preserve"> the disputed issues it was </w:t>
      </w:r>
      <w:r w:rsidR="00ED3D6C">
        <w:rPr>
          <w:rFonts w:eastAsia="Calibri" w:cs="Verdana"/>
          <w:spacing w:val="-2"/>
          <w:szCs w:val="20"/>
          <w:lang w:val="en-US" w:eastAsia="es-MX"/>
        </w:rPr>
        <w:t>rela</w:t>
      </w:r>
      <w:r w:rsidRPr="008A1DB4">
        <w:rPr>
          <w:rFonts w:eastAsia="Calibri" w:cs="Verdana"/>
          <w:spacing w:val="-2"/>
          <w:szCs w:val="20"/>
          <w:lang w:val="en-US" w:eastAsia="es-MX"/>
        </w:rPr>
        <w:t xml:space="preserve">ted. In this regard, this Court </w:t>
      </w:r>
      <w:r w:rsidR="00ED3D6C">
        <w:rPr>
          <w:rFonts w:eastAsia="Calibri" w:cs="Verdana"/>
          <w:spacing w:val="-2"/>
          <w:szCs w:val="20"/>
          <w:lang w:val="en-US" w:eastAsia="es-MX"/>
        </w:rPr>
        <w:t>find</w:t>
      </w:r>
      <w:r w:rsidRPr="008A1DB4">
        <w:rPr>
          <w:rFonts w:eastAsia="Calibri" w:cs="Verdana"/>
          <w:spacing w:val="-2"/>
          <w:szCs w:val="20"/>
          <w:lang w:val="en-US" w:eastAsia="es-MX"/>
        </w:rPr>
        <w:t xml:space="preserve">s that the documentation forwarded by the representative constitutes updated information on the detention situation of </w:t>
      </w:r>
      <w:r w:rsidR="00B43F84" w:rsidRPr="008A1DB4">
        <w:rPr>
          <w:rFonts w:eastAsia="Calibri" w:cs="Verdana"/>
          <w:spacing w:val="-2"/>
          <w:szCs w:val="20"/>
          <w:lang w:val="en-US" w:eastAsia="es-MX"/>
        </w:rPr>
        <w:t>Wong</w:t>
      </w:r>
      <w:r w:rsidR="00073CE6" w:rsidRPr="008A1DB4">
        <w:rPr>
          <w:rFonts w:eastAsia="Calibri" w:cs="Verdana"/>
          <w:spacing w:val="-2"/>
          <w:szCs w:val="20"/>
          <w:lang w:val="en-US" w:eastAsia="es-MX"/>
        </w:rPr>
        <w:t xml:space="preserve"> Ho Wing, </w:t>
      </w:r>
      <w:r w:rsidRPr="008A1DB4">
        <w:rPr>
          <w:rFonts w:eastAsia="Calibri" w:cs="Verdana"/>
          <w:spacing w:val="-2"/>
          <w:szCs w:val="20"/>
          <w:lang w:val="en-US" w:eastAsia="es-MX"/>
        </w:rPr>
        <w:t xml:space="preserve">which is part </w:t>
      </w:r>
      <w:r w:rsidR="00776D24" w:rsidRPr="008A1DB4">
        <w:rPr>
          <w:rFonts w:eastAsia="Calibri" w:cs="Verdana"/>
          <w:spacing w:val="-2"/>
          <w:szCs w:val="20"/>
          <w:lang w:val="en-US" w:eastAsia="es-MX"/>
        </w:rPr>
        <w:t>of the factual framework</w:t>
      </w:r>
      <w:r w:rsidR="00F36400" w:rsidRPr="008A1DB4">
        <w:rPr>
          <w:rFonts w:eastAsia="Calibri" w:cs="Verdana"/>
          <w:spacing w:val="-2"/>
          <w:szCs w:val="20"/>
          <w:lang w:val="en-US" w:eastAsia="es-MX"/>
        </w:rPr>
        <w:t xml:space="preserve"> and </w:t>
      </w:r>
      <w:r w:rsidRPr="008A1DB4">
        <w:rPr>
          <w:rFonts w:eastAsia="Calibri" w:cs="Verdana"/>
          <w:spacing w:val="-2"/>
          <w:szCs w:val="20"/>
          <w:lang w:val="en-US" w:eastAsia="es-MX"/>
        </w:rPr>
        <w:t>purpose of this case. Since it refers to facts that have occurred and remedies filed following the representative’s last communication, it constitutes information and evidence of superve</w:t>
      </w:r>
      <w:r w:rsidR="00ED3D6C">
        <w:rPr>
          <w:rFonts w:eastAsia="Calibri" w:cs="Verdana"/>
          <w:spacing w:val="-2"/>
          <w:szCs w:val="20"/>
          <w:lang w:val="en-US" w:eastAsia="es-MX"/>
        </w:rPr>
        <w:t>ning facts; therefore,</w:t>
      </w:r>
      <w:r w:rsidRPr="008A1DB4">
        <w:rPr>
          <w:rFonts w:eastAsia="Calibri" w:cs="Verdana"/>
          <w:spacing w:val="-2"/>
          <w:szCs w:val="20"/>
          <w:lang w:val="en-US" w:eastAsia="es-MX"/>
        </w:rPr>
        <w:t xml:space="preserve"> the Court admits the said information under</w:t>
      </w:r>
      <w:r w:rsidR="00073CE6" w:rsidRPr="008A1DB4">
        <w:rPr>
          <w:rFonts w:eastAsia="Calibri" w:cs="Verdana"/>
          <w:spacing w:val="-2"/>
          <w:szCs w:val="20"/>
          <w:lang w:val="en-US" w:eastAsia="es-MX"/>
        </w:rPr>
        <w:t xml:space="preserve"> </w:t>
      </w:r>
      <w:r w:rsidR="00F36400" w:rsidRPr="008A1DB4">
        <w:rPr>
          <w:rFonts w:eastAsia="Calibri" w:cs="Verdana"/>
          <w:spacing w:val="-2"/>
          <w:szCs w:val="20"/>
          <w:lang w:val="en-US" w:eastAsia="es-MX"/>
        </w:rPr>
        <w:t>Article</w:t>
      </w:r>
      <w:r w:rsidRPr="008A1DB4">
        <w:rPr>
          <w:rFonts w:eastAsia="Calibri" w:cs="Verdana"/>
          <w:spacing w:val="-2"/>
          <w:szCs w:val="20"/>
          <w:lang w:val="en-US" w:eastAsia="es-MX"/>
        </w:rPr>
        <w:t xml:space="preserve"> 57(</w:t>
      </w:r>
      <w:r w:rsidR="00073CE6" w:rsidRPr="008A1DB4">
        <w:rPr>
          <w:rFonts w:eastAsia="Calibri" w:cs="Verdana"/>
          <w:spacing w:val="-2"/>
          <w:szCs w:val="20"/>
          <w:lang w:val="en-US" w:eastAsia="es-MX"/>
        </w:rPr>
        <w:t>2</w:t>
      </w:r>
      <w:r w:rsidRPr="008A1DB4">
        <w:rPr>
          <w:rFonts w:eastAsia="Calibri" w:cs="Verdana"/>
          <w:spacing w:val="-2"/>
          <w:szCs w:val="20"/>
          <w:lang w:val="en-US" w:eastAsia="es-MX"/>
        </w:rPr>
        <w:t>)</w:t>
      </w:r>
      <w:r w:rsidR="00073CE6" w:rsidRPr="008A1DB4">
        <w:rPr>
          <w:rFonts w:eastAsia="Calibri" w:cs="Verdana"/>
          <w:spacing w:val="-2"/>
          <w:szCs w:val="20"/>
          <w:lang w:val="en-US" w:eastAsia="es-MX"/>
        </w:rPr>
        <w:t xml:space="preserve"> </w:t>
      </w:r>
      <w:r w:rsidR="00F36400" w:rsidRPr="008A1DB4">
        <w:rPr>
          <w:rFonts w:eastAsia="Calibri" w:cs="Verdana"/>
          <w:spacing w:val="-2"/>
          <w:szCs w:val="20"/>
          <w:lang w:val="en-US" w:eastAsia="es-MX"/>
        </w:rPr>
        <w:t>of the Rules of Procedure</w:t>
      </w:r>
      <w:r w:rsidR="00073CE6" w:rsidRPr="008A1DB4">
        <w:rPr>
          <w:rFonts w:eastAsia="Calibri" w:cs="Verdana"/>
          <w:spacing w:val="-2"/>
          <w:szCs w:val="20"/>
          <w:lang w:val="en-US" w:eastAsia="es-MX"/>
        </w:rPr>
        <w:t xml:space="preserve">. </w:t>
      </w:r>
    </w:p>
    <w:p w14:paraId="1B4EB1B1" w14:textId="77777777" w:rsidR="00073CE6" w:rsidRPr="008A1DB4" w:rsidRDefault="00073CE6" w:rsidP="00956E97">
      <w:pPr>
        <w:widowControl w:val="0"/>
        <w:autoSpaceDE w:val="0"/>
        <w:autoSpaceDN w:val="0"/>
        <w:adjustRightInd w:val="0"/>
        <w:textAlignment w:val="baseline"/>
        <w:rPr>
          <w:i/>
          <w:iCs/>
          <w:spacing w:val="-2"/>
          <w:szCs w:val="20"/>
          <w:lang w:val="en-US"/>
        </w:rPr>
      </w:pPr>
    </w:p>
    <w:p w14:paraId="3503A6B2" w14:textId="033ED78C" w:rsidR="00F233BB" w:rsidRPr="008A1DB4" w:rsidRDefault="00F233BB" w:rsidP="00956E97">
      <w:pPr>
        <w:pStyle w:val="Heading2"/>
        <w:rPr>
          <w:spacing w:val="-2"/>
          <w:lang w:val="en-US"/>
        </w:rPr>
      </w:pPr>
      <w:bookmarkStart w:id="399" w:name="_Toc375560913"/>
      <w:bookmarkStart w:id="400" w:name="_Toc405857806"/>
      <w:bookmarkStart w:id="401" w:name="_Toc419394384"/>
      <w:bookmarkStart w:id="402" w:name="_Toc429490250"/>
      <w:bookmarkStart w:id="403" w:name="_Toc429503762"/>
      <w:bookmarkStart w:id="404" w:name="_Toc429504268"/>
      <w:bookmarkStart w:id="405" w:name="_Toc429677981"/>
      <w:bookmarkStart w:id="406" w:name="_Toc430017144"/>
      <w:bookmarkStart w:id="407" w:name="_Toc430017373"/>
      <w:bookmarkStart w:id="408" w:name="_Toc430018655"/>
      <w:bookmarkStart w:id="409" w:name="_Toc430125253"/>
      <w:bookmarkStart w:id="410" w:name="_Toc430125361"/>
      <w:r w:rsidRPr="008A1DB4">
        <w:rPr>
          <w:spacing w:val="-2"/>
          <w:lang w:val="en-US"/>
        </w:rPr>
        <w:t xml:space="preserve">B.2) </w:t>
      </w:r>
      <w:r w:rsidR="003911B6" w:rsidRPr="008A1DB4">
        <w:rPr>
          <w:spacing w:val="-2"/>
          <w:lang w:val="en-US"/>
        </w:rPr>
        <w:t xml:space="preserve">Admission of the </w:t>
      </w:r>
      <w:r w:rsidR="0027284C" w:rsidRPr="008A1DB4">
        <w:rPr>
          <w:spacing w:val="-2"/>
          <w:lang w:val="en-US"/>
        </w:rPr>
        <w:t>testimonial and expert evidence</w:t>
      </w:r>
      <w:bookmarkEnd w:id="399"/>
      <w:bookmarkEnd w:id="400"/>
      <w:bookmarkEnd w:id="401"/>
      <w:bookmarkEnd w:id="402"/>
      <w:bookmarkEnd w:id="403"/>
      <w:bookmarkEnd w:id="404"/>
      <w:bookmarkEnd w:id="405"/>
      <w:bookmarkEnd w:id="406"/>
      <w:bookmarkEnd w:id="407"/>
      <w:bookmarkEnd w:id="408"/>
      <w:bookmarkEnd w:id="409"/>
      <w:bookmarkEnd w:id="410"/>
      <w:r w:rsidRPr="008A1DB4">
        <w:rPr>
          <w:spacing w:val="-2"/>
          <w:lang w:val="en-US"/>
        </w:rPr>
        <w:t xml:space="preserve"> </w:t>
      </w:r>
    </w:p>
    <w:p w14:paraId="681EDADF" w14:textId="77777777" w:rsidR="00EE2042" w:rsidRPr="008A1DB4" w:rsidRDefault="00EE2042" w:rsidP="00956E97">
      <w:pPr>
        <w:rPr>
          <w:spacing w:val="-2"/>
          <w:lang w:val="en-US"/>
        </w:rPr>
      </w:pPr>
    </w:p>
    <w:p w14:paraId="02BF7F8C" w14:textId="5A7E856B" w:rsidR="00F233BB" w:rsidRPr="008A1DB4" w:rsidRDefault="009A7642" w:rsidP="00956E97">
      <w:pPr>
        <w:widowControl w:val="0"/>
        <w:numPr>
          <w:ilvl w:val="0"/>
          <w:numId w:val="2"/>
        </w:numPr>
        <w:autoSpaceDE w:val="0"/>
        <w:autoSpaceDN w:val="0"/>
        <w:adjustRightInd w:val="0"/>
        <w:textAlignment w:val="baseline"/>
        <w:rPr>
          <w:rFonts w:eastAsia="Batang" w:cs="Times New Roman"/>
          <w:spacing w:val="-2"/>
          <w:szCs w:val="20"/>
          <w:lang w:val="en-US" w:eastAsia="es-CR"/>
        </w:rPr>
      </w:pPr>
      <w:bookmarkStart w:id="411" w:name="_Ref314000400"/>
      <w:r w:rsidRPr="008A1DB4">
        <w:rPr>
          <w:spacing w:val="-2"/>
          <w:lang w:val="en-US"/>
        </w:rPr>
        <w:t xml:space="preserve">The Court also finds it pertinent to admit the statements </w:t>
      </w:r>
      <w:r w:rsidR="00C45946" w:rsidRPr="008A1DB4">
        <w:rPr>
          <w:rFonts w:eastAsia="Times New Roman" w:cs="Times New Roman"/>
          <w:spacing w:val="-2"/>
          <w:szCs w:val="20"/>
          <w:lang w:val="en-US" w:eastAsia="es-CR"/>
        </w:rPr>
        <w:t xml:space="preserve">of the </w:t>
      </w:r>
      <w:r w:rsidR="00F36400" w:rsidRPr="008A1DB4">
        <w:rPr>
          <w:rFonts w:eastAsia="Times New Roman" w:cs="Times New Roman"/>
          <w:spacing w:val="-2"/>
          <w:szCs w:val="20"/>
          <w:lang w:val="en-US" w:eastAsia="es-CR"/>
        </w:rPr>
        <w:t>presumed victim</w:t>
      </w:r>
      <w:r w:rsidRPr="008A1DB4">
        <w:rPr>
          <w:rFonts w:eastAsia="Times New Roman" w:cs="Times New Roman"/>
          <w:spacing w:val="-2"/>
          <w:szCs w:val="20"/>
          <w:lang w:val="en-US" w:eastAsia="es-CR"/>
        </w:rPr>
        <w:t xml:space="preserve"> and</w:t>
      </w:r>
      <w:r w:rsidR="00F233BB" w:rsidRPr="008A1DB4">
        <w:rPr>
          <w:rFonts w:eastAsia="Times New Roman" w:cs="Times New Roman"/>
          <w:spacing w:val="-2"/>
          <w:szCs w:val="20"/>
          <w:lang w:val="en-US" w:eastAsia="es-CR"/>
        </w:rPr>
        <w:t xml:space="preserve"> </w:t>
      </w:r>
      <w:r w:rsidRPr="008A1DB4">
        <w:rPr>
          <w:rFonts w:eastAsia="Times New Roman" w:cs="Times New Roman"/>
          <w:spacing w:val="-2"/>
          <w:szCs w:val="20"/>
          <w:lang w:val="en-US" w:eastAsia="es-CR"/>
        </w:rPr>
        <w:t>the witnesses, and the expert opinions provided during the</w:t>
      </w:r>
      <w:r w:rsidR="00F233BB" w:rsidRPr="008A1DB4">
        <w:rPr>
          <w:rFonts w:eastAsia="Times New Roman" w:cs="Times New Roman"/>
          <w:spacing w:val="-2"/>
          <w:szCs w:val="20"/>
          <w:lang w:val="en-US" w:eastAsia="es-CR"/>
        </w:rPr>
        <w:t xml:space="preserve"> </w:t>
      </w:r>
      <w:r w:rsidR="008C4EFC" w:rsidRPr="008A1DB4">
        <w:rPr>
          <w:rFonts w:eastAsia="Times New Roman" w:cs="Times New Roman"/>
          <w:spacing w:val="-2"/>
          <w:szCs w:val="20"/>
          <w:lang w:val="en-US" w:eastAsia="es-CR"/>
        </w:rPr>
        <w:t>public hearing</w:t>
      </w:r>
      <w:r w:rsidR="00F36400" w:rsidRPr="008A1DB4">
        <w:rPr>
          <w:rFonts w:eastAsia="Times New Roman" w:cs="Times New Roman"/>
          <w:spacing w:val="-2"/>
          <w:szCs w:val="20"/>
          <w:lang w:val="en-US" w:eastAsia="es-CR"/>
        </w:rPr>
        <w:t xml:space="preserve"> and </w:t>
      </w:r>
      <w:r w:rsidRPr="008A1DB4">
        <w:rPr>
          <w:rFonts w:eastAsia="Times New Roman" w:cs="Times New Roman"/>
          <w:spacing w:val="-2"/>
          <w:szCs w:val="20"/>
          <w:lang w:val="en-US" w:eastAsia="es-CR"/>
        </w:rPr>
        <w:t xml:space="preserve">by affidavit, </w:t>
      </w:r>
      <w:r w:rsidR="00ED3D6C">
        <w:rPr>
          <w:rFonts w:eastAsia="Times New Roman" w:cs="Times New Roman"/>
          <w:spacing w:val="-2"/>
          <w:szCs w:val="20"/>
          <w:lang w:val="en-US" w:eastAsia="es-CR"/>
        </w:rPr>
        <w:t>to the extent that</w:t>
      </w:r>
      <w:r w:rsidRPr="008A1DB4">
        <w:rPr>
          <w:rFonts w:eastAsia="Times New Roman" w:cs="Times New Roman"/>
          <w:spacing w:val="-2"/>
          <w:szCs w:val="20"/>
          <w:lang w:val="en-US" w:eastAsia="es-CR"/>
        </w:rPr>
        <w:t xml:space="preserve"> they are in keeping with the purpose defined by the President in the order requiring them </w:t>
      </w:r>
      <w:r w:rsidR="00F233BB" w:rsidRPr="008A1DB4">
        <w:rPr>
          <w:rFonts w:eastAsia="Times New Roman" w:cs="Times New Roman"/>
          <w:spacing w:val="-2"/>
          <w:szCs w:val="20"/>
          <w:lang w:val="en-US" w:eastAsia="es-MX"/>
        </w:rPr>
        <w:t>(</w:t>
      </w:r>
      <w:r w:rsidR="00F233BB" w:rsidRPr="008A1DB4">
        <w:rPr>
          <w:rFonts w:eastAsia="Times New Roman" w:cs="Times New Roman"/>
          <w:i/>
          <w:iCs/>
          <w:spacing w:val="-2"/>
          <w:szCs w:val="20"/>
          <w:lang w:val="en-US" w:eastAsia="es-MX"/>
        </w:rPr>
        <w:t xml:space="preserve">supra </w:t>
      </w:r>
      <w:r w:rsidR="00C45946" w:rsidRPr="008A1DB4">
        <w:rPr>
          <w:rFonts w:eastAsia="Times New Roman" w:cs="Times New Roman"/>
          <w:spacing w:val="-2"/>
          <w:szCs w:val="20"/>
          <w:lang w:val="en-US" w:eastAsia="es-MX"/>
        </w:rPr>
        <w:t xml:space="preserve">para. </w:t>
      </w:r>
      <w:r w:rsidR="00552EA1" w:rsidRPr="008A1DB4">
        <w:rPr>
          <w:spacing w:val="-2"/>
          <w:lang w:val="en-US"/>
        </w:rPr>
        <w:fldChar w:fldCharType="begin"/>
      </w:r>
      <w:r w:rsidR="00552EA1" w:rsidRPr="008A1DB4">
        <w:rPr>
          <w:spacing w:val="-2"/>
          <w:lang w:val="en-US"/>
        </w:rPr>
        <w:instrText xml:space="preserve"> REF _Ref299563748 \r \h </w:instrText>
      </w:r>
      <w:r w:rsidR="00DC41F4" w:rsidRPr="008A1DB4">
        <w:rPr>
          <w:spacing w:val="-2"/>
          <w:lang w:val="en-US"/>
        </w:rPr>
        <w:instrText xml:space="preserve"> \* MERGEFORMAT </w:instrText>
      </w:r>
      <w:r w:rsidR="00552EA1" w:rsidRPr="008A1DB4">
        <w:rPr>
          <w:spacing w:val="-2"/>
          <w:lang w:val="en-US"/>
        </w:rPr>
      </w:r>
      <w:r w:rsidR="00552EA1" w:rsidRPr="008A1DB4">
        <w:rPr>
          <w:spacing w:val="-2"/>
          <w:lang w:val="en-US"/>
        </w:rPr>
        <w:fldChar w:fldCharType="separate"/>
      </w:r>
      <w:r w:rsidR="00E961FA" w:rsidRPr="008A1DB4">
        <w:rPr>
          <w:spacing w:val="-2"/>
          <w:lang w:val="en-US"/>
        </w:rPr>
        <w:t>10</w:t>
      </w:r>
      <w:r w:rsidR="00552EA1" w:rsidRPr="008A1DB4">
        <w:rPr>
          <w:spacing w:val="-2"/>
          <w:lang w:val="en-US"/>
        </w:rPr>
        <w:fldChar w:fldCharType="end"/>
      </w:r>
      <w:r w:rsidR="00F233BB" w:rsidRPr="008A1DB4">
        <w:rPr>
          <w:rFonts w:eastAsia="Times New Roman" w:cs="Times New Roman"/>
          <w:spacing w:val="-2"/>
          <w:szCs w:val="20"/>
          <w:lang w:val="en-US" w:eastAsia="es-MX"/>
        </w:rPr>
        <w:t>)</w:t>
      </w:r>
      <w:r w:rsidR="00F36400" w:rsidRPr="008A1DB4">
        <w:rPr>
          <w:rFonts w:eastAsia="Times New Roman" w:cs="Times New Roman"/>
          <w:spacing w:val="-2"/>
          <w:szCs w:val="20"/>
          <w:lang w:val="en-US" w:eastAsia="es-MX"/>
        </w:rPr>
        <w:t xml:space="preserve"> and </w:t>
      </w:r>
      <w:r w:rsidRPr="008A1DB4">
        <w:rPr>
          <w:rFonts w:eastAsia="Times New Roman" w:cs="Times New Roman"/>
          <w:spacing w:val="-2"/>
          <w:szCs w:val="20"/>
          <w:lang w:val="en-US" w:eastAsia="es-MX"/>
        </w:rPr>
        <w:t>the purpose of this case.</w:t>
      </w:r>
      <w:r w:rsidR="00F233BB" w:rsidRPr="008A1DB4">
        <w:rPr>
          <w:rFonts w:eastAsia="Times New Roman" w:cs="Times New Roman"/>
          <w:spacing w:val="-2"/>
          <w:szCs w:val="20"/>
          <w:lang w:val="en-US" w:eastAsia="es-MX"/>
        </w:rPr>
        <w:t xml:space="preserve"> </w:t>
      </w:r>
      <w:bookmarkEnd w:id="411"/>
    </w:p>
    <w:p w14:paraId="078CCBDE" w14:textId="77777777" w:rsidR="00EE2042" w:rsidRPr="008A1DB4" w:rsidRDefault="00EE2042" w:rsidP="00956E97">
      <w:pPr>
        <w:widowControl w:val="0"/>
        <w:autoSpaceDE w:val="0"/>
        <w:autoSpaceDN w:val="0"/>
        <w:adjustRightInd w:val="0"/>
        <w:textAlignment w:val="baseline"/>
        <w:rPr>
          <w:rFonts w:eastAsia="Batang" w:cs="Times New Roman"/>
          <w:b/>
          <w:spacing w:val="-2"/>
          <w:szCs w:val="20"/>
          <w:lang w:val="en-US" w:eastAsia="es-CR"/>
        </w:rPr>
      </w:pPr>
    </w:p>
    <w:p w14:paraId="3F75CB5C" w14:textId="544B208E" w:rsidR="00880B5B" w:rsidRPr="008A1DB4" w:rsidRDefault="00C45946" w:rsidP="00BC7BEA">
      <w:pPr>
        <w:widowControl w:val="0"/>
        <w:numPr>
          <w:ilvl w:val="0"/>
          <w:numId w:val="2"/>
        </w:numPr>
        <w:autoSpaceDE w:val="0"/>
        <w:autoSpaceDN w:val="0"/>
        <w:adjustRightInd w:val="0"/>
        <w:textAlignment w:val="baseline"/>
        <w:rPr>
          <w:rFonts w:cs="Helvetica"/>
          <w:spacing w:val="-2"/>
          <w:szCs w:val="20"/>
          <w:lang w:val="en-US"/>
        </w:rPr>
      </w:pPr>
      <w:r w:rsidRPr="008A1DB4">
        <w:rPr>
          <w:rFonts w:cs="Verdana"/>
          <w:spacing w:val="-2"/>
          <w:szCs w:val="20"/>
          <w:lang w:val="en-US"/>
        </w:rPr>
        <w:t>The representative</w:t>
      </w:r>
      <w:r w:rsidR="00880B5B" w:rsidRPr="008A1DB4">
        <w:rPr>
          <w:rFonts w:cs="Verdana"/>
          <w:spacing w:val="-2"/>
          <w:szCs w:val="20"/>
          <w:lang w:val="en-US"/>
        </w:rPr>
        <w:t xml:space="preserve"> </w:t>
      </w:r>
      <w:r w:rsidR="00BC7BEA" w:rsidRPr="008A1DB4">
        <w:rPr>
          <w:rFonts w:cs="Verdana"/>
          <w:spacing w:val="-2"/>
          <w:szCs w:val="20"/>
          <w:lang w:val="en-US"/>
        </w:rPr>
        <w:t>asked the Court to reject the expert opinions offered by the State because they were not objective. He argued that, during the hearing, the State had accepted that its agents “had ‘levels of co</w:t>
      </w:r>
      <w:r w:rsidR="00ED3D6C">
        <w:rPr>
          <w:rFonts w:cs="Verdana"/>
          <w:spacing w:val="-2"/>
          <w:szCs w:val="20"/>
          <w:lang w:val="en-US"/>
        </w:rPr>
        <w:t>ordination</w:t>
      </w:r>
      <w:r w:rsidR="00BC7BEA" w:rsidRPr="008A1DB4">
        <w:rPr>
          <w:rFonts w:cs="Verdana"/>
          <w:spacing w:val="-2"/>
          <w:szCs w:val="20"/>
          <w:lang w:val="en-US"/>
        </w:rPr>
        <w:t>’ with the expe</w:t>
      </w:r>
      <w:r w:rsidR="00ED3D6C">
        <w:rPr>
          <w:rFonts w:cs="Verdana"/>
          <w:spacing w:val="-2"/>
          <w:szCs w:val="20"/>
          <w:lang w:val="en-US"/>
        </w:rPr>
        <w:t>rt witnesses that they proposed</w:t>
      </w:r>
      <w:r w:rsidR="00BC7BEA" w:rsidRPr="008A1DB4">
        <w:rPr>
          <w:rFonts w:cs="Verdana"/>
          <w:spacing w:val="-2"/>
          <w:szCs w:val="20"/>
          <w:lang w:val="en-US"/>
        </w:rPr>
        <w:t>”</w:t>
      </w:r>
      <w:r w:rsidR="00ED3D6C">
        <w:rPr>
          <w:rFonts w:cs="Verdana"/>
          <w:spacing w:val="-2"/>
          <w:szCs w:val="20"/>
          <w:lang w:val="en-US"/>
        </w:rPr>
        <w:t>; thus,</w:t>
      </w:r>
      <w:r w:rsidR="00BC7BEA" w:rsidRPr="008A1DB4">
        <w:rPr>
          <w:rFonts w:cs="Verdana"/>
          <w:spacing w:val="-2"/>
          <w:szCs w:val="20"/>
          <w:lang w:val="en-US"/>
        </w:rPr>
        <w:t xml:space="preserve"> expert witness </w:t>
      </w:r>
      <w:proofErr w:type="spellStart"/>
      <w:r w:rsidR="00BC7BEA" w:rsidRPr="008A1DB4">
        <w:rPr>
          <w:rFonts w:cs="Verdana"/>
          <w:spacing w:val="-2"/>
          <w:szCs w:val="20"/>
          <w:lang w:val="en-US"/>
        </w:rPr>
        <w:t>Ang</w:t>
      </w:r>
      <w:proofErr w:type="spellEnd"/>
      <w:r w:rsidR="00BC7BEA" w:rsidRPr="008A1DB4">
        <w:rPr>
          <w:rFonts w:cs="Verdana"/>
          <w:spacing w:val="-2"/>
          <w:szCs w:val="20"/>
          <w:lang w:val="en-US"/>
        </w:rPr>
        <w:t xml:space="preserve"> Sun read his answers to the questions posed by the State. According to the representative, “[t]his situation not only violated the right to defense of [his] client, because he was unable to have the same ‘levels of co</w:t>
      </w:r>
      <w:r w:rsidR="00ED3D6C">
        <w:rPr>
          <w:rFonts w:cs="Verdana"/>
          <w:spacing w:val="-2"/>
          <w:szCs w:val="20"/>
          <w:lang w:val="en-US"/>
        </w:rPr>
        <w:t>ordination</w:t>
      </w:r>
      <w:r w:rsidR="00BC7BEA" w:rsidRPr="008A1DB4">
        <w:rPr>
          <w:rFonts w:cs="Verdana"/>
          <w:spacing w:val="-2"/>
          <w:szCs w:val="20"/>
          <w:lang w:val="en-US"/>
        </w:rPr>
        <w:t>,’ but also completely invalidates the opinion of [the] expert witnesses.” In addition, specifically with rega</w:t>
      </w:r>
      <w:r w:rsidR="00ED3D6C">
        <w:rPr>
          <w:rFonts w:cs="Verdana"/>
          <w:spacing w:val="-2"/>
          <w:szCs w:val="20"/>
          <w:lang w:val="en-US"/>
        </w:rPr>
        <w:t xml:space="preserve">rd to </w:t>
      </w:r>
      <w:proofErr w:type="spellStart"/>
      <w:r w:rsidR="00ED3D6C">
        <w:rPr>
          <w:rFonts w:cs="Verdana"/>
          <w:spacing w:val="-2"/>
          <w:szCs w:val="20"/>
          <w:lang w:val="en-US"/>
        </w:rPr>
        <w:t>Ang</w:t>
      </w:r>
      <w:proofErr w:type="spellEnd"/>
      <w:r w:rsidR="00ED3D6C">
        <w:rPr>
          <w:rFonts w:cs="Verdana"/>
          <w:spacing w:val="-2"/>
          <w:szCs w:val="20"/>
          <w:lang w:val="en-US"/>
        </w:rPr>
        <w:t xml:space="preserve"> Sun, he argued that the latter</w:t>
      </w:r>
      <w:r w:rsidR="00BC7BEA" w:rsidRPr="008A1DB4">
        <w:rPr>
          <w:rFonts w:cs="Verdana"/>
          <w:spacing w:val="-2"/>
          <w:szCs w:val="20"/>
          <w:lang w:val="en-US"/>
        </w:rPr>
        <w:t xml:space="preserve"> had a direct interest in the result of the case, asking the Court more than once t</w:t>
      </w:r>
      <w:r w:rsidR="00ED3D6C">
        <w:rPr>
          <w:rFonts w:cs="Verdana"/>
          <w:spacing w:val="-2"/>
          <w:szCs w:val="20"/>
          <w:lang w:val="en-US"/>
        </w:rPr>
        <w:t xml:space="preserve">o take a prompt decision on </w:t>
      </w:r>
      <w:r w:rsidR="00B43F84" w:rsidRPr="008A1DB4">
        <w:rPr>
          <w:rFonts w:cs="Verdana"/>
          <w:spacing w:val="-2"/>
          <w:szCs w:val="20"/>
          <w:lang w:val="en-US"/>
        </w:rPr>
        <w:t>Wong</w:t>
      </w:r>
      <w:r w:rsidR="00880B5B" w:rsidRPr="008A1DB4">
        <w:rPr>
          <w:rFonts w:cs="Verdana"/>
          <w:spacing w:val="-2"/>
          <w:szCs w:val="20"/>
          <w:lang w:val="en-US"/>
        </w:rPr>
        <w:t xml:space="preserve"> Ho Wing</w:t>
      </w:r>
      <w:r w:rsidR="00ED3D6C">
        <w:rPr>
          <w:rFonts w:cs="Verdana"/>
          <w:spacing w:val="-2"/>
          <w:szCs w:val="20"/>
          <w:lang w:val="en-US"/>
        </w:rPr>
        <w:t>’s extradition</w:t>
      </w:r>
      <w:r w:rsidR="00880B5B" w:rsidRPr="008A1DB4">
        <w:rPr>
          <w:rFonts w:cs="Verdana"/>
          <w:spacing w:val="-2"/>
          <w:szCs w:val="20"/>
          <w:lang w:val="en-US"/>
        </w:rPr>
        <w:t xml:space="preserve">. </w:t>
      </w:r>
      <w:r w:rsidR="00F36400" w:rsidRPr="008A1DB4">
        <w:rPr>
          <w:rFonts w:eastAsia="Calibri" w:cs="Verdana"/>
          <w:spacing w:val="-2"/>
          <w:szCs w:val="20"/>
          <w:lang w:val="en-US" w:eastAsia="es-MX"/>
        </w:rPr>
        <w:t>The Court</w:t>
      </w:r>
      <w:r w:rsidR="00BC7BEA" w:rsidRPr="008A1DB4">
        <w:rPr>
          <w:rFonts w:eastAsia="Calibri" w:cs="Verdana"/>
          <w:spacing w:val="-2"/>
          <w:szCs w:val="20"/>
          <w:lang w:val="en-US" w:eastAsia="es-MX"/>
        </w:rPr>
        <w:t xml:space="preserve"> considers that the</w:t>
      </w:r>
      <w:r w:rsidRPr="008A1DB4">
        <w:rPr>
          <w:rFonts w:eastAsia="Calibri" w:cs="Verdana"/>
          <w:spacing w:val="-2"/>
          <w:szCs w:val="20"/>
          <w:lang w:val="en-US" w:eastAsia="es-MX"/>
        </w:rPr>
        <w:t xml:space="preserve"> representative</w:t>
      </w:r>
      <w:r w:rsidR="00BC7BEA" w:rsidRPr="008A1DB4">
        <w:rPr>
          <w:rFonts w:eastAsia="Calibri" w:cs="Verdana"/>
          <w:spacing w:val="-2"/>
          <w:szCs w:val="20"/>
          <w:lang w:val="en-US" w:eastAsia="es-MX"/>
        </w:rPr>
        <w:t>’s observations refer to the scope and probative value that should be granted to these expert opinions, which does not affect their admissibility as part of the body of evidence</w:t>
      </w:r>
      <w:r w:rsidR="00880B5B" w:rsidRPr="008A1DB4">
        <w:rPr>
          <w:rFonts w:eastAsia="Calibri" w:cs="Verdana"/>
          <w:spacing w:val="-2"/>
          <w:szCs w:val="20"/>
          <w:lang w:val="en-US" w:eastAsia="es-MX"/>
        </w:rPr>
        <w:t xml:space="preserve">. </w:t>
      </w:r>
      <w:r w:rsidR="00F36400" w:rsidRPr="008A1DB4">
        <w:rPr>
          <w:rFonts w:eastAsia="Calibri" w:cs="Verdana"/>
          <w:spacing w:val="-2"/>
          <w:szCs w:val="20"/>
          <w:lang w:val="en-US" w:eastAsia="en-US"/>
        </w:rPr>
        <w:t>The Court</w:t>
      </w:r>
      <w:r w:rsidR="00D45DA8" w:rsidRPr="008A1DB4">
        <w:rPr>
          <w:rFonts w:eastAsia="Calibri" w:cs="Verdana"/>
          <w:spacing w:val="-2"/>
          <w:szCs w:val="20"/>
          <w:lang w:val="en-US" w:eastAsia="en-US"/>
        </w:rPr>
        <w:t xml:space="preserve"> </w:t>
      </w:r>
      <w:r w:rsidR="00BC7BEA" w:rsidRPr="008A1DB4">
        <w:rPr>
          <w:rFonts w:cs="Helvetica"/>
          <w:spacing w:val="-2"/>
          <w:szCs w:val="20"/>
          <w:lang w:val="en-US"/>
        </w:rPr>
        <w:t>will take these observations into account when assessing this evidence in its analysis of the merits of the case.</w:t>
      </w:r>
    </w:p>
    <w:p w14:paraId="25074C60" w14:textId="77777777" w:rsidR="00D45DA8" w:rsidRPr="008A1DB4" w:rsidRDefault="00D45DA8" w:rsidP="00956E97">
      <w:pPr>
        <w:widowControl w:val="0"/>
        <w:autoSpaceDE w:val="0"/>
        <w:autoSpaceDN w:val="0"/>
        <w:adjustRightInd w:val="0"/>
        <w:textAlignment w:val="baseline"/>
        <w:rPr>
          <w:rFonts w:cs="Helvetica"/>
          <w:spacing w:val="-2"/>
          <w:szCs w:val="20"/>
          <w:lang w:val="en-US"/>
        </w:rPr>
      </w:pPr>
    </w:p>
    <w:p w14:paraId="29A2A7EC" w14:textId="193A9D58" w:rsidR="00BC7BEA" w:rsidRPr="008A1DB4" w:rsidRDefault="00BC7BEA" w:rsidP="00956E97">
      <w:pPr>
        <w:widowControl w:val="0"/>
        <w:numPr>
          <w:ilvl w:val="0"/>
          <w:numId w:val="2"/>
        </w:numPr>
        <w:autoSpaceDE w:val="0"/>
        <w:autoSpaceDN w:val="0"/>
        <w:adjustRightInd w:val="0"/>
        <w:textAlignment w:val="baseline"/>
        <w:rPr>
          <w:rFonts w:cs="Helvetica"/>
          <w:spacing w:val="-2"/>
          <w:szCs w:val="20"/>
          <w:lang w:val="en-US"/>
        </w:rPr>
      </w:pPr>
      <w:r w:rsidRPr="008A1DB4">
        <w:rPr>
          <w:rFonts w:cs="Helvetica"/>
          <w:spacing w:val="-2"/>
          <w:szCs w:val="20"/>
          <w:lang w:val="en-US"/>
        </w:rPr>
        <w:t xml:space="preserve">For its part, the State asked the Court to reject the expert opinions of </w:t>
      </w:r>
      <w:r w:rsidR="0073402A" w:rsidRPr="008A1DB4">
        <w:rPr>
          <w:rFonts w:eastAsia="Calibri" w:cs="Verdana"/>
          <w:spacing w:val="-2"/>
          <w:szCs w:val="20"/>
          <w:lang w:val="en-US" w:eastAsia="en-US"/>
        </w:rPr>
        <w:t>Geoff Gilbert</w:t>
      </w:r>
      <w:r w:rsidR="00465AC3" w:rsidRPr="008A1DB4">
        <w:rPr>
          <w:rFonts w:eastAsia="Calibri" w:cs="Verdana"/>
          <w:spacing w:val="-2"/>
          <w:szCs w:val="20"/>
          <w:lang w:val="en-US" w:eastAsia="en-US"/>
        </w:rPr>
        <w:t xml:space="preserve">, </w:t>
      </w:r>
      <w:r w:rsidR="0073402A" w:rsidRPr="008A1DB4">
        <w:rPr>
          <w:rFonts w:eastAsia="Calibri" w:cs="Verdana"/>
          <w:spacing w:val="-2"/>
          <w:szCs w:val="20"/>
          <w:lang w:val="en-US" w:eastAsia="en-US"/>
        </w:rPr>
        <w:t xml:space="preserve">Carmen </w:t>
      </w:r>
      <w:proofErr w:type="spellStart"/>
      <w:r w:rsidR="0073402A" w:rsidRPr="008A1DB4">
        <w:rPr>
          <w:rFonts w:eastAsia="Calibri" w:cs="Verdana"/>
          <w:spacing w:val="-2"/>
          <w:szCs w:val="20"/>
          <w:lang w:val="en-US" w:eastAsia="en-US"/>
        </w:rPr>
        <w:t>Wurst</w:t>
      </w:r>
      <w:proofErr w:type="spellEnd"/>
      <w:r w:rsidR="00F36400" w:rsidRPr="008A1DB4">
        <w:rPr>
          <w:rFonts w:eastAsia="Calibri" w:cs="Verdana"/>
          <w:spacing w:val="-2"/>
          <w:szCs w:val="20"/>
          <w:lang w:val="en-US" w:eastAsia="en-US"/>
        </w:rPr>
        <w:t xml:space="preserve"> and </w:t>
      </w:r>
      <w:r w:rsidR="006F36D1" w:rsidRPr="008A1DB4">
        <w:rPr>
          <w:rFonts w:eastAsia="Calibri" w:cs="Verdana"/>
          <w:spacing w:val="-2"/>
          <w:szCs w:val="20"/>
          <w:lang w:val="en-US" w:eastAsia="en-US"/>
        </w:rPr>
        <w:t>Ben Saul</w:t>
      </w:r>
      <w:r w:rsidR="00CC6C17" w:rsidRPr="008A1DB4">
        <w:rPr>
          <w:rFonts w:eastAsia="Calibri" w:cs="Verdana"/>
          <w:spacing w:val="-2"/>
          <w:szCs w:val="20"/>
          <w:lang w:val="en-US" w:eastAsia="en-US"/>
        </w:rPr>
        <w:t>.</w:t>
      </w:r>
      <w:r w:rsidR="00D45DA8" w:rsidRPr="008A1DB4">
        <w:rPr>
          <w:rFonts w:eastAsia="Calibri" w:cs="Verdana"/>
          <w:spacing w:val="-2"/>
          <w:szCs w:val="20"/>
          <w:lang w:val="en-US" w:eastAsia="en-US"/>
        </w:rPr>
        <w:t xml:space="preserve"> </w:t>
      </w:r>
      <w:r w:rsidRPr="008A1DB4">
        <w:rPr>
          <w:rFonts w:eastAsia="Calibri" w:cs="Verdana"/>
          <w:spacing w:val="-2"/>
          <w:szCs w:val="20"/>
          <w:lang w:val="en-US" w:eastAsia="en-US"/>
        </w:rPr>
        <w:t xml:space="preserve">According to the State, expert witness </w:t>
      </w:r>
      <w:r w:rsidR="006F36D1" w:rsidRPr="008A1DB4">
        <w:rPr>
          <w:rFonts w:eastAsia="Calibri" w:cs="Verdana"/>
          <w:spacing w:val="-2"/>
          <w:szCs w:val="20"/>
          <w:lang w:val="en-US" w:eastAsia="en-US"/>
        </w:rPr>
        <w:t xml:space="preserve">Geoff Gilbert </w:t>
      </w:r>
      <w:r w:rsidRPr="008A1DB4">
        <w:rPr>
          <w:rFonts w:eastAsia="Calibri" w:cs="Verdana"/>
          <w:spacing w:val="-2"/>
          <w:szCs w:val="20"/>
          <w:lang w:val="en-US" w:eastAsia="en-US"/>
        </w:rPr>
        <w:t>did not have the required profile and sufficient experience in the matter covered by his opinion; it also contested the application of the preceden</w:t>
      </w:r>
      <w:r w:rsidR="00ED3D6C">
        <w:rPr>
          <w:rFonts w:eastAsia="Calibri" w:cs="Verdana"/>
          <w:spacing w:val="-2"/>
          <w:szCs w:val="20"/>
          <w:lang w:val="en-US" w:eastAsia="en-US"/>
        </w:rPr>
        <w:t>ts used by the expert witness to</w:t>
      </w:r>
      <w:r w:rsidRPr="008A1DB4">
        <w:rPr>
          <w:rFonts w:eastAsia="Calibri" w:cs="Verdana"/>
          <w:spacing w:val="-2"/>
          <w:szCs w:val="20"/>
          <w:lang w:val="en-US" w:eastAsia="en-US"/>
        </w:rPr>
        <w:t xml:space="preserve"> the case</w:t>
      </w:r>
      <w:r w:rsidR="00B86633" w:rsidRPr="008A1DB4">
        <w:rPr>
          <w:rFonts w:eastAsia="Calibri" w:cs="Verdana"/>
          <w:spacing w:val="-2"/>
          <w:szCs w:val="20"/>
          <w:lang w:val="en-US" w:eastAsia="en-US"/>
        </w:rPr>
        <w:t xml:space="preserve"> </w:t>
      </w:r>
      <w:r w:rsidR="00B43F84" w:rsidRPr="008A1DB4">
        <w:rPr>
          <w:rFonts w:eastAsia="Calibri" w:cs="Verdana"/>
          <w:spacing w:val="-2"/>
          <w:szCs w:val="20"/>
          <w:lang w:val="en-US" w:eastAsia="en-US"/>
        </w:rPr>
        <w:t>of Wong</w:t>
      </w:r>
      <w:r w:rsidR="00B86633" w:rsidRPr="008A1DB4">
        <w:rPr>
          <w:rFonts w:eastAsia="Calibri" w:cs="Verdana"/>
          <w:spacing w:val="-2"/>
          <w:szCs w:val="20"/>
          <w:lang w:val="en-US" w:eastAsia="en-US"/>
        </w:rPr>
        <w:t xml:space="preserve"> Ho Wing</w:t>
      </w:r>
      <w:r w:rsidR="006F36D1" w:rsidRPr="008A1DB4">
        <w:rPr>
          <w:rFonts w:eastAsia="Calibri" w:cs="Verdana"/>
          <w:spacing w:val="-2"/>
          <w:szCs w:val="20"/>
          <w:lang w:val="en-US" w:eastAsia="en-US"/>
        </w:rPr>
        <w:t xml:space="preserve">. </w:t>
      </w:r>
      <w:r w:rsidR="00B86633" w:rsidRPr="008A1DB4">
        <w:rPr>
          <w:rFonts w:eastAsia="Calibri" w:cs="Verdana"/>
          <w:spacing w:val="-2"/>
          <w:szCs w:val="20"/>
          <w:lang w:val="en-US" w:eastAsia="en-US"/>
        </w:rPr>
        <w:lastRenderedPageBreak/>
        <w:t>Re</w:t>
      </w:r>
      <w:r w:rsidRPr="008A1DB4">
        <w:rPr>
          <w:rFonts w:eastAsia="Calibri" w:cs="Verdana"/>
          <w:spacing w:val="-2"/>
          <w:szCs w:val="20"/>
          <w:lang w:val="en-US" w:eastAsia="en-US"/>
        </w:rPr>
        <w:t xml:space="preserve">garding the expert </w:t>
      </w:r>
      <w:r w:rsidR="008A1DB4" w:rsidRPr="008A1DB4">
        <w:rPr>
          <w:rFonts w:eastAsia="Calibri" w:cs="Verdana"/>
          <w:spacing w:val="-2"/>
          <w:szCs w:val="20"/>
          <w:lang w:val="en-US" w:eastAsia="en-US"/>
        </w:rPr>
        <w:t>opinion</w:t>
      </w:r>
      <w:r w:rsidRPr="008A1DB4">
        <w:rPr>
          <w:rFonts w:eastAsia="Calibri" w:cs="Verdana"/>
          <w:spacing w:val="-2"/>
          <w:szCs w:val="20"/>
          <w:lang w:val="en-US" w:eastAsia="en-US"/>
        </w:rPr>
        <w:t xml:space="preserve"> of </w:t>
      </w:r>
      <w:r w:rsidR="00B86633" w:rsidRPr="008A1DB4">
        <w:rPr>
          <w:rFonts w:eastAsia="Calibri" w:cs="Verdana"/>
          <w:spacing w:val="-2"/>
          <w:szCs w:val="20"/>
          <w:lang w:val="en-US" w:eastAsia="en-US"/>
        </w:rPr>
        <w:t xml:space="preserve">Carmen </w:t>
      </w:r>
      <w:proofErr w:type="spellStart"/>
      <w:r w:rsidR="00B86633" w:rsidRPr="008A1DB4">
        <w:rPr>
          <w:rFonts w:eastAsia="Calibri" w:cs="Verdana"/>
          <w:spacing w:val="-2"/>
          <w:szCs w:val="20"/>
          <w:lang w:val="en-US" w:eastAsia="en-US"/>
        </w:rPr>
        <w:t>Wurst</w:t>
      </w:r>
      <w:proofErr w:type="spellEnd"/>
      <w:r w:rsidR="00B86633" w:rsidRPr="008A1DB4">
        <w:rPr>
          <w:rFonts w:eastAsia="Calibri" w:cs="Verdana"/>
          <w:spacing w:val="-2"/>
          <w:szCs w:val="20"/>
          <w:lang w:val="en-US" w:eastAsia="en-US"/>
        </w:rPr>
        <w:t xml:space="preserve">, </w:t>
      </w:r>
      <w:r w:rsidR="00F36400" w:rsidRPr="008A1DB4">
        <w:rPr>
          <w:rFonts w:eastAsia="Calibri" w:cs="Verdana"/>
          <w:spacing w:val="-2"/>
          <w:szCs w:val="20"/>
          <w:lang w:val="en-US" w:eastAsia="en-US"/>
        </w:rPr>
        <w:t>the State</w:t>
      </w:r>
      <w:r w:rsidR="00B86633" w:rsidRPr="008A1DB4">
        <w:rPr>
          <w:rFonts w:eastAsia="Calibri" w:cs="Verdana"/>
          <w:b/>
          <w:spacing w:val="-2"/>
          <w:szCs w:val="20"/>
          <w:lang w:val="en-US" w:eastAsia="en-US"/>
        </w:rPr>
        <w:t xml:space="preserve"> </w:t>
      </w:r>
      <w:r w:rsidRPr="008A1DB4">
        <w:rPr>
          <w:rFonts w:eastAsia="Calibri" w:cs="Verdana"/>
          <w:spacing w:val="-2"/>
          <w:szCs w:val="20"/>
          <w:lang w:val="en-US" w:eastAsia="en-US"/>
        </w:rPr>
        <w:t>questioned the methodology used, raising doubt</w:t>
      </w:r>
      <w:r w:rsidR="00ED3D6C">
        <w:rPr>
          <w:rFonts w:eastAsia="Calibri" w:cs="Verdana"/>
          <w:spacing w:val="-2"/>
          <w:szCs w:val="20"/>
          <w:lang w:val="en-US" w:eastAsia="en-US"/>
        </w:rPr>
        <w:t>s</w:t>
      </w:r>
      <w:r w:rsidRPr="008A1DB4">
        <w:rPr>
          <w:rFonts w:eastAsia="Calibri" w:cs="Verdana"/>
          <w:spacing w:val="-2"/>
          <w:szCs w:val="20"/>
          <w:lang w:val="en-US" w:eastAsia="en-US"/>
        </w:rPr>
        <w:t xml:space="preserve"> about the quality of the report and its proper scientific rigor, as well as the fact that Ms. </w:t>
      </w:r>
      <w:proofErr w:type="spellStart"/>
      <w:r w:rsidRPr="008A1DB4">
        <w:rPr>
          <w:rFonts w:eastAsia="Calibri" w:cs="Verdana"/>
          <w:spacing w:val="-2"/>
          <w:szCs w:val="20"/>
          <w:lang w:val="en-US" w:eastAsia="en-US"/>
        </w:rPr>
        <w:t>Wurst</w:t>
      </w:r>
      <w:proofErr w:type="spellEnd"/>
      <w:r w:rsidRPr="008A1DB4">
        <w:rPr>
          <w:rFonts w:eastAsia="Calibri" w:cs="Verdana"/>
          <w:spacing w:val="-2"/>
          <w:szCs w:val="20"/>
          <w:lang w:val="en-US" w:eastAsia="en-US"/>
        </w:rPr>
        <w:t xml:space="preserve">, who was a psychologist, had made a medical diagnosis. In the case of the expert opinion of Ben Saul, the State questioned the precedents used, the analysis made, and that he had not answered one of the questions posed by Peru. On the latter point, the Court recalls that it has </w:t>
      </w:r>
      <w:r w:rsidR="00ED3D6C">
        <w:rPr>
          <w:rFonts w:eastAsia="Calibri" w:cs="Verdana"/>
          <w:spacing w:val="-2"/>
          <w:szCs w:val="20"/>
          <w:lang w:val="en-US" w:eastAsia="en-US"/>
        </w:rPr>
        <w:t>asserted</w:t>
      </w:r>
      <w:r w:rsidRPr="008A1DB4">
        <w:rPr>
          <w:rFonts w:eastAsia="Calibri" w:cs="Verdana"/>
          <w:spacing w:val="-2"/>
          <w:szCs w:val="20"/>
          <w:lang w:val="en-US" w:eastAsia="en-US"/>
        </w:rPr>
        <w:t xml:space="preserve"> that the </w:t>
      </w:r>
      <w:proofErr w:type="spellStart"/>
      <w:r w:rsidR="00ED3D6C">
        <w:rPr>
          <w:rFonts w:eastAsia="Calibri" w:cs="Verdana"/>
          <w:spacing w:val="-2"/>
          <w:szCs w:val="20"/>
          <w:lang w:val="en-US" w:eastAsia="en-US"/>
        </w:rPr>
        <w:t>facat</w:t>
      </w:r>
      <w:proofErr w:type="spellEnd"/>
      <w:r w:rsidR="00ED3D6C">
        <w:rPr>
          <w:rFonts w:eastAsia="Calibri" w:cs="Verdana"/>
          <w:spacing w:val="-2"/>
          <w:szCs w:val="20"/>
          <w:lang w:val="en-US" w:eastAsia="en-US"/>
        </w:rPr>
        <w:t xml:space="preserve"> that the </w:t>
      </w:r>
      <w:r w:rsidRPr="008A1DB4">
        <w:rPr>
          <w:rFonts w:eastAsia="Calibri" w:cs="Verdana"/>
          <w:spacing w:val="-2"/>
          <w:szCs w:val="20"/>
          <w:lang w:val="en-US" w:eastAsia="en-US"/>
        </w:rPr>
        <w:t>Rules of Procedure establish the possibility that the parties may pose written questions to the deponents offered by the other party and, when appropriate, by the Commission, imposes the corresponding obligation of the party that offered the statement to coordinate and take the necessary steps to forward the questions to the deponents and to ensure that the</w:t>
      </w:r>
      <w:r w:rsidR="00ED3D6C">
        <w:rPr>
          <w:rFonts w:eastAsia="Calibri" w:cs="Verdana"/>
          <w:spacing w:val="-2"/>
          <w:szCs w:val="20"/>
          <w:lang w:val="en-US" w:eastAsia="en-US"/>
        </w:rPr>
        <w:t>y include the</w:t>
      </w:r>
      <w:r w:rsidRPr="008A1DB4">
        <w:rPr>
          <w:rFonts w:eastAsia="Calibri" w:cs="Verdana"/>
          <w:spacing w:val="-2"/>
          <w:szCs w:val="20"/>
          <w:lang w:val="en-US" w:eastAsia="en-US"/>
        </w:rPr>
        <w:t xml:space="preserve"> respective answers. In certain circumstances, the fact that different questions are not answered may be incompatible with the obligation of procedural cooperation and the principle of good faith that governs the international proceedings. Despite this, the Court has considered that the failure to answer the questions of the other party does not affect the admissibility of a statement and is an aspect that, based on the implications of </w:t>
      </w:r>
      <w:r w:rsidRPr="00ED3D6C">
        <w:rPr>
          <w:rFonts w:eastAsia="Calibri" w:cs="Verdana"/>
          <w:spacing w:val="-2"/>
          <w:szCs w:val="20"/>
          <w:lang w:val="en-US" w:eastAsia="en-US"/>
        </w:rPr>
        <w:t>the silences of a</w:t>
      </w:r>
      <w:r w:rsidRPr="008A1DB4">
        <w:rPr>
          <w:rFonts w:eastAsia="Calibri" w:cs="Verdana"/>
          <w:spacing w:val="-2"/>
          <w:szCs w:val="20"/>
          <w:lang w:val="en-US" w:eastAsia="en-US"/>
        </w:rPr>
        <w:t xml:space="preserve"> deponent, may have an impact on the probative weight of the respective statement, an aspect that must be assessed when examining the merits of the case.</w:t>
      </w:r>
      <w:r w:rsidRPr="008A1DB4">
        <w:rPr>
          <w:rFonts w:eastAsia="Batang" w:cs="Times New Roman"/>
          <w:spacing w:val="-2"/>
          <w:szCs w:val="20"/>
          <w:vertAlign w:val="superscript"/>
          <w:lang w:val="en-US" w:eastAsia="es-CR"/>
        </w:rPr>
        <w:footnoteReference w:id="37"/>
      </w:r>
      <w:r w:rsidRPr="008A1DB4">
        <w:rPr>
          <w:rFonts w:eastAsia="Calibri" w:cs="Verdana"/>
          <w:spacing w:val="-2"/>
          <w:szCs w:val="20"/>
          <w:lang w:val="en-US" w:eastAsia="en-US"/>
        </w:rPr>
        <w:t xml:space="preserve"> Accordingly, the Court will take these observations into account when assessing the evidence.</w:t>
      </w:r>
    </w:p>
    <w:p w14:paraId="250E8138" w14:textId="77777777" w:rsidR="00CC6C17" w:rsidRPr="008A1DB4" w:rsidRDefault="00CC6C17" w:rsidP="00956E97">
      <w:pPr>
        <w:widowControl w:val="0"/>
        <w:autoSpaceDE w:val="0"/>
        <w:autoSpaceDN w:val="0"/>
        <w:adjustRightInd w:val="0"/>
        <w:textAlignment w:val="baseline"/>
        <w:rPr>
          <w:rFonts w:cs="Helvetica"/>
          <w:spacing w:val="-2"/>
          <w:szCs w:val="20"/>
          <w:lang w:val="en-US"/>
        </w:rPr>
      </w:pPr>
    </w:p>
    <w:p w14:paraId="388011F8" w14:textId="48020AE5" w:rsidR="00CC6C17" w:rsidRPr="008A1DB4" w:rsidRDefault="00BC7BEA" w:rsidP="00956E97">
      <w:pPr>
        <w:widowControl w:val="0"/>
        <w:numPr>
          <w:ilvl w:val="0"/>
          <w:numId w:val="2"/>
        </w:numPr>
        <w:autoSpaceDE w:val="0"/>
        <w:autoSpaceDN w:val="0"/>
        <w:adjustRightInd w:val="0"/>
        <w:textAlignment w:val="baseline"/>
        <w:rPr>
          <w:rFonts w:cs="Helvetica"/>
          <w:spacing w:val="-2"/>
          <w:szCs w:val="20"/>
          <w:lang w:val="en-US"/>
        </w:rPr>
      </w:pPr>
      <w:r w:rsidRPr="008A1DB4">
        <w:rPr>
          <w:rFonts w:eastAsia="Calibri" w:cs="Verdana"/>
          <w:spacing w:val="-2"/>
          <w:szCs w:val="20"/>
          <w:lang w:val="en-US" w:eastAsia="en-US"/>
        </w:rPr>
        <w:t>The State also asserted “its most vehement rejection” of the statements made by</w:t>
      </w:r>
      <w:r w:rsidR="00B43F84" w:rsidRPr="008A1DB4">
        <w:rPr>
          <w:rFonts w:eastAsia="Calibri" w:cs="Verdana"/>
          <w:spacing w:val="-2"/>
          <w:szCs w:val="20"/>
          <w:lang w:val="en-US" w:eastAsia="en-US"/>
        </w:rPr>
        <w:t xml:space="preserve"> Wong</w:t>
      </w:r>
      <w:r w:rsidR="00CC6C17" w:rsidRPr="008A1DB4">
        <w:rPr>
          <w:rFonts w:eastAsia="Calibri" w:cs="Verdana"/>
          <w:spacing w:val="-2"/>
          <w:szCs w:val="20"/>
          <w:lang w:val="en-US" w:eastAsia="en-US"/>
        </w:rPr>
        <w:t xml:space="preserve"> Ho Wing, </w:t>
      </w:r>
      <w:r w:rsidRPr="008A1DB4">
        <w:rPr>
          <w:rFonts w:eastAsia="Calibri" w:cs="Verdana"/>
          <w:spacing w:val="-2"/>
          <w:szCs w:val="20"/>
          <w:lang w:val="en-US" w:eastAsia="en-US"/>
        </w:rPr>
        <w:t xml:space="preserve">his wife and brother, that the extradition request was the result of political persecution. The Court considers that the State’s objections refer to the content of these statements and not to their admissibility. The arguments contained in the said statements will be assessed when analyzing the merits of the matter, taking into account the corresponding </w:t>
      </w:r>
      <w:r w:rsidR="0058668C" w:rsidRPr="008A1DB4">
        <w:rPr>
          <w:rFonts w:cs="Helvetica"/>
          <w:spacing w:val="-2"/>
          <w:szCs w:val="20"/>
          <w:lang w:val="en-US"/>
        </w:rPr>
        <w:t>observations</w:t>
      </w:r>
      <w:r w:rsidR="00C45946" w:rsidRPr="008A1DB4">
        <w:rPr>
          <w:rFonts w:cs="Helvetica"/>
          <w:spacing w:val="-2"/>
          <w:szCs w:val="20"/>
          <w:lang w:val="en-US"/>
        </w:rPr>
        <w:t xml:space="preserve"> of the </w:t>
      </w:r>
      <w:r w:rsidR="00F36400" w:rsidRPr="008A1DB4">
        <w:rPr>
          <w:rFonts w:cs="Helvetica"/>
          <w:spacing w:val="-2"/>
          <w:szCs w:val="20"/>
          <w:lang w:val="en-US"/>
        </w:rPr>
        <w:t>State</w:t>
      </w:r>
      <w:r w:rsidRPr="008A1DB4">
        <w:rPr>
          <w:rFonts w:cs="Helvetica"/>
          <w:spacing w:val="-2"/>
          <w:szCs w:val="20"/>
          <w:lang w:val="en-US"/>
        </w:rPr>
        <w:t>.</w:t>
      </w:r>
    </w:p>
    <w:p w14:paraId="243E1BA8" w14:textId="77777777" w:rsidR="00D45DA8" w:rsidRPr="008A1DB4" w:rsidRDefault="00D45DA8" w:rsidP="00956E97">
      <w:pPr>
        <w:widowControl w:val="0"/>
        <w:autoSpaceDE w:val="0"/>
        <w:autoSpaceDN w:val="0"/>
        <w:adjustRightInd w:val="0"/>
        <w:textAlignment w:val="baseline"/>
        <w:rPr>
          <w:rFonts w:cs="Helvetica"/>
          <w:spacing w:val="-2"/>
          <w:szCs w:val="20"/>
          <w:lang w:val="en-US"/>
        </w:rPr>
      </w:pPr>
    </w:p>
    <w:p w14:paraId="7DB7B739" w14:textId="21CE1120" w:rsidR="00F233BB" w:rsidRPr="008A1DB4" w:rsidRDefault="00F233BB" w:rsidP="00956E97">
      <w:pPr>
        <w:pStyle w:val="Heading1"/>
        <w:rPr>
          <w:spacing w:val="-2"/>
          <w:lang w:val="en-US" w:eastAsia="es-CR"/>
        </w:rPr>
      </w:pPr>
      <w:bookmarkStart w:id="412" w:name="_Toc405857807"/>
      <w:bookmarkStart w:id="413" w:name="_Toc418912601"/>
      <w:bookmarkStart w:id="414" w:name="_Toc419394385"/>
      <w:bookmarkStart w:id="415" w:name="_Toc429490251"/>
      <w:bookmarkStart w:id="416" w:name="_Toc429503763"/>
      <w:bookmarkStart w:id="417" w:name="_Toc429504269"/>
      <w:bookmarkStart w:id="418" w:name="_Toc429677982"/>
      <w:bookmarkStart w:id="419" w:name="_Toc430017145"/>
      <w:bookmarkStart w:id="420" w:name="_Toc430017374"/>
      <w:bookmarkStart w:id="421" w:name="_Toc430018656"/>
      <w:bookmarkStart w:id="422" w:name="_Toc430125254"/>
      <w:bookmarkStart w:id="423" w:name="_Toc430125362"/>
      <w:r w:rsidRPr="008A1DB4">
        <w:rPr>
          <w:spacing w:val="-2"/>
          <w:lang w:val="en-US" w:eastAsia="es-CR"/>
        </w:rPr>
        <w:t xml:space="preserve">C. </w:t>
      </w:r>
      <w:r w:rsidR="00BC7BEA" w:rsidRPr="008A1DB4">
        <w:rPr>
          <w:spacing w:val="-2"/>
          <w:lang w:val="en-US"/>
        </w:rPr>
        <w:t>Assessment of the evidence</w:t>
      </w:r>
      <w:bookmarkEnd w:id="412"/>
      <w:bookmarkEnd w:id="413"/>
      <w:bookmarkEnd w:id="414"/>
      <w:bookmarkEnd w:id="415"/>
      <w:bookmarkEnd w:id="416"/>
      <w:bookmarkEnd w:id="417"/>
      <w:bookmarkEnd w:id="418"/>
      <w:bookmarkEnd w:id="419"/>
      <w:bookmarkEnd w:id="420"/>
      <w:bookmarkEnd w:id="421"/>
      <w:bookmarkEnd w:id="422"/>
      <w:bookmarkEnd w:id="423"/>
    </w:p>
    <w:p w14:paraId="0BFCF295" w14:textId="77777777" w:rsidR="00B86A64" w:rsidRPr="008A1DB4" w:rsidRDefault="00B86A64" w:rsidP="00956E97">
      <w:pPr>
        <w:rPr>
          <w:spacing w:val="-2"/>
          <w:lang w:val="en-US" w:eastAsia="es-CR"/>
        </w:rPr>
      </w:pPr>
    </w:p>
    <w:p w14:paraId="01F2EEC3" w14:textId="608132E0" w:rsidR="00F233BB" w:rsidRPr="008A1DB4" w:rsidRDefault="00BC7BEA" w:rsidP="00BC7BEA">
      <w:pPr>
        <w:widowControl w:val="0"/>
        <w:numPr>
          <w:ilvl w:val="0"/>
          <w:numId w:val="2"/>
        </w:numPr>
        <w:adjustRightInd w:val="0"/>
        <w:textAlignment w:val="baseline"/>
        <w:rPr>
          <w:rFonts w:eastAsia="Calibri" w:cs="Verdana"/>
          <w:spacing w:val="-2"/>
          <w:szCs w:val="20"/>
          <w:lang w:val="en-US" w:eastAsia="es-CR"/>
        </w:rPr>
      </w:pPr>
      <w:bookmarkStart w:id="424" w:name="_Ref402038868"/>
      <w:r w:rsidRPr="008A1DB4">
        <w:rPr>
          <w:rFonts w:eastAsia="Batang" w:cs="Verdana"/>
          <w:spacing w:val="-2"/>
          <w:szCs w:val="20"/>
          <w:lang w:val="en-US" w:eastAsia="es-CR"/>
        </w:rPr>
        <w:t xml:space="preserve">Based on the provisions of </w:t>
      </w:r>
      <w:r w:rsidR="00F36400" w:rsidRPr="008A1DB4">
        <w:rPr>
          <w:rFonts w:eastAsia="Batang" w:cs="Verdana"/>
          <w:spacing w:val="-2"/>
          <w:szCs w:val="20"/>
          <w:lang w:val="en-US" w:eastAsia="es-CR"/>
        </w:rPr>
        <w:t>Article</w:t>
      </w:r>
      <w:r w:rsidR="00F233BB" w:rsidRPr="008A1DB4">
        <w:rPr>
          <w:rFonts w:eastAsia="Batang" w:cs="Verdana"/>
          <w:spacing w:val="-2"/>
          <w:szCs w:val="20"/>
          <w:lang w:val="en-US" w:eastAsia="es-CR"/>
        </w:rPr>
        <w:t>s 46, 47, 48, 50, 51, 57</w:t>
      </w:r>
      <w:r w:rsidR="00F36400" w:rsidRPr="008A1DB4">
        <w:rPr>
          <w:rFonts w:eastAsia="Batang" w:cs="Verdana"/>
          <w:spacing w:val="-2"/>
          <w:szCs w:val="20"/>
          <w:lang w:val="en-US" w:eastAsia="es-CR"/>
        </w:rPr>
        <w:t xml:space="preserve"> and </w:t>
      </w:r>
      <w:r w:rsidR="00F233BB" w:rsidRPr="008A1DB4">
        <w:rPr>
          <w:rFonts w:eastAsia="Batang" w:cs="Verdana"/>
          <w:spacing w:val="-2"/>
          <w:szCs w:val="20"/>
          <w:lang w:val="en-US" w:eastAsia="es-CR"/>
        </w:rPr>
        <w:t xml:space="preserve">58 </w:t>
      </w:r>
      <w:r w:rsidR="00F36400" w:rsidRPr="008A1DB4">
        <w:rPr>
          <w:rFonts w:eastAsia="Batang" w:cs="Verdana"/>
          <w:spacing w:val="-2"/>
          <w:szCs w:val="20"/>
          <w:lang w:val="en-US" w:eastAsia="es-CR"/>
        </w:rPr>
        <w:t>of the Rules of Procedure</w:t>
      </w:r>
      <w:r w:rsidR="00F233BB" w:rsidRPr="008A1DB4">
        <w:rPr>
          <w:rFonts w:eastAsia="Batang" w:cs="Verdana"/>
          <w:spacing w:val="-2"/>
          <w:szCs w:val="20"/>
          <w:lang w:val="en-US" w:eastAsia="es-CR"/>
        </w:rPr>
        <w:t>, as</w:t>
      </w:r>
      <w:r w:rsidRPr="008A1DB4">
        <w:rPr>
          <w:rFonts w:eastAsia="Batang" w:cs="Verdana"/>
          <w:spacing w:val="-2"/>
          <w:szCs w:val="20"/>
          <w:lang w:val="en-US" w:eastAsia="es-CR"/>
        </w:rPr>
        <w:t xml:space="preserve"> well as on its consistent case law regarding evidence and its assessment,</w:t>
      </w:r>
      <w:r w:rsidR="00F233BB" w:rsidRPr="008A1DB4">
        <w:rPr>
          <w:rFonts w:eastAsia="Batang" w:cs="Verdana"/>
          <w:spacing w:val="-2"/>
          <w:szCs w:val="20"/>
          <w:vertAlign w:val="superscript"/>
          <w:lang w:val="en-US" w:eastAsia="es-CR"/>
        </w:rPr>
        <w:footnoteReference w:id="38"/>
      </w:r>
      <w:r w:rsidR="00F233BB" w:rsidRPr="008A1DB4">
        <w:rPr>
          <w:rFonts w:eastAsia="Batang" w:cs="Verdana"/>
          <w:spacing w:val="-2"/>
          <w:szCs w:val="20"/>
          <w:lang w:val="en-US" w:eastAsia="es-CR"/>
        </w:rPr>
        <w:t xml:space="preserve"> </w:t>
      </w:r>
      <w:r w:rsidR="00F36400" w:rsidRPr="008A1DB4">
        <w:rPr>
          <w:rFonts w:eastAsia="Batang" w:cs="Verdana"/>
          <w:spacing w:val="-2"/>
          <w:szCs w:val="20"/>
          <w:lang w:val="en-US" w:eastAsia="es-CR"/>
        </w:rPr>
        <w:t>the Court</w:t>
      </w:r>
      <w:r w:rsidR="00F233BB" w:rsidRPr="008A1DB4">
        <w:rPr>
          <w:rFonts w:eastAsia="Batang" w:cs="Verdana"/>
          <w:spacing w:val="-2"/>
          <w:szCs w:val="20"/>
          <w:lang w:val="en-US" w:eastAsia="es-CR"/>
        </w:rPr>
        <w:t xml:space="preserve"> </w:t>
      </w:r>
      <w:r w:rsidRPr="008A1DB4">
        <w:rPr>
          <w:rFonts w:eastAsia="Batang" w:cs="Verdana"/>
          <w:spacing w:val="-2"/>
          <w:szCs w:val="20"/>
          <w:lang w:val="en-US" w:eastAsia="es-CR"/>
        </w:rPr>
        <w:t xml:space="preserve">will examine and assess the documentary evidence provided by the parties and the Commission, the videos, the statements, testimony, and expert opinions, as well as the helpful evidence requested by this Court and incorporated into the file when establishing the facts of the case and ruling on the merits. To this end, it will abide by the principles of sound judicial discretion, within the corresponding legal framework, taking into account the whole body of </w:t>
      </w:r>
      <w:r w:rsidR="008A1DB4" w:rsidRPr="008A1DB4">
        <w:rPr>
          <w:rFonts w:eastAsia="Batang" w:cs="Verdana"/>
          <w:spacing w:val="-2"/>
          <w:szCs w:val="20"/>
          <w:lang w:val="en-US" w:eastAsia="es-CR"/>
        </w:rPr>
        <w:t>evidence</w:t>
      </w:r>
      <w:r w:rsidRPr="008A1DB4">
        <w:rPr>
          <w:rFonts w:eastAsia="Batang" w:cs="Verdana"/>
          <w:spacing w:val="-2"/>
          <w:szCs w:val="20"/>
          <w:lang w:val="en-US" w:eastAsia="es-CR"/>
        </w:rPr>
        <w:t xml:space="preserve"> and the arguments presented in this case.</w:t>
      </w:r>
      <w:r w:rsidR="00F233BB" w:rsidRPr="008A1DB4">
        <w:rPr>
          <w:rFonts w:eastAsia="Batang" w:cs="Verdana"/>
          <w:spacing w:val="-2"/>
          <w:szCs w:val="20"/>
          <w:vertAlign w:val="superscript"/>
          <w:lang w:val="en-US" w:eastAsia="es-CR"/>
        </w:rPr>
        <w:footnoteReference w:id="39"/>
      </w:r>
      <w:bookmarkEnd w:id="424"/>
      <w:r w:rsidR="00F233BB" w:rsidRPr="008A1DB4">
        <w:rPr>
          <w:rFonts w:cs="Verdana"/>
          <w:spacing w:val="-2"/>
          <w:szCs w:val="20"/>
          <w:lang w:val="en-US"/>
        </w:rPr>
        <w:t xml:space="preserve"> </w:t>
      </w:r>
    </w:p>
    <w:p w14:paraId="5FBE5DE5" w14:textId="77777777" w:rsidR="00B86A64" w:rsidRPr="008A1DB4" w:rsidRDefault="00B86A64" w:rsidP="00956E97">
      <w:pPr>
        <w:widowControl w:val="0"/>
        <w:adjustRightInd w:val="0"/>
        <w:textAlignment w:val="baseline"/>
        <w:rPr>
          <w:rFonts w:eastAsia="Calibri" w:cs="Verdana"/>
          <w:spacing w:val="-2"/>
          <w:szCs w:val="20"/>
          <w:lang w:val="en-US" w:eastAsia="es-CR"/>
        </w:rPr>
      </w:pPr>
    </w:p>
    <w:p w14:paraId="2524F6BB" w14:textId="1119BCAA" w:rsidR="00EE2042" w:rsidRPr="008A1DB4" w:rsidRDefault="00EE2042" w:rsidP="00956E97">
      <w:pPr>
        <w:widowControl w:val="0"/>
        <w:numPr>
          <w:ilvl w:val="0"/>
          <w:numId w:val="2"/>
        </w:numPr>
        <w:adjustRightInd w:val="0"/>
        <w:textAlignment w:val="baseline"/>
        <w:rPr>
          <w:rFonts w:eastAsia="Calibri" w:cs="Verdana"/>
          <w:spacing w:val="-2"/>
          <w:szCs w:val="20"/>
          <w:lang w:val="en-US" w:eastAsia="es-CR"/>
        </w:rPr>
      </w:pPr>
      <w:bookmarkStart w:id="425" w:name="_Ref402038884"/>
      <w:r w:rsidRPr="008A1DB4">
        <w:rPr>
          <w:spacing w:val="-2"/>
          <w:lang w:val="en-US"/>
        </w:rPr>
        <w:t>A</w:t>
      </w:r>
      <w:r w:rsidR="00BC7BEA" w:rsidRPr="008A1DB4">
        <w:rPr>
          <w:spacing w:val="-2"/>
          <w:lang w:val="en-US"/>
        </w:rPr>
        <w:t>lso, in accordance with this Court’s case law, the statement made by</w:t>
      </w:r>
      <w:r w:rsidRPr="008A1DB4">
        <w:rPr>
          <w:spacing w:val="-2"/>
          <w:szCs w:val="20"/>
          <w:lang w:val="en-US"/>
        </w:rPr>
        <w:t xml:space="preserve"> </w:t>
      </w:r>
      <w:r w:rsidR="00F36400" w:rsidRPr="008A1DB4">
        <w:rPr>
          <w:spacing w:val="-2"/>
          <w:szCs w:val="20"/>
          <w:lang w:val="en-US"/>
        </w:rPr>
        <w:t>the presumed victim</w:t>
      </w:r>
      <w:r w:rsidRPr="008A1DB4">
        <w:rPr>
          <w:spacing w:val="-2"/>
          <w:szCs w:val="20"/>
          <w:lang w:val="en-US"/>
        </w:rPr>
        <w:t xml:space="preserve"> </w:t>
      </w:r>
      <w:r w:rsidR="00BC7BEA" w:rsidRPr="008A1DB4">
        <w:rPr>
          <w:spacing w:val="-2"/>
          <w:szCs w:val="20"/>
          <w:lang w:val="en-US"/>
        </w:rPr>
        <w:t>cannot be assessed in isolation, but rather in the context of all the evidence in the proceedings, insofar as it may provide further information on the presumed violations and their consequences.</w:t>
      </w:r>
      <w:r w:rsidRPr="008A1DB4">
        <w:rPr>
          <w:rFonts w:eastAsia="Times New Roman" w:cs="Times New Roman"/>
          <w:spacing w:val="-2"/>
          <w:szCs w:val="20"/>
          <w:vertAlign w:val="superscript"/>
          <w:lang w:val="en-US" w:eastAsia="es-MX"/>
        </w:rPr>
        <w:footnoteReference w:id="40"/>
      </w:r>
      <w:bookmarkEnd w:id="425"/>
      <w:r w:rsidRPr="008A1DB4">
        <w:rPr>
          <w:spacing w:val="-2"/>
          <w:lang w:val="en-US"/>
        </w:rPr>
        <w:t xml:space="preserve"> </w:t>
      </w:r>
    </w:p>
    <w:p w14:paraId="161A3AEE" w14:textId="77777777" w:rsidR="005E0BF6" w:rsidRPr="008A1DB4" w:rsidRDefault="005E0BF6" w:rsidP="00956E97">
      <w:pPr>
        <w:widowControl w:val="0"/>
        <w:adjustRightInd w:val="0"/>
        <w:textAlignment w:val="baseline"/>
        <w:rPr>
          <w:rFonts w:eastAsia="Calibri" w:cs="Verdana"/>
          <w:spacing w:val="-2"/>
          <w:szCs w:val="20"/>
          <w:lang w:val="en-US" w:eastAsia="es-CR"/>
        </w:rPr>
      </w:pPr>
    </w:p>
    <w:p w14:paraId="07536B85" w14:textId="77777777" w:rsidR="005E0BF6" w:rsidRPr="008A1DB4" w:rsidRDefault="005E0BF6" w:rsidP="00956E97">
      <w:pPr>
        <w:pStyle w:val="Title"/>
        <w:rPr>
          <w:spacing w:val="-2"/>
          <w:lang w:val="en-US"/>
        </w:rPr>
      </w:pPr>
      <w:bookmarkStart w:id="426" w:name="_Toc418912602"/>
      <w:bookmarkStart w:id="427" w:name="_Toc419394386"/>
      <w:bookmarkStart w:id="428" w:name="_Toc429490252"/>
      <w:bookmarkStart w:id="429" w:name="_Toc429503764"/>
      <w:bookmarkStart w:id="430" w:name="_Toc429504270"/>
      <w:bookmarkStart w:id="431" w:name="_Toc429677983"/>
      <w:bookmarkStart w:id="432" w:name="_Toc430017146"/>
      <w:bookmarkStart w:id="433" w:name="_Toc430017375"/>
      <w:bookmarkStart w:id="434" w:name="_Toc430018657"/>
      <w:bookmarkStart w:id="435" w:name="_Toc430125255"/>
      <w:bookmarkStart w:id="436" w:name="_Toc430125363"/>
      <w:r w:rsidRPr="008A1DB4">
        <w:rPr>
          <w:spacing w:val="-2"/>
          <w:lang w:val="en-US"/>
        </w:rPr>
        <w:t>VII</w:t>
      </w:r>
      <w:r w:rsidR="006F4421" w:rsidRPr="008A1DB4">
        <w:rPr>
          <w:spacing w:val="-2"/>
          <w:lang w:val="en-US"/>
        </w:rPr>
        <w:t>I</w:t>
      </w:r>
      <w:bookmarkEnd w:id="426"/>
      <w:bookmarkEnd w:id="427"/>
      <w:bookmarkEnd w:id="428"/>
      <w:bookmarkEnd w:id="429"/>
      <w:bookmarkEnd w:id="430"/>
      <w:bookmarkEnd w:id="431"/>
      <w:bookmarkEnd w:id="432"/>
      <w:bookmarkEnd w:id="433"/>
      <w:bookmarkEnd w:id="434"/>
      <w:bookmarkEnd w:id="435"/>
      <w:bookmarkEnd w:id="436"/>
    </w:p>
    <w:p w14:paraId="2650837E" w14:textId="31CE5AF4" w:rsidR="005E0BF6" w:rsidRPr="008A1DB4" w:rsidRDefault="00BC7BEA" w:rsidP="00956E97">
      <w:pPr>
        <w:pStyle w:val="Title"/>
        <w:rPr>
          <w:spacing w:val="-2"/>
          <w:lang w:val="en-US"/>
        </w:rPr>
      </w:pPr>
      <w:r w:rsidRPr="008A1DB4">
        <w:rPr>
          <w:spacing w:val="-2"/>
          <w:lang w:val="en-US"/>
        </w:rPr>
        <w:t>PROVEN FACTS</w:t>
      </w:r>
    </w:p>
    <w:p w14:paraId="79D138C2" w14:textId="77777777" w:rsidR="005E0BF6" w:rsidRPr="008A1DB4" w:rsidRDefault="005E0BF6" w:rsidP="00956E97">
      <w:pPr>
        <w:pStyle w:val="ListParagraph"/>
        <w:tabs>
          <w:tab w:val="left" w:pos="567"/>
        </w:tabs>
        <w:ind w:left="0"/>
        <w:rPr>
          <w:spacing w:val="-2"/>
          <w:lang w:val="en-US"/>
        </w:rPr>
      </w:pPr>
    </w:p>
    <w:p w14:paraId="1DDA1F2D" w14:textId="21488AC7" w:rsidR="00FE32A6" w:rsidRPr="008A1DB4" w:rsidRDefault="00FE5E87" w:rsidP="00956E97">
      <w:pPr>
        <w:pStyle w:val="PrrafodeSentencia"/>
        <w:rPr>
          <w:b/>
          <w:spacing w:val="-2"/>
          <w:lang w:val="en-US"/>
        </w:rPr>
      </w:pPr>
      <w:bookmarkStart w:id="437" w:name="_Ref401564759"/>
      <w:r w:rsidRPr="008A1DB4">
        <w:rPr>
          <w:spacing w:val="-2"/>
          <w:lang w:val="en-US"/>
        </w:rPr>
        <w:t>This case</w:t>
      </w:r>
      <w:r w:rsidR="00FE32A6" w:rsidRPr="008A1DB4">
        <w:rPr>
          <w:spacing w:val="-2"/>
          <w:lang w:val="en-US"/>
        </w:rPr>
        <w:t xml:space="preserve"> </w:t>
      </w:r>
      <w:r w:rsidRPr="008A1DB4">
        <w:rPr>
          <w:spacing w:val="-2"/>
          <w:lang w:val="en-US"/>
        </w:rPr>
        <w:t>relates to the request for the extradition of Wong Ho Wing, a Chinese citizen, and</w:t>
      </w:r>
      <w:r w:rsidR="00ED3D6C">
        <w:rPr>
          <w:spacing w:val="-2"/>
          <w:lang w:val="en-US"/>
        </w:rPr>
        <w:t xml:space="preserve"> the ensuing extradition </w:t>
      </w:r>
      <w:proofErr w:type="spellStart"/>
      <w:r w:rsidR="00ED3D6C">
        <w:rPr>
          <w:spacing w:val="-2"/>
          <w:lang w:val="en-US"/>
        </w:rPr>
        <w:t>proceegings</w:t>
      </w:r>
      <w:proofErr w:type="spellEnd"/>
      <w:r w:rsidRPr="008A1DB4">
        <w:rPr>
          <w:spacing w:val="-2"/>
          <w:lang w:val="en-US"/>
        </w:rPr>
        <w:t xml:space="preserve"> in Peru. In this regard, the relevant facts will be described as regards:  </w:t>
      </w:r>
      <w:r w:rsidR="00FE32A6" w:rsidRPr="008A1DB4">
        <w:rPr>
          <w:spacing w:val="-2"/>
          <w:lang w:val="en-US"/>
        </w:rPr>
        <w:t>(</w:t>
      </w:r>
      <w:r w:rsidR="000A18C0" w:rsidRPr="008A1DB4">
        <w:rPr>
          <w:spacing w:val="-2"/>
          <w:lang w:val="en-US"/>
        </w:rPr>
        <w:t>A</w:t>
      </w:r>
      <w:r w:rsidR="00360F38" w:rsidRPr="008A1DB4">
        <w:rPr>
          <w:spacing w:val="-2"/>
          <w:lang w:val="en-US"/>
        </w:rPr>
        <w:t xml:space="preserve">) </w:t>
      </w:r>
      <w:r w:rsidRPr="008A1DB4">
        <w:rPr>
          <w:spacing w:val="-2"/>
          <w:lang w:val="en-US"/>
        </w:rPr>
        <w:t xml:space="preserve">the extradition treaty between </w:t>
      </w:r>
      <w:r w:rsidR="00FE32A6" w:rsidRPr="008A1DB4">
        <w:rPr>
          <w:spacing w:val="-2"/>
          <w:lang w:val="en-US"/>
        </w:rPr>
        <w:t>China</w:t>
      </w:r>
      <w:r w:rsidR="00F36400" w:rsidRPr="008A1DB4">
        <w:rPr>
          <w:spacing w:val="-2"/>
          <w:lang w:val="en-US"/>
        </w:rPr>
        <w:t xml:space="preserve"> and Peru</w:t>
      </w:r>
      <w:r w:rsidR="00FE32A6" w:rsidRPr="008A1DB4">
        <w:rPr>
          <w:spacing w:val="-2"/>
          <w:lang w:val="en-US"/>
        </w:rPr>
        <w:t>; (</w:t>
      </w:r>
      <w:r w:rsidR="000A18C0" w:rsidRPr="008A1DB4">
        <w:rPr>
          <w:spacing w:val="-2"/>
          <w:lang w:val="en-US"/>
        </w:rPr>
        <w:t>B</w:t>
      </w:r>
      <w:r w:rsidR="00FE32A6" w:rsidRPr="008A1DB4">
        <w:rPr>
          <w:spacing w:val="-2"/>
          <w:lang w:val="en-US"/>
        </w:rPr>
        <w:t xml:space="preserve">) </w:t>
      </w:r>
      <w:r w:rsidRPr="008A1DB4">
        <w:rPr>
          <w:spacing w:val="-2"/>
          <w:lang w:val="en-US"/>
        </w:rPr>
        <w:t xml:space="preserve">the </w:t>
      </w:r>
      <w:r w:rsidR="00ED3D6C">
        <w:rPr>
          <w:spacing w:val="-2"/>
          <w:lang w:val="en-US"/>
        </w:rPr>
        <w:t>extradition proceedings</w:t>
      </w:r>
      <w:r w:rsidRPr="008A1DB4">
        <w:rPr>
          <w:spacing w:val="-2"/>
          <w:lang w:val="en-US"/>
        </w:rPr>
        <w:t xml:space="preserve"> in Peru</w:t>
      </w:r>
      <w:r w:rsidR="00FE32A6" w:rsidRPr="008A1DB4">
        <w:rPr>
          <w:spacing w:val="-2"/>
          <w:lang w:val="en-US"/>
        </w:rPr>
        <w:t>; (</w:t>
      </w:r>
      <w:r w:rsidR="000A18C0" w:rsidRPr="008A1DB4">
        <w:rPr>
          <w:spacing w:val="-2"/>
          <w:lang w:val="en-US"/>
        </w:rPr>
        <w:t>C</w:t>
      </w:r>
      <w:r w:rsidR="00FE32A6" w:rsidRPr="008A1DB4">
        <w:rPr>
          <w:spacing w:val="-2"/>
          <w:lang w:val="en-US"/>
        </w:rPr>
        <w:t xml:space="preserve">) </w:t>
      </w:r>
      <w:r w:rsidRPr="008A1DB4">
        <w:rPr>
          <w:spacing w:val="-2"/>
          <w:lang w:val="en-US"/>
        </w:rPr>
        <w:t xml:space="preserve">the </w:t>
      </w:r>
      <w:r w:rsidR="00FC5891" w:rsidRPr="008A1DB4">
        <w:rPr>
          <w:spacing w:val="-2"/>
          <w:lang w:val="en-US"/>
        </w:rPr>
        <w:t>extradition process</w:t>
      </w:r>
      <w:r w:rsidRPr="008A1DB4">
        <w:rPr>
          <w:spacing w:val="-2"/>
          <w:lang w:val="en-US"/>
        </w:rPr>
        <w:t xml:space="preserve"> </w:t>
      </w:r>
      <w:r w:rsidR="00ED3D6C">
        <w:rPr>
          <w:spacing w:val="-2"/>
          <w:lang w:val="en-US"/>
        </w:rPr>
        <w:t xml:space="preserve">in the case </w:t>
      </w:r>
      <w:r w:rsidR="00B43F84" w:rsidRPr="008A1DB4">
        <w:rPr>
          <w:spacing w:val="-2"/>
          <w:lang w:val="en-US"/>
        </w:rPr>
        <w:t>of Wong</w:t>
      </w:r>
      <w:r w:rsidR="00FE32A6" w:rsidRPr="008A1DB4">
        <w:rPr>
          <w:spacing w:val="-2"/>
          <w:lang w:val="en-US"/>
        </w:rPr>
        <w:t xml:space="preserve"> Ho Wing, </w:t>
      </w:r>
      <w:r w:rsidRPr="008A1DB4">
        <w:rPr>
          <w:spacing w:val="-2"/>
          <w:lang w:val="en-US"/>
        </w:rPr>
        <w:t>and</w:t>
      </w:r>
      <w:r w:rsidR="00FE32A6" w:rsidRPr="008A1DB4">
        <w:rPr>
          <w:spacing w:val="-2"/>
          <w:lang w:val="en-US"/>
        </w:rPr>
        <w:t xml:space="preserve"> (</w:t>
      </w:r>
      <w:r w:rsidR="000A18C0" w:rsidRPr="008A1DB4">
        <w:rPr>
          <w:spacing w:val="-2"/>
          <w:lang w:val="en-US"/>
        </w:rPr>
        <w:t>D</w:t>
      </w:r>
      <w:r w:rsidR="00FE32A6" w:rsidRPr="008A1DB4">
        <w:rPr>
          <w:spacing w:val="-2"/>
          <w:lang w:val="en-US"/>
        </w:rPr>
        <w:t xml:space="preserve">) </w:t>
      </w:r>
      <w:r w:rsidRPr="008A1DB4">
        <w:rPr>
          <w:spacing w:val="-2"/>
          <w:lang w:val="en-US"/>
        </w:rPr>
        <w:t>the detention</w:t>
      </w:r>
      <w:r w:rsidR="00FE32A6" w:rsidRPr="008A1DB4">
        <w:rPr>
          <w:spacing w:val="-2"/>
          <w:lang w:val="en-US"/>
        </w:rPr>
        <w:t xml:space="preserve"> </w:t>
      </w:r>
      <w:r w:rsidR="00B43F84" w:rsidRPr="008A1DB4">
        <w:rPr>
          <w:spacing w:val="-2"/>
          <w:lang w:val="en-US"/>
        </w:rPr>
        <w:t>of Wong</w:t>
      </w:r>
      <w:r w:rsidR="00FE32A6" w:rsidRPr="008A1DB4">
        <w:rPr>
          <w:spacing w:val="-2"/>
          <w:lang w:val="en-US"/>
        </w:rPr>
        <w:t xml:space="preserve"> Ho Wing</w:t>
      </w:r>
      <w:r w:rsidR="00F36400" w:rsidRPr="008A1DB4">
        <w:rPr>
          <w:spacing w:val="-2"/>
          <w:lang w:val="en-US"/>
        </w:rPr>
        <w:t xml:space="preserve"> and </w:t>
      </w:r>
      <w:r w:rsidRPr="008A1DB4">
        <w:rPr>
          <w:spacing w:val="-2"/>
          <w:lang w:val="en-US"/>
        </w:rPr>
        <w:t>the remedies filed in this regard.</w:t>
      </w:r>
    </w:p>
    <w:p w14:paraId="53EABBA4" w14:textId="77777777" w:rsidR="00FE32A6" w:rsidRPr="008A1DB4" w:rsidRDefault="00FE32A6" w:rsidP="00956E97">
      <w:pPr>
        <w:rPr>
          <w:spacing w:val="-2"/>
          <w:lang w:val="en-US"/>
        </w:rPr>
      </w:pPr>
    </w:p>
    <w:p w14:paraId="6F2D688E" w14:textId="48D980F9" w:rsidR="00FE32A6" w:rsidRPr="008A1DB4" w:rsidRDefault="00360F38" w:rsidP="00956E97">
      <w:pPr>
        <w:pStyle w:val="Heading1"/>
        <w:rPr>
          <w:spacing w:val="-2"/>
          <w:lang w:val="en-US"/>
        </w:rPr>
      </w:pPr>
      <w:bookmarkStart w:id="438" w:name="_Toc418912604"/>
      <w:bookmarkStart w:id="439" w:name="_Toc419394388"/>
      <w:bookmarkStart w:id="440" w:name="_Toc419470154"/>
      <w:bookmarkStart w:id="441" w:name="_Toc429490254"/>
      <w:bookmarkStart w:id="442" w:name="_Toc429503766"/>
      <w:bookmarkStart w:id="443" w:name="_Toc429504272"/>
      <w:bookmarkStart w:id="444" w:name="_Toc429677985"/>
      <w:bookmarkStart w:id="445" w:name="_Toc430017148"/>
      <w:bookmarkStart w:id="446" w:name="_Toc430017377"/>
      <w:bookmarkStart w:id="447" w:name="_Toc430018659"/>
      <w:bookmarkStart w:id="448" w:name="_Toc430125257"/>
      <w:bookmarkStart w:id="449" w:name="_Toc430125365"/>
      <w:r w:rsidRPr="008A1DB4">
        <w:rPr>
          <w:spacing w:val="-2"/>
          <w:lang w:val="en-US"/>
        </w:rPr>
        <w:t xml:space="preserve">A. </w:t>
      </w:r>
      <w:r w:rsidR="004257EF" w:rsidRPr="008A1DB4">
        <w:rPr>
          <w:spacing w:val="-2"/>
          <w:lang w:val="en-US"/>
        </w:rPr>
        <w:t>Extradition Treaty</w:t>
      </w:r>
      <w:r w:rsidR="00FE5E87" w:rsidRPr="008A1DB4">
        <w:rPr>
          <w:spacing w:val="-2"/>
          <w:lang w:val="en-US"/>
        </w:rPr>
        <w:t xml:space="preserve"> between</w:t>
      </w:r>
      <w:r w:rsidR="00FE32A6" w:rsidRPr="008A1DB4">
        <w:rPr>
          <w:spacing w:val="-2"/>
          <w:lang w:val="en-US"/>
        </w:rPr>
        <w:t xml:space="preserve"> China</w:t>
      </w:r>
      <w:r w:rsidR="00F36400" w:rsidRPr="008A1DB4">
        <w:rPr>
          <w:spacing w:val="-2"/>
          <w:lang w:val="en-US"/>
        </w:rPr>
        <w:t xml:space="preserve"> and </w:t>
      </w:r>
      <w:r w:rsidR="00FE5E87" w:rsidRPr="008A1DB4">
        <w:rPr>
          <w:spacing w:val="-2"/>
          <w:lang w:val="en-US"/>
        </w:rPr>
        <w:t>Peru</w:t>
      </w:r>
      <w:bookmarkEnd w:id="438"/>
      <w:bookmarkEnd w:id="439"/>
      <w:bookmarkEnd w:id="440"/>
      <w:bookmarkEnd w:id="441"/>
      <w:bookmarkEnd w:id="442"/>
      <w:bookmarkEnd w:id="443"/>
      <w:bookmarkEnd w:id="444"/>
      <w:bookmarkEnd w:id="445"/>
      <w:bookmarkEnd w:id="446"/>
      <w:bookmarkEnd w:id="447"/>
      <w:bookmarkEnd w:id="448"/>
      <w:bookmarkEnd w:id="449"/>
    </w:p>
    <w:p w14:paraId="3C10F198" w14:textId="77777777" w:rsidR="00FE32A6" w:rsidRPr="008A1DB4" w:rsidRDefault="00FE32A6" w:rsidP="00956E97">
      <w:pPr>
        <w:pStyle w:val="ListParagraph"/>
        <w:tabs>
          <w:tab w:val="left" w:pos="567"/>
        </w:tabs>
        <w:ind w:left="0"/>
        <w:rPr>
          <w:b/>
          <w:spacing w:val="-2"/>
          <w:lang w:val="en-US"/>
        </w:rPr>
      </w:pPr>
    </w:p>
    <w:p w14:paraId="71111E2C" w14:textId="436FA1B9" w:rsidR="00FE32A6" w:rsidRPr="008A1DB4" w:rsidRDefault="00FE5E87" w:rsidP="002D1CFC">
      <w:pPr>
        <w:pStyle w:val="PrrafodeSentencia"/>
        <w:rPr>
          <w:spacing w:val="-2"/>
          <w:lang w:val="en-US"/>
        </w:rPr>
      </w:pPr>
      <w:r w:rsidRPr="009D56A9">
        <w:rPr>
          <w:spacing w:val="-2"/>
          <w:lang w:val="en-US"/>
        </w:rPr>
        <w:t>An extradition treaty exists between</w:t>
      </w:r>
      <w:r w:rsidR="00FE32A6" w:rsidRPr="009D56A9">
        <w:rPr>
          <w:spacing w:val="-2"/>
          <w:lang w:val="en-US"/>
        </w:rPr>
        <w:t xml:space="preserve"> </w:t>
      </w:r>
      <w:r w:rsidRPr="009D56A9">
        <w:rPr>
          <w:spacing w:val="-2"/>
          <w:lang w:val="en-US"/>
        </w:rPr>
        <w:t>the People’s Republic of China</w:t>
      </w:r>
      <w:r w:rsidR="00F36400" w:rsidRPr="009D56A9">
        <w:rPr>
          <w:spacing w:val="-2"/>
          <w:lang w:val="en-US"/>
        </w:rPr>
        <w:t xml:space="preserve"> and </w:t>
      </w:r>
      <w:r w:rsidRPr="009D56A9">
        <w:rPr>
          <w:spacing w:val="-2"/>
          <w:lang w:val="en-US"/>
        </w:rPr>
        <w:t>Peru</w:t>
      </w:r>
      <w:r w:rsidR="00FE32A6" w:rsidRPr="009D56A9">
        <w:rPr>
          <w:spacing w:val="-2"/>
          <w:lang w:val="en-US"/>
        </w:rPr>
        <w:t xml:space="preserve"> </w:t>
      </w:r>
      <w:r w:rsidRPr="009D56A9">
        <w:rPr>
          <w:spacing w:val="-2"/>
          <w:lang w:val="en-US"/>
        </w:rPr>
        <w:t>that was signed</w:t>
      </w:r>
      <w:r w:rsidRPr="008A1DB4">
        <w:rPr>
          <w:spacing w:val="-2"/>
          <w:lang w:val="en-US"/>
        </w:rPr>
        <w:t xml:space="preserve"> on</w:t>
      </w:r>
      <w:r w:rsidR="00FE32A6" w:rsidRPr="008A1DB4">
        <w:rPr>
          <w:spacing w:val="-2"/>
          <w:lang w:val="en-US"/>
        </w:rPr>
        <w:t xml:space="preserve"> </w:t>
      </w:r>
      <w:r w:rsidRPr="008A1DB4">
        <w:rPr>
          <w:spacing w:val="-2"/>
          <w:lang w:val="en-US"/>
        </w:rPr>
        <w:t>November 5,</w:t>
      </w:r>
      <w:r w:rsidR="00FE32A6" w:rsidRPr="008A1DB4">
        <w:rPr>
          <w:spacing w:val="-2"/>
          <w:lang w:val="en-US"/>
        </w:rPr>
        <w:t xml:space="preserve"> 2001</w:t>
      </w:r>
      <w:r w:rsidRPr="008A1DB4">
        <w:rPr>
          <w:spacing w:val="-2"/>
          <w:lang w:val="en-US"/>
        </w:rPr>
        <w:t xml:space="preserve">, </w:t>
      </w:r>
      <w:r w:rsidR="00F36400" w:rsidRPr="008A1DB4">
        <w:rPr>
          <w:spacing w:val="-2"/>
          <w:lang w:val="en-US"/>
        </w:rPr>
        <w:t xml:space="preserve">and </w:t>
      </w:r>
      <w:r w:rsidRPr="008A1DB4">
        <w:rPr>
          <w:spacing w:val="-2"/>
          <w:lang w:val="en-US"/>
        </w:rPr>
        <w:t xml:space="preserve">entered into </w:t>
      </w:r>
      <w:r w:rsidR="008A1DB4" w:rsidRPr="008A1DB4">
        <w:rPr>
          <w:spacing w:val="-2"/>
          <w:lang w:val="en-US"/>
        </w:rPr>
        <w:t>force</w:t>
      </w:r>
      <w:r w:rsidRPr="008A1DB4">
        <w:rPr>
          <w:spacing w:val="-2"/>
          <w:lang w:val="en-US"/>
        </w:rPr>
        <w:t xml:space="preserve"> on </w:t>
      </w:r>
      <w:r w:rsidR="00574EDB" w:rsidRPr="008A1DB4">
        <w:rPr>
          <w:spacing w:val="-2"/>
          <w:lang w:val="en-US"/>
        </w:rPr>
        <w:t>April 5,</w:t>
      </w:r>
      <w:r w:rsidRPr="008A1DB4">
        <w:rPr>
          <w:spacing w:val="-2"/>
          <w:lang w:val="en-US"/>
        </w:rPr>
        <w:t xml:space="preserve"> 2003. It establishes the obligation to</w:t>
      </w:r>
      <w:r w:rsidR="009D56A9">
        <w:rPr>
          <w:spacing w:val="-2"/>
          <w:lang w:val="en-US"/>
        </w:rPr>
        <w:t xml:space="preserve"> extradite “anyone who is in their</w:t>
      </w:r>
      <w:r w:rsidRPr="008A1DB4">
        <w:rPr>
          <w:spacing w:val="-2"/>
          <w:lang w:val="en-US"/>
        </w:rPr>
        <w:t xml:space="preserve"> territory and is required by the other party in order to </w:t>
      </w:r>
      <w:r w:rsidR="009D56A9">
        <w:rPr>
          <w:spacing w:val="-2"/>
          <w:lang w:val="en-US"/>
        </w:rPr>
        <w:t>institute</w:t>
      </w:r>
      <w:r w:rsidRPr="008A1DB4">
        <w:rPr>
          <w:spacing w:val="-2"/>
          <w:lang w:val="en-US"/>
        </w:rPr>
        <w:t xml:space="preserve"> criminal pro</w:t>
      </w:r>
      <w:r w:rsidR="009D56A9">
        <w:rPr>
          <w:spacing w:val="-2"/>
          <w:lang w:val="en-US"/>
        </w:rPr>
        <w:t>ceedings</w:t>
      </w:r>
      <w:r w:rsidR="002D1CFC" w:rsidRPr="008A1DB4">
        <w:rPr>
          <w:spacing w:val="-2"/>
          <w:lang w:val="en-US"/>
        </w:rPr>
        <w:t xml:space="preserve"> or execute a judgment </w:t>
      </w:r>
      <w:r w:rsidR="009D56A9">
        <w:rPr>
          <w:spacing w:val="-2"/>
          <w:lang w:val="en-US"/>
        </w:rPr>
        <w:t>against them.” In addition, the</w:t>
      </w:r>
      <w:r w:rsidR="002D1CFC" w:rsidRPr="008A1DB4">
        <w:rPr>
          <w:spacing w:val="-2"/>
          <w:lang w:val="en-US"/>
        </w:rPr>
        <w:t xml:space="preserve"> treaty indicates the offenses that are subject to extradition;</w:t>
      </w:r>
      <w:r w:rsidR="009D56A9">
        <w:rPr>
          <w:spacing w:val="-2"/>
          <w:lang w:val="en-US"/>
        </w:rPr>
        <w:t xml:space="preserve"> the obligatory and discretionary</w:t>
      </w:r>
      <w:r w:rsidR="002D1CFC" w:rsidRPr="008A1DB4">
        <w:rPr>
          <w:spacing w:val="-2"/>
          <w:lang w:val="en-US"/>
        </w:rPr>
        <w:t xml:space="preserve"> grounds for rejecting an extradition request; the conditions and requirements that an extradition request should meet, </w:t>
      </w:r>
      <w:r w:rsidR="009D56A9">
        <w:rPr>
          <w:spacing w:val="-2"/>
          <w:lang w:val="en-US"/>
        </w:rPr>
        <w:t>as well as the procedure, and</w:t>
      </w:r>
      <w:r w:rsidR="002D1CFC" w:rsidRPr="008A1DB4">
        <w:rPr>
          <w:spacing w:val="-2"/>
          <w:lang w:val="en-US"/>
        </w:rPr>
        <w:t xml:space="preserve"> communication and information</w:t>
      </w:r>
      <w:r w:rsidR="009D56A9">
        <w:rPr>
          <w:spacing w:val="-2"/>
          <w:lang w:val="en-US"/>
        </w:rPr>
        <w:t xml:space="preserve"> channels</w:t>
      </w:r>
      <w:r w:rsidR="002D1CFC" w:rsidRPr="008A1DB4">
        <w:rPr>
          <w:spacing w:val="-2"/>
          <w:lang w:val="en-US"/>
        </w:rPr>
        <w:t xml:space="preserve"> in the case of an extradition request from either of the contracting parties. This treaty does not include an express clause on the way to proceed in the case of offenses for which the death penalty is established; however, it does establish as a condition for the extradition that “it [shall] not be contrary to the legal system of the Requested Party.</w:t>
      </w:r>
      <w:r w:rsidR="00FE32A6" w:rsidRPr="008A1DB4">
        <w:rPr>
          <w:spacing w:val="-2"/>
          <w:lang w:val="en-US"/>
        </w:rPr>
        <w:t>”</w:t>
      </w:r>
      <w:r w:rsidR="00FE32A6" w:rsidRPr="008A1DB4">
        <w:rPr>
          <w:rStyle w:val="FootnoteReference"/>
          <w:rFonts w:cs="Callibri"/>
          <w:spacing w:val="-2"/>
          <w:lang w:val="en-US"/>
        </w:rPr>
        <w:footnoteReference w:id="41"/>
      </w:r>
      <w:r w:rsidR="002D1CFC" w:rsidRPr="008A1DB4">
        <w:rPr>
          <w:spacing w:val="-2"/>
          <w:lang w:val="en-US"/>
        </w:rPr>
        <w:t xml:space="preserve"> </w:t>
      </w:r>
      <w:r w:rsidR="009D56A9">
        <w:rPr>
          <w:spacing w:val="-2"/>
          <w:lang w:val="en-US"/>
        </w:rPr>
        <w:t>The specific provisions of the Extradition T</w:t>
      </w:r>
      <w:r w:rsidR="002D1CFC" w:rsidRPr="008A1DB4">
        <w:rPr>
          <w:spacing w:val="-2"/>
          <w:lang w:val="en-US"/>
        </w:rPr>
        <w:t xml:space="preserve">reaty that are relevant for this case are described in greater detail in the corresponding chapters </w:t>
      </w:r>
      <w:r w:rsidR="00FE32A6" w:rsidRPr="008A1DB4">
        <w:rPr>
          <w:spacing w:val="-2"/>
          <w:lang w:val="en-US"/>
        </w:rPr>
        <w:t>(</w:t>
      </w:r>
      <w:r w:rsidR="00FE32A6" w:rsidRPr="008A1DB4">
        <w:rPr>
          <w:i/>
          <w:spacing w:val="-2"/>
          <w:lang w:val="en-US"/>
        </w:rPr>
        <w:t>infra</w:t>
      </w:r>
      <w:r w:rsidR="00FE32A6" w:rsidRPr="008A1DB4">
        <w:rPr>
          <w:spacing w:val="-2"/>
          <w:lang w:val="en-US"/>
        </w:rPr>
        <w:t xml:space="preserve"> </w:t>
      </w:r>
      <w:r w:rsidR="00631F9C" w:rsidRPr="008A1DB4">
        <w:rPr>
          <w:spacing w:val="-2"/>
          <w:lang w:val="en-US"/>
        </w:rPr>
        <w:t>paras.</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_Ref419386506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138</w:t>
      </w:r>
      <w:r w:rsidR="00FE32A6" w:rsidRPr="008A1DB4">
        <w:rPr>
          <w:spacing w:val="-2"/>
          <w:lang w:val="en-US"/>
        </w:rPr>
        <w:fldChar w:fldCharType="end"/>
      </w:r>
      <w:r w:rsidR="00F36400" w:rsidRPr="008A1DB4">
        <w:rPr>
          <w:spacing w:val="-2"/>
          <w:lang w:val="en-US"/>
        </w:rPr>
        <w:t xml:space="preserve"> and </w:t>
      </w:r>
      <w:r w:rsidR="00FE32A6" w:rsidRPr="008A1DB4">
        <w:rPr>
          <w:spacing w:val="-2"/>
          <w:lang w:val="en-US"/>
        </w:rPr>
        <w:fldChar w:fldCharType="begin"/>
      </w:r>
      <w:r w:rsidR="00FE32A6" w:rsidRPr="008A1DB4">
        <w:rPr>
          <w:spacing w:val="-2"/>
          <w:lang w:val="en-US"/>
        </w:rPr>
        <w:instrText xml:space="preserve"> REF _Ref417424628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239</w:t>
      </w:r>
      <w:r w:rsidR="00FE32A6" w:rsidRPr="008A1DB4">
        <w:rPr>
          <w:spacing w:val="-2"/>
          <w:lang w:val="en-US"/>
        </w:rPr>
        <w:fldChar w:fldCharType="end"/>
      </w:r>
      <w:r w:rsidR="00FE32A6" w:rsidRPr="008A1DB4">
        <w:rPr>
          <w:spacing w:val="-2"/>
          <w:lang w:val="en-US"/>
        </w:rPr>
        <w:t>).</w:t>
      </w:r>
    </w:p>
    <w:p w14:paraId="38BF628A" w14:textId="77777777" w:rsidR="00FE32A6" w:rsidRPr="008A1DB4" w:rsidRDefault="00FE32A6" w:rsidP="00956E97">
      <w:pPr>
        <w:pStyle w:val="ListParagraph"/>
        <w:tabs>
          <w:tab w:val="left" w:pos="567"/>
        </w:tabs>
        <w:ind w:left="0"/>
        <w:rPr>
          <w:b/>
          <w:spacing w:val="-2"/>
          <w:lang w:val="en-US"/>
        </w:rPr>
      </w:pPr>
    </w:p>
    <w:p w14:paraId="213418FC" w14:textId="3ADDE39A" w:rsidR="00FE32A6" w:rsidRPr="008A1DB4" w:rsidRDefault="00FE32A6" w:rsidP="00956E97">
      <w:pPr>
        <w:pStyle w:val="Heading1"/>
        <w:rPr>
          <w:spacing w:val="-2"/>
          <w:lang w:val="en-US"/>
        </w:rPr>
      </w:pPr>
      <w:bookmarkStart w:id="450" w:name="_Toc418912605"/>
      <w:bookmarkStart w:id="451" w:name="_Toc419394389"/>
      <w:bookmarkStart w:id="452" w:name="_Toc419470155"/>
      <w:bookmarkStart w:id="453" w:name="_Toc429490255"/>
      <w:bookmarkStart w:id="454" w:name="_Toc429503767"/>
      <w:bookmarkStart w:id="455" w:name="_Toc429504273"/>
      <w:bookmarkStart w:id="456" w:name="_Toc429677986"/>
      <w:bookmarkStart w:id="457" w:name="_Toc430017149"/>
      <w:bookmarkStart w:id="458" w:name="_Toc430017378"/>
      <w:bookmarkStart w:id="459" w:name="_Toc430018660"/>
      <w:bookmarkStart w:id="460" w:name="_Toc430125258"/>
      <w:bookmarkStart w:id="461" w:name="_Toc430125366"/>
      <w:r w:rsidRPr="008A1DB4">
        <w:rPr>
          <w:spacing w:val="-2"/>
          <w:lang w:val="en-US"/>
        </w:rPr>
        <w:t xml:space="preserve">B. </w:t>
      </w:r>
      <w:r w:rsidR="002D1CFC" w:rsidRPr="008A1DB4">
        <w:rPr>
          <w:spacing w:val="-2"/>
          <w:lang w:val="en-US"/>
        </w:rPr>
        <w:t xml:space="preserve">The </w:t>
      </w:r>
      <w:r w:rsidR="00FC5891" w:rsidRPr="008A1DB4">
        <w:rPr>
          <w:spacing w:val="-2"/>
          <w:lang w:val="en-US"/>
        </w:rPr>
        <w:t>extradition process</w:t>
      </w:r>
      <w:r w:rsidR="002D1CFC" w:rsidRPr="008A1DB4">
        <w:rPr>
          <w:spacing w:val="-2"/>
          <w:lang w:val="en-US"/>
        </w:rPr>
        <w:t xml:space="preserve"> in Peru</w:t>
      </w:r>
      <w:bookmarkEnd w:id="450"/>
      <w:bookmarkEnd w:id="451"/>
      <w:bookmarkEnd w:id="452"/>
      <w:bookmarkEnd w:id="453"/>
      <w:bookmarkEnd w:id="454"/>
      <w:bookmarkEnd w:id="455"/>
      <w:bookmarkEnd w:id="456"/>
      <w:bookmarkEnd w:id="457"/>
      <w:bookmarkEnd w:id="458"/>
      <w:bookmarkEnd w:id="459"/>
      <w:bookmarkEnd w:id="460"/>
      <w:bookmarkEnd w:id="461"/>
    </w:p>
    <w:p w14:paraId="66AF2EA5" w14:textId="77777777" w:rsidR="00FE32A6" w:rsidRPr="008A1DB4" w:rsidRDefault="00FE32A6" w:rsidP="00956E97">
      <w:pPr>
        <w:pStyle w:val="ListParagraph"/>
        <w:tabs>
          <w:tab w:val="left" w:pos="567"/>
        </w:tabs>
        <w:ind w:left="0"/>
        <w:rPr>
          <w:b/>
          <w:spacing w:val="-2"/>
          <w:lang w:val="en-US"/>
        </w:rPr>
      </w:pPr>
    </w:p>
    <w:p w14:paraId="699D6B7F" w14:textId="53091D4A" w:rsidR="00FE32A6" w:rsidRPr="008A1DB4" w:rsidRDefault="002D1CFC" w:rsidP="00956E97">
      <w:pPr>
        <w:pStyle w:val="PrrafodeSentencia"/>
        <w:rPr>
          <w:b/>
          <w:spacing w:val="-2"/>
          <w:lang w:val="en-US"/>
        </w:rPr>
      </w:pPr>
      <w:bookmarkStart w:id="462" w:name="_Ref401584914"/>
      <w:r w:rsidRPr="008A1DB4">
        <w:rPr>
          <w:spacing w:val="-2"/>
          <w:lang w:val="en-US"/>
        </w:rPr>
        <w:t>In Peru, extradition is carried out by means of “a joint procedure consisting of a jurisdictional stage and a political stage.</w:t>
      </w:r>
      <w:r w:rsidR="00FE32A6" w:rsidRPr="008A1DB4">
        <w:rPr>
          <w:spacing w:val="-2"/>
          <w:lang w:val="en-US"/>
        </w:rPr>
        <w:t>”</w:t>
      </w:r>
      <w:r w:rsidR="00FE32A6" w:rsidRPr="008A1DB4">
        <w:rPr>
          <w:rStyle w:val="FootnoteReference"/>
          <w:spacing w:val="-2"/>
          <w:lang w:val="en-US"/>
        </w:rPr>
        <w:footnoteReference w:id="42"/>
      </w:r>
      <w:r w:rsidR="00C00A61" w:rsidRPr="008A1DB4">
        <w:rPr>
          <w:spacing w:val="-2"/>
          <w:lang w:val="en-US"/>
        </w:rPr>
        <w:t xml:space="preserve"> </w:t>
      </w:r>
      <w:r w:rsidRPr="008A1DB4">
        <w:rPr>
          <w:spacing w:val="-2"/>
          <w:lang w:val="en-US"/>
        </w:rPr>
        <w:t>According to the Constitution</w:t>
      </w:r>
      <w:r w:rsidR="00FE32A6" w:rsidRPr="008A1DB4">
        <w:rPr>
          <w:spacing w:val="-2"/>
          <w:lang w:val="en-US"/>
        </w:rPr>
        <w:t xml:space="preserve">, </w:t>
      </w:r>
      <w:r w:rsidRPr="008A1DB4">
        <w:rPr>
          <w:spacing w:val="-2"/>
          <w:lang w:val="en-US"/>
        </w:rPr>
        <w:t>extradition</w:t>
      </w:r>
      <w:r w:rsidR="00FE32A6" w:rsidRPr="008A1DB4">
        <w:rPr>
          <w:spacing w:val="-2"/>
          <w:lang w:val="en-US"/>
        </w:rPr>
        <w:t xml:space="preserve"> </w:t>
      </w:r>
      <w:r w:rsidRPr="008A1DB4">
        <w:rPr>
          <w:spacing w:val="-2"/>
          <w:lang w:val="en-US"/>
        </w:rPr>
        <w:t xml:space="preserve">must be granted by </w:t>
      </w:r>
      <w:r w:rsidR="00B43F84" w:rsidRPr="008A1DB4">
        <w:rPr>
          <w:spacing w:val="-2"/>
          <w:lang w:val="en-US"/>
        </w:rPr>
        <w:t>the Executive Branch</w:t>
      </w:r>
      <w:r w:rsidRPr="008A1DB4">
        <w:rPr>
          <w:spacing w:val="-2"/>
          <w:lang w:val="en-US"/>
        </w:rPr>
        <w:t>.</w:t>
      </w:r>
      <w:r w:rsidR="00FE32A6" w:rsidRPr="008A1DB4">
        <w:rPr>
          <w:rStyle w:val="FootnoteReference"/>
          <w:spacing w:val="-2"/>
          <w:lang w:val="en-US"/>
        </w:rPr>
        <w:footnoteReference w:id="43"/>
      </w:r>
      <w:r w:rsidRPr="008A1DB4">
        <w:rPr>
          <w:spacing w:val="-2"/>
          <w:lang w:val="en-US"/>
        </w:rPr>
        <w:t xml:space="preserve"> To implement this constitutional provision, the </w:t>
      </w:r>
      <w:r w:rsidR="00B43F84" w:rsidRPr="008A1DB4">
        <w:rPr>
          <w:spacing w:val="-2"/>
          <w:lang w:val="en-US"/>
        </w:rPr>
        <w:t>Code of Criminal Procedure</w:t>
      </w:r>
      <w:r w:rsidR="00FE32A6" w:rsidRPr="008A1DB4">
        <w:rPr>
          <w:spacing w:val="-2"/>
          <w:lang w:val="en-US"/>
        </w:rPr>
        <w:t xml:space="preserve"> establ</w:t>
      </w:r>
      <w:r w:rsidRPr="008A1DB4">
        <w:rPr>
          <w:spacing w:val="-2"/>
          <w:lang w:val="en-US"/>
        </w:rPr>
        <w:t>ishes that the Government</w:t>
      </w:r>
      <w:r w:rsidR="00FE32A6" w:rsidRPr="008A1DB4">
        <w:rPr>
          <w:spacing w:val="-2"/>
          <w:lang w:val="en-US"/>
        </w:rPr>
        <w:t xml:space="preserve"> </w:t>
      </w:r>
      <w:r w:rsidRPr="008A1DB4">
        <w:rPr>
          <w:spacing w:val="-2"/>
          <w:lang w:val="en-US"/>
        </w:rPr>
        <w:t xml:space="preserve">will decide on extradition by means of a </w:t>
      </w:r>
      <w:r w:rsidR="00FE32A6" w:rsidRPr="008A1DB4">
        <w:rPr>
          <w:spacing w:val="-2"/>
          <w:lang w:val="en-US"/>
        </w:rPr>
        <w:t>“</w:t>
      </w:r>
      <w:r w:rsidRPr="008A1DB4">
        <w:rPr>
          <w:spacing w:val="-2"/>
          <w:lang w:val="en-US"/>
        </w:rPr>
        <w:t>supreme decision</w:t>
      </w:r>
      <w:r w:rsidR="00FE32A6" w:rsidRPr="008A1DB4">
        <w:rPr>
          <w:spacing w:val="-2"/>
          <w:lang w:val="en-US"/>
        </w:rPr>
        <w:t xml:space="preserve"> </w:t>
      </w:r>
      <w:r w:rsidRPr="008A1DB4">
        <w:rPr>
          <w:spacing w:val="-2"/>
          <w:lang w:val="en-US"/>
        </w:rPr>
        <w:t>issued with the agreement of the Council of Ministers</w:t>
      </w:r>
      <w:r w:rsidR="00FE32A6" w:rsidRPr="008A1DB4">
        <w:rPr>
          <w:spacing w:val="-2"/>
          <w:lang w:val="en-US"/>
        </w:rPr>
        <w:t xml:space="preserve">, </w:t>
      </w:r>
      <w:r w:rsidR="009D56A9">
        <w:rPr>
          <w:spacing w:val="-2"/>
          <w:lang w:val="en-US"/>
        </w:rPr>
        <w:t>following a report by</w:t>
      </w:r>
      <w:r w:rsidRPr="008A1DB4">
        <w:rPr>
          <w:spacing w:val="-2"/>
          <w:lang w:val="en-US"/>
        </w:rPr>
        <w:t xml:space="preserve"> an official commission presided by the Ministry of Justice and incorporating the Ministry of Foreign Affairs.” However, before the Government</w:t>
      </w:r>
      <w:r w:rsidR="00FE32A6" w:rsidRPr="008A1DB4">
        <w:rPr>
          <w:spacing w:val="-2"/>
          <w:lang w:val="en-US"/>
        </w:rPr>
        <w:t xml:space="preserve"> </w:t>
      </w:r>
      <w:r w:rsidRPr="008A1DB4">
        <w:rPr>
          <w:spacing w:val="-2"/>
          <w:lang w:val="en-US"/>
        </w:rPr>
        <w:t>decision,</w:t>
      </w:r>
      <w:r w:rsidR="00FE32A6" w:rsidRPr="008A1DB4">
        <w:rPr>
          <w:spacing w:val="-2"/>
          <w:lang w:val="en-US"/>
        </w:rPr>
        <w:t xml:space="preserve"> “</w:t>
      </w:r>
      <w:r w:rsidRPr="008A1DB4">
        <w:rPr>
          <w:spacing w:val="-2"/>
          <w:lang w:val="en-US"/>
        </w:rPr>
        <w:t>the Criminal Chamber</w:t>
      </w:r>
      <w:r w:rsidR="00F36400" w:rsidRPr="008A1DB4">
        <w:rPr>
          <w:spacing w:val="-2"/>
          <w:lang w:val="en-US"/>
        </w:rPr>
        <w:t xml:space="preserve"> of </w:t>
      </w:r>
      <w:r w:rsidR="00B67AC5" w:rsidRPr="008A1DB4">
        <w:rPr>
          <w:spacing w:val="-2"/>
          <w:lang w:val="en-US"/>
        </w:rPr>
        <w:t>the Supreme Court</w:t>
      </w:r>
      <w:r w:rsidRPr="008A1DB4">
        <w:rPr>
          <w:spacing w:val="-2"/>
          <w:lang w:val="en-US"/>
        </w:rPr>
        <w:t xml:space="preserve"> is required</w:t>
      </w:r>
      <w:r w:rsidR="009D56A9">
        <w:rPr>
          <w:spacing w:val="-2"/>
          <w:lang w:val="en-US"/>
        </w:rPr>
        <w:t xml:space="preserve"> to intervene</w:t>
      </w:r>
      <w:r w:rsidRPr="008A1DB4">
        <w:rPr>
          <w:spacing w:val="-2"/>
          <w:lang w:val="en-US"/>
        </w:rPr>
        <w:t xml:space="preserve"> to issue an advisory decision.” This</w:t>
      </w:r>
      <w:r w:rsidR="00FE32A6" w:rsidRPr="008A1DB4">
        <w:rPr>
          <w:spacing w:val="-2"/>
          <w:lang w:val="en-US"/>
        </w:rPr>
        <w:t xml:space="preserve"> </w:t>
      </w:r>
      <w:r w:rsidRPr="008A1DB4">
        <w:rPr>
          <w:spacing w:val="-2"/>
          <w:lang w:val="en-US"/>
        </w:rPr>
        <w:t>advisory decision</w:t>
      </w:r>
      <w:r w:rsidR="00FE32A6" w:rsidRPr="008A1DB4">
        <w:rPr>
          <w:spacing w:val="-2"/>
          <w:lang w:val="en-US"/>
        </w:rPr>
        <w:t xml:space="preserve"> </w:t>
      </w:r>
      <w:r w:rsidRPr="008A1DB4">
        <w:rPr>
          <w:spacing w:val="-2"/>
          <w:lang w:val="en-US"/>
        </w:rPr>
        <w:t>is binding “[w</w:t>
      </w:r>
      <w:r w:rsidR="00FE32A6" w:rsidRPr="008A1DB4">
        <w:rPr>
          <w:spacing w:val="-2"/>
          <w:lang w:val="en-US"/>
        </w:rPr>
        <w:t>]</w:t>
      </w:r>
      <w:r w:rsidRPr="008A1DB4">
        <w:rPr>
          <w:spacing w:val="-2"/>
          <w:lang w:val="en-US"/>
        </w:rPr>
        <w:t>hen the Criminal Chamber</w:t>
      </w:r>
      <w:r w:rsidR="00F36400" w:rsidRPr="008A1DB4">
        <w:rPr>
          <w:spacing w:val="-2"/>
          <w:lang w:val="en-US"/>
        </w:rPr>
        <w:t xml:space="preserve"> of </w:t>
      </w:r>
      <w:r w:rsidR="00B67AC5" w:rsidRPr="008A1DB4">
        <w:rPr>
          <w:spacing w:val="-2"/>
          <w:lang w:val="en-US"/>
        </w:rPr>
        <w:t>the Supreme Court</w:t>
      </w:r>
      <w:r w:rsidR="00FE32A6" w:rsidRPr="008A1DB4">
        <w:rPr>
          <w:spacing w:val="-2"/>
          <w:lang w:val="en-US"/>
        </w:rPr>
        <w:t xml:space="preserve"> </w:t>
      </w:r>
      <w:r w:rsidRPr="008A1DB4">
        <w:rPr>
          <w:spacing w:val="-2"/>
          <w:lang w:val="en-US"/>
        </w:rPr>
        <w:t>issues an advisory decision</w:t>
      </w:r>
      <w:r w:rsidR="00FE32A6" w:rsidRPr="008A1DB4">
        <w:rPr>
          <w:spacing w:val="-2"/>
          <w:lang w:val="en-US"/>
        </w:rPr>
        <w:t xml:space="preserve"> </w:t>
      </w:r>
      <w:r w:rsidR="009D56A9">
        <w:rPr>
          <w:spacing w:val="-2"/>
          <w:lang w:val="en-US"/>
        </w:rPr>
        <w:t>contrary to</w:t>
      </w:r>
      <w:r w:rsidR="00FE32A6" w:rsidRPr="008A1DB4">
        <w:rPr>
          <w:spacing w:val="-2"/>
          <w:lang w:val="en-US"/>
        </w:rPr>
        <w:t xml:space="preserve"> </w:t>
      </w:r>
      <w:r w:rsidRPr="008A1DB4">
        <w:rPr>
          <w:spacing w:val="-2"/>
          <w:lang w:val="en-US"/>
        </w:rPr>
        <w:t xml:space="preserve">extradition,” but only advisory when it is </w:t>
      </w:r>
      <w:r w:rsidR="00FE32A6" w:rsidRPr="008A1DB4">
        <w:rPr>
          <w:spacing w:val="-2"/>
          <w:lang w:val="en-US"/>
        </w:rPr>
        <w:t xml:space="preserve">“favorable </w:t>
      </w:r>
      <w:r w:rsidRPr="008A1DB4">
        <w:rPr>
          <w:spacing w:val="-2"/>
          <w:lang w:val="en-US"/>
        </w:rPr>
        <w:t>to the return or con</w:t>
      </w:r>
      <w:r w:rsidR="009D56A9">
        <w:rPr>
          <w:spacing w:val="-2"/>
          <w:lang w:val="en-US"/>
        </w:rPr>
        <w:t>siders it in order to request</w:t>
      </w:r>
      <w:r w:rsidRPr="008A1DB4">
        <w:rPr>
          <w:spacing w:val="-2"/>
          <w:lang w:val="en-US"/>
        </w:rPr>
        <w:t xml:space="preserve"> a foreign country</w:t>
      </w:r>
      <w:r w:rsidR="009D56A9">
        <w:rPr>
          <w:spacing w:val="-2"/>
          <w:lang w:val="en-US"/>
        </w:rPr>
        <w:t xml:space="preserve"> to grant an extradition</w:t>
      </w:r>
      <w:r w:rsidRPr="008A1DB4">
        <w:rPr>
          <w:spacing w:val="-2"/>
          <w:lang w:val="en-US"/>
        </w:rPr>
        <w:t xml:space="preserve">,” so that </w:t>
      </w:r>
      <w:r w:rsidR="00FE32A6" w:rsidRPr="008A1DB4">
        <w:rPr>
          <w:spacing w:val="-2"/>
          <w:lang w:val="en-US"/>
        </w:rPr>
        <w:t>“</w:t>
      </w:r>
      <w:r w:rsidRPr="008A1DB4">
        <w:rPr>
          <w:spacing w:val="-2"/>
          <w:lang w:val="en-US"/>
        </w:rPr>
        <w:t>the Government</w:t>
      </w:r>
      <w:r w:rsidR="00FE32A6" w:rsidRPr="008A1DB4">
        <w:rPr>
          <w:spacing w:val="-2"/>
          <w:lang w:val="en-US"/>
        </w:rPr>
        <w:t xml:space="preserve"> </w:t>
      </w:r>
      <w:r w:rsidRPr="008A1DB4">
        <w:rPr>
          <w:spacing w:val="-2"/>
          <w:lang w:val="en-US"/>
        </w:rPr>
        <w:t>may take the appropriate decision.</w:t>
      </w:r>
      <w:r w:rsidR="00FE32A6" w:rsidRPr="008A1DB4">
        <w:rPr>
          <w:spacing w:val="-2"/>
          <w:lang w:val="en-US"/>
        </w:rPr>
        <w:t>”</w:t>
      </w:r>
      <w:r w:rsidR="00FE32A6" w:rsidRPr="008A1DB4">
        <w:rPr>
          <w:rStyle w:val="FootnoteReference"/>
          <w:rFonts w:cs="Callibri"/>
          <w:spacing w:val="-2"/>
          <w:sz w:val="18"/>
          <w:szCs w:val="18"/>
          <w:lang w:val="en-US"/>
        </w:rPr>
        <w:footnoteReference w:id="44"/>
      </w:r>
      <w:bookmarkEnd w:id="462"/>
    </w:p>
    <w:p w14:paraId="5731D521" w14:textId="77777777" w:rsidR="00FE32A6" w:rsidRPr="008A1DB4" w:rsidRDefault="00FE32A6" w:rsidP="00956E97">
      <w:pPr>
        <w:pStyle w:val="ListParagraph"/>
        <w:tabs>
          <w:tab w:val="left" w:pos="567"/>
        </w:tabs>
        <w:ind w:left="0"/>
        <w:rPr>
          <w:b/>
          <w:spacing w:val="-2"/>
          <w:lang w:val="en-US"/>
        </w:rPr>
      </w:pPr>
    </w:p>
    <w:p w14:paraId="2DCA45B4" w14:textId="1B1AD5FA" w:rsidR="00FE32A6" w:rsidRPr="008A1DB4" w:rsidRDefault="002D1CFC" w:rsidP="00FC5891">
      <w:pPr>
        <w:pStyle w:val="PrrafodeSentencia"/>
        <w:rPr>
          <w:spacing w:val="-2"/>
          <w:lang w:val="en-US"/>
        </w:rPr>
      </w:pPr>
      <w:r w:rsidRPr="008A1DB4">
        <w:rPr>
          <w:spacing w:val="-2"/>
          <w:lang w:val="en-US"/>
        </w:rPr>
        <w:t xml:space="preserve">However, domestic law conditions </w:t>
      </w:r>
      <w:r w:rsidR="00FC5891" w:rsidRPr="008A1DB4">
        <w:rPr>
          <w:spacing w:val="-2"/>
          <w:lang w:val="en-US"/>
        </w:rPr>
        <w:t xml:space="preserve">the </w:t>
      </w:r>
      <w:r w:rsidRPr="008A1DB4">
        <w:rPr>
          <w:spacing w:val="-2"/>
          <w:lang w:val="en-US"/>
        </w:rPr>
        <w:t xml:space="preserve">granting </w:t>
      </w:r>
      <w:r w:rsidR="00FC5891" w:rsidRPr="008A1DB4">
        <w:rPr>
          <w:spacing w:val="-2"/>
          <w:lang w:val="en-US"/>
        </w:rPr>
        <w:t xml:space="preserve">of </w:t>
      </w:r>
      <w:r w:rsidRPr="008A1DB4">
        <w:rPr>
          <w:spacing w:val="-2"/>
          <w:lang w:val="en-US"/>
        </w:rPr>
        <w:t xml:space="preserve">extradition “to the existence of </w:t>
      </w:r>
      <w:r w:rsidR="009D56A9">
        <w:rPr>
          <w:spacing w:val="-2"/>
          <w:lang w:val="en-US"/>
        </w:rPr>
        <w:t>assurances</w:t>
      </w:r>
      <w:r w:rsidRPr="008A1DB4">
        <w:rPr>
          <w:spacing w:val="-2"/>
          <w:lang w:val="en-US"/>
        </w:rPr>
        <w:t xml:space="preserve"> that justice will be imparted correctly in the Requesting State” and that it </w:t>
      </w:r>
      <w:r w:rsidR="00FC5891" w:rsidRPr="008A1DB4">
        <w:rPr>
          <w:spacing w:val="-2"/>
          <w:lang w:val="en-US"/>
        </w:rPr>
        <w:t>does not have</w:t>
      </w:r>
      <w:r w:rsidRPr="008A1DB4">
        <w:rPr>
          <w:spacing w:val="-2"/>
          <w:lang w:val="en-US"/>
        </w:rPr>
        <w:t xml:space="preserve"> “political implications” for a third State. In addition, among the </w:t>
      </w:r>
      <w:r w:rsidR="00FC5891" w:rsidRPr="008A1DB4">
        <w:rPr>
          <w:spacing w:val="-2"/>
          <w:lang w:val="en-US"/>
        </w:rPr>
        <w:t>reasons for</w:t>
      </w:r>
      <w:r w:rsidRPr="008A1DB4">
        <w:rPr>
          <w:spacing w:val="-2"/>
          <w:lang w:val="en-US"/>
        </w:rPr>
        <w:t xml:space="preserve"> reject</w:t>
      </w:r>
      <w:r w:rsidR="00FC5891" w:rsidRPr="008A1DB4">
        <w:rPr>
          <w:spacing w:val="-2"/>
          <w:lang w:val="en-US"/>
        </w:rPr>
        <w:t>ing</w:t>
      </w:r>
      <w:r w:rsidRPr="008A1DB4">
        <w:rPr>
          <w:spacing w:val="-2"/>
          <w:lang w:val="en-US"/>
        </w:rPr>
        <w:t xml:space="preserve"> a request for extradition</w:t>
      </w:r>
      <w:r w:rsidR="00FC5891" w:rsidRPr="008A1DB4">
        <w:rPr>
          <w:spacing w:val="-2"/>
          <w:lang w:val="en-US"/>
        </w:rPr>
        <w:t>, the procedural norm establishes</w:t>
      </w:r>
      <w:r w:rsidRPr="008A1DB4">
        <w:rPr>
          <w:spacing w:val="-2"/>
          <w:lang w:val="en-US"/>
        </w:rPr>
        <w:t xml:space="preserve"> that extradition </w:t>
      </w:r>
      <w:r w:rsidR="009D56A9">
        <w:rPr>
          <w:spacing w:val="-2"/>
          <w:lang w:val="en-US"/>
        </w:rPr>
        <w:t>shall</w:t>
      </w:r>
      <w:r w:rsidRPr="008A1DB4">
        <w:rPr>
          <w:spacing w:val="-2"/>
          <w:lang w:val="en-US"/>
        </w:rPr>
        <w:t xml:space="preserve"> not be</w:t>
      </w:r>
      <w:r w:rsidR="009D56A9">
        <w:rPr>
          <w:spacing w:val="-2"/>
          <w:lang w:val="en-US"/>
        </w:rPr>
        <w:t xml:space="preserve"> granted when “the act on </w:t>
      </w:r>
      <w:r w:rsidR="009D56A9">
        <w:rPr>
          <w:spacing w:val="-2"/>
          <w:lang w:val="en-US"/>
        </w:rPr>
        <w:lastRenderedPageBreak/>
        <w:t xml:space="preserve">which the process is founded </w:t>
      </w:r>
      <w:r w:rsidRPr="008A1DB4">
        <w:rPr>
          <w:spacing w:val="-2"/>
          <w:lang w:val="en-US"/>
        </w:rPr>
        <w:t>does</w:t>
      </w:r>
      <w:r w:rsidR="009D56A9">
        <w:rPr>
          <w:spacing w:val="-2"/>
          <w:lang w:val="en-US"/>
        </w:rPr>
        <w:t xml:space="preserve"> not constitute an offense </w:t>
      </w:r>
      <w:r w:rsidRPr="008A1DB4">
        <w:rPr>
          <w:spacing w:val="-2"/>
          <w:lang w:val="en-US"/>
        </w:rPr>
        <w:t>in</w:t>
      </w:r>
      <w:r w:rsidR="009D56A9">
        <w:rPr>
          <w:spacing w:val="-2"/>
          <w:lang w:val="en-US"/>
        </w:rPr>
        <w:t xml:space="preserve"> either the requesting State or</w:t>
      </w:r>
      <w:r w:rsidRPr="008A1DB4">
        <w:rPr>
          <w:spacing w:val="-2"/>
          <w:lang w:val="en-US"/>
        </w:rPr>
        <w:t xml:space="preserve"> Peru, and if</w:t>
      </w:r>
      <w:r w:rsidR="00FC5891" w:rsidRPr="008A1DB4">
        <w:rPr>
          <w:spacing w:val="-2"/>
          <w:lang w:val="en-US"/>
        </w:rPr>
        <w:t xml:space="preserve"> neither legislation establishes a criminal sanction of any kind, equal to</w:t>
      </w:r>
      <w:r w:rsidR="009D56A9">
        <w:rPr>
          <w:spacing w:val="-2"/>
          <w:lang w:val="en-US"/>
        </w:rPr>
        <w:t>,</w:t>
      </w:r>
      <w:r w:rsidR="00FC5891" w:rsidRPr="008A1DB4">
        <w:rPr>
          <w:spacing w:val="-2"/>
          <w:lang w:val="en-US"/>
        </w:rPr>
        <w:t xml:space="preserve"> or in excess of</w:t>
      </w:r>
      <w:r w:rsidR="009D56A9">
        <w:rPr>
          <w:spacing w:val="-2"/>
          <w:lang w:val="en-US"/>
        </w:rPr>
        <w:t>,</w:t>
      </w:r>
      <w:r w:rsidR="00FC5891" w:rsidRPr="008A1DB4">
        <w:rPr>
          <w:spacing w:val="-2"/>
          <w:lang w:val="en-US"/>
        </w:rPr>
        <w:t xml:space="preserve"> one year’s imprisonment,” or when “[t]he offense for which extradition is requested is punishable by the death penalty in the requesting State and the latter has not provided assurances that this will not be applicable.</w:t>
      </w:r>
      <w:r w:rsidR="00FE32A6" w:rsidRPr="008A1DB4">
        <w:rPr>
          <w:spacing w:val="-2"/>
          <w:lang w:val="en-US"/>
        </w:rPr>
        <w:t>”</w:t>
      </w:r>
      <w:r w:rsidR="00FE32A6" w:rsidRPr="008A1DB4">
        <w:rPr>
          <w:rStyle w:val="FootnoteReference"/>
          <w:rFonts w:cs="Callibri"/>
          <w:spacing w:val="-2"/>
          <w:lang w:val="en-US"/>
        </w:rPr>
        <w:footnoteReference w:id="45"/>
      </w:r>
      <w:r w:rsidR="00FE32A6" w:rsidRPr="008A1DB4">
        <w:rPr>
          <w:spacing w:val="-2"/>
          <w:lang w:val="en-US"/>
        </w:rPr>
        <w:t xml:space="preserve"> </w:t>
      </w:r>
    </w:p>
    <w:p w14:paraId="43E0E7C0" w14:textId="77777777" w:rsidR="00FE32A6" w:rsidRPr="008A1DB4" w:rsidRDefault="00FE32A6" w:rsidP="00956E97">
      <w:pPr>
        <w:pStyle w:val="ListParagraph"/>
        <w:tabs>
          <w:tab w:val="left" w:pos="567"/>
        </w:tabs>
        <w:ind w:left="0"/>
        <w:rPr>
          <w:b/>
          <w:spacing w:val="-2"/>
          <w:lang w:val="en-US"/>
        </w:rPr>
      </w:pPr>
    </w:p>
    <w:p w14:paraId="26279707" w14:textId="2FE7B070" w:rsidR="00FE32A6" w:rsidRPr="008A1DB4" w:rsidRDefault="00FC5891" w:rsidP="00FC5891">
      <w:pPr>
        <w:pStyle w:val="PrrafodeSentencia"/>
        <w:rPr>
          <w:b/>
          <w:spacing w:val="-2"/>
          <w:lang w:val="en-US"/>
        </w:rPr>
      </w:pPr>
      <w:bookmarkStart w:id="463" w:name="_Ref401755433"/>
      <w:r w:rsidRPr="008A1DB4">
        <w:rPr>
          <w:spacing w:val="-2"/>
          <w:lang w:val="en-US"/>
        </w:rPr>
        <w:t>In addition, regarding the procedure to be followed, Peruvian procedural law establishes that, once the person whose extradition has been requested has been detained, a preliminary investigation judge will take a statement. In this statement, the person</w:t>
      </w:r>
      <w:r w:rsidR="009D56A9">
        <w:rPr>
          <w:spacing w:val="-2"/>
          <w:lang w:val="en-US"/>
        </w:rPr>
        <w:t xml:space="preserve"> sought</w:t>
      </w:r>
      <w:r w:rsidR="00FE32A6" w:rsidRPr="008A1DB4">
        <w:rPr>
          <w:spacing w:val="-2"/>
          <w:lang w:val="en-US"/>
        </w:rPr>
        <w:t xml:space="preserve"> “</w:t>
      </w:r>
      <w:r w:rsidRPr="008A1DB4">
        <w:rPr>
          <w:spacing w:val="-2"/>
          <w:lang w:val="en-US"/>
        </w:rPr>
        <w:t xml:space="preserve">may state whatever he considers appropriate.” Subsequently, within no more than 15 days, a public hearing must be convened where evidence and arguments are presented in favor of or against extradition, and the individual </w:t>
      </w:r>
      <w:r w:rsidR="009D56A9">
        <w:rPr>
          <w:spacing w:val="-2"/>
          <w:lang w:val="en-US"/>
        </w:rPr>
        <w:t xml:space="preserve">sought </w:t>
      </w:r>
      <w:r w:rsidRPr="008A1DB4">
        <w:rPr>
          <w:spacing w:val="-2"/>
          <w:lang w:val="en-US"/>
        </w:rPr>
        <w:t xml:space="preserve">may again make a statement “if he finds this appropriate.” Following this hearing, the file is </w:t>
      </w:r>
      <w:r w:rsidR="00145818" w:rsidRPr="008A1DB4">
        <w:rPr>
          <w:spacing w:val="-2"/>
          <w:lang w:val="en-US"/>
        </w:rPr>
        <w:t xml:space="preserve">referred </w:t>
      </w:r>
      <w:r w:rsidRPr="008A1DB4">
        <w:rPr>
          <w:spacing w:val="-2"/>
          <w:lang w:val="en-US"/>
        </w:rPr>
        <w:t xml:space="preserve">to the consideration </w:t>
      </w:r>
      <w:r w:rsidR="002D1CFC" w:rsidRPr="008A1DB4">
        <w:rPr>
          <w:spacing w:val="-2"/>
          <w:lang w:val="en-US"/>
        </w:rPr>
        <w:t>of the Criminal Chamber</w:t>
      </w:r>
      <w:r w:rsidR="00F36400" w:rsidRPr="008A1DB4">
        <w:rPr>
          <w:spacing w:val="-2"/>
          <w:lang w:val="en-US"/>
        </w:rPr>
        <w:t xml:space="preserve"> of </w:t>
      </w:r>
      <w:r w:rsidR="00B67AC5" w:rsidRPr="008A1DB4">
        <w:rPr>
          <w:spacing w:val="-2"/>
          <w:lang w:val="en-US"/>
        </w:rPr>
        <w:t>the Supreme Court</w:t>
      </w:r>
      <w:r w:rsidR="00FE32A6" w:rsidRPr="008A1DB4">
        <w:rPr>
          <w:spacing w:val="-2"/>
          <w:lang w:val="en-US"/>
        </w:rPr>
        <w:t xml:space="preserve">, </w:t>
      </w:r>
      <w:r w:rsidRPr="008A1DB4">
        <w:rPr>
          <w:spacing w:val="-2"/>
          <w:lang w:val="en-US"/>
        </w:rPr>
        <w:t xml:space="preserve">which must issue the </w:t>
      </w:r>
      <w:r w:rsidR="002D1CFC" w:rsidRPr="008A1DB4">
        <w:rPr>
          <w:spacing w:val="-2"/>
          <w:lang w:val="en-US"/>
        </w:rPr>
        <w:t>advisory decision</w:t>
      </w:r>
      <w:r w:rsidR="00FE32A6" w:rsidRPr="008A1DB4">
        <w:rPr>
          <w:spacing w:val="-2"/>
          <w:lang w:val="en-US"/>
        </w:rPr>
        <w:t xml:space="preserve"> (</w:t>
      </w:r>
      <w:r w:rsidR="00FE32A6" w:rsidRPr="008A1DB4">
        <w:rPr>
          <w:i/>
          <w:spacing w:val="-2"/>
          <w:lang w:val="en-US"/>
        </w:rPr>
        <w:t>supra</w:t>
      </w:r>
      <w:r w:rsidR="00FE32A6" w:rsidRPr="008A1DB4">
        <w:rPr>
          <w:spacing w:val="-2"/>
          <w:lang w:val="en-US"/>
        </w:rPr>
        <w:t xml:space="preserve">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_Ref401584914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57</w:t>
      </w:r>
      <w:r w:rsidR="00FE32A6" w:rsidRPr="008A1DB4">
        <w:rPr>
          <w:spacing w:val="-2"/>
          <w:lang w:val="en-US"/>
        </w:rPr>
        <w:fldChar w:fldCharType="end"/>
      </w:r>
      <w:r w:rsidR="00FE32A6" w:rsidRPr="008A1DB4">
        <w:rPr>
          <w:spacing w:val="-2"/>
          <w:lang w:val="en-US"/>
        </w:rPr>
        <w:t xml:space="preserve">). </w:t>
      </w:r>
      <w:r w:rsidRPr="008A1DB4">
        <w:rPr>
          <w:spacing w:val="-2"/>
          <w:lang w:val="en-US"/>
        </w:rPr>
        <w:t xml:space="preserve">When it has received the case file, and before forwarded it to the parties, </w:t>
      </w:r>
      <w:r w:rsidR="002D1CFC" w:rsidRPr="008A1DB4">
        <w:rPr>
          <w:spacing w:val="-2"/>
          <w:lang w:val="en-US"/>
        </w:rPr>
        <w:t>the Criminal Chamber</w:t>
      </w:r>
      <w:r w:rsidR="00FE32A6" w:rsidRPr="008A1DB4">
        <w:rPr>
          <w:spacing w:val="-2"/>
          <w:lang w:val="en-US"/>
        </w:rPr>
        <w:t xml:space="preserve"> </w:t>
      </w:r>
      <w:r w:rsidRPr="008A1DB4">
        <w:rPr>
          <w:spacing w:val="-2"/>
          <w:lang w:val="en-US"/>
        </w:rPr>
        <w:t>will convene an extradition hearing, following which it issue</w:t>
      </w:r>
      <w:r w:rsidR="009D56A9">
        <w:rPr>
          <w:spacing w:val="-2"/>
          <w:lang w:val="en-US"/>
        </w:rPr>
        <w:t>s</w:t>
      </w:r>
      <w:r w:rsidRPr="008A1DB4">
        <w:rPr>
          <w:spacing w:val="-2"/>
          <w:lang w:val="en-US"/>
        </w:rPr>
        <w:t xml:space="preserve"> the corresponding </w:t>
      </w:r>
      <w:r w:rsidR="002D1CFC" w:rsidRPr="008A1DB4">
        <w:rPr>
          <w:spacing w:val="-2"/>
          <w:lang w:val="en-US"/>
        </w:rPr>
        <w:t>advisory decision</w:t>
      </w:r>
      <w:r w:rsidR="00FE32A6" w:rsidRPr="008A1DB4">
        <w:rPr>
          <w:spacing w:val="-2"/>
          <w:lang w:val="en-US"/>
        </w:rPr>
        <w:t xml:space="preserve"> </w:t>
      </w:r>
      <w:r w:rsidRPr="008A1DB4">
        <w:rPr>
          <w:spacing w:val="-2"/>
          <w:lang w:val="en-US"/>
        </w:rPr>
        <w:t xml:space="preserve">within five days at the most. Three days after this decision has been notified to the parties, </w:t>
      </w:r>
      <w:r w:rsidR="002D1CFC" w:rsidRPr="008A1DB4">
        <w:rPr>
          <w:spacing w:val="-2"/>
          <w:lang w:val="en-US"/>
        </w:rPr>
        <w:t>the Criminal Chamber</w:t>
      </w:r>
      <w:r w:rsidR="00FE32A6" w:rsidRPr="008A1DB4">
        <w:rPr>
          <w:spacing w:val="-2"/>
          <w:lang w:val="en-US"/>
        </w:rPr>
        <w:t xml:space="preserve"> </w:t>
      </w:r>
      <w:r w:rsidR="009D56A9">
        <w:rPr>
          <w:spacing w:val="-2"/>
          <w:lang w:val="en-US"/>
        </w:rPr>
        <w:t>must</w:t>
      </w:r>
      <w:r w:rsidRPr="008A1DB4">
        <w:rPr>
          <w:spacing w:val="-2"/>
          <w:lang w:val="en-US"/>
        </w:rPr>
        <w:t xml:space="preserve"> forward it to the Ministry of Justice and, as of this moment, the second stage of the procedure commences before </w:t>
      </w:r>
      <w:r w:rsidR="00B43F84" w:rsidRPr="008A1DB4">
        <w:rPr>
          <w:spacing w:val="-2"/>
          <w:lang w:val="en-US"/>
        </w:rPr>
        <w:t>the Executive Branch</w:t>
      </w:r>
      <w:r w:rsidRPr="008A1DB4">
        <w:rPr>
          <w:spacing w:val="-2"/>
          <w:lang w:val="en-US"/>
        </w:rPr>
        <w:t>.</w:t>
      </w:r>
      <w:r w:rsidR="00FE32A6" w:rsidRPr="008A1DB4">
        <w:rPr>
          <w:rStyle w:val="FootnoteReference"/>
          <w:spacing w:val="-2"/>
          <w:lang w:val="en-US"/>
        </w:rPr>
        <w:footnoteReference w:id="46"/>
      </w:r>
      <w:r w:rsidRPr="008A1DB4">
        <w:rPr>
          <w:spacing w:val="-2"/>
          <w:lang w:val="en-US"/>
        </w:rPr>
        <w:t xml:space="preserve"> The rules relating to </w:t>
      </w:r>
      <w:r w:rsidR="002D1CFC" w:rsidRPr="008A1DB4">
        <w:rPr>
          <w:spacing w:val="-2"/>
          <w:lang w:val="en-US"/>
        </w:rPr>
        <w:t xml:space="preserve">the </w:t>
      </w:r>
      <w:r w:rsidRPr="008A1DB4">
        <w:rPr>
          <w:spacing w:val="-2"/>
          <w:lang w:val="en-US"/>
        </w:rPr>
        <w:t>extradition process</w:t>
      </w:r>
      <w:r w:rsidR="002D1CFC" w:rsidRPr="008A1DB4">
        <w:rPr>
          <w:spacing w:val="-2"/>
          <w:lang w:val="en-US"/>
        </w:rPr>
        <w:t xml:space="preserve"> in Peru</w:t>
      </w:r>
      <w:r w:rsidR="00FE32A6" w:rsidRPr="008A1DB4">
        <w:rPr>
          <w:spacing w:val="-2"/>
          <w:lang w:val="en-US"/>
        </w:rPr>
        <w:t xml:space="preserve"> </w:t>
      </w:r>
      <w:r w:rsidRPr="008A1DB4">
        <w:rPr>
          <w:spacing w:val="-2"/>
          <w:lang w:val="en-US"/>
        </w:rPr>
        <w:t>are described in greater detail in the corresponding chapters</w:t>
      </w:r>
      <w:r w:rsidR="00FE32A6" w:rsidRPr="008A1DB4">
        <w:rPr>
          <w:spacing w:val="-2"/>
          <w:lang w:val="en-US"/>
        </w:rPr>
        <w:t xml:space="preserve"> (</w:t>
      </w:r>
      <w:r w:rsidR="00FE32A6" w:rsidRPr="008A1DB4">
        <w:rPr>
          <w:i/>
          <w:spacing w:val="-2"/>
          <w:lang w:val="en-US"/>
        </w:rPr>
        <w:t>infra</w:t>
      </w:r>
      <w:bookmarkStart w:id="464" w:name="_Ref401584899"/>
      <w:r w:rsidR="00FE32A6" w:rsidRPr="008A1DB4">
        <w:rPr>
          <w:spacing w:val="-2"/>
          <w:lang w:val="en-US"/>
        </w:rPr>
        <w:t xml:space="preserve"> </w:t>
      </w:r>
      <w:r w:rsidR="00631F9C" w:rsidRPr="008A1DB4">
        <w:rPr>
          <w:spacing w:val="-2"/>
          <w:lang w:val="en-US"/>
        </w:rPr>
        <w:t>paras.</w:t>
      </w:r>
      <w:r w:rsidR="00FE32A6" w:rsidRPr="008A1DB4">
        <w:rPr>
          <w:spacing w:val="-2"/>
          <w:lang w:val="en-US"/>
        </w:rPr>
        <w:t xml:space="preserve"> </w:t>
      </w:r>
      <w:r w:rsidR="00305F9C" w:rsidRPr="008A1DB4">
        <w:rPr>
          <w:spacing w:val="-2"/>
          <w:lang w:val="en-US"/>
        </w:rPr>
        <w:fldChar w:fldCharType="begin"/>
      </w:r>
      <w:r w:rsidR="00305F9C" w:rsidRPr="008A1DB4">
        <w:rPr>
          <w:spacing w:val="-2"/>
          <w:lang w:val="en-US"/>
        </w:rPr>
        <w:instrText xml:space="preserve"> REF _Ref429143908 \r \h </w:instrText>
      </w:r>
      <w:r w:rsidR="00DC41F4" w:rsidRPr="008A1DB4">
        <w:rPr>
          <w:spacing w:val="-2"/>
          <w:lang w:val="en-US"/>
        </w:rPr>
        <w:instrText xml:space="preserve"> \* MERGEFORMAT </w:instrText>
      </w:r>
      <w:r w:rsidR="00305F9C" w:rsidRPr="008A1DB4">
        <w:rPr>
          <w:spacing w:val="-2"/>
          <w:lang w:val="en-US"/>
        </w:rPr>
      </w:r>
      <w:r w:rsidR="00305F9C" w:rsidRPr="008A1DB4">
        <w:rPr>
          <w:spacing w:val="-2"/>
          <w:lang w:val="en-US"/>
        </w:rPr>
        <w:fldChar w:fldCharType="separate"/>
      </w:r>
      <w:r w:rsidR="00E961FA" w:rsidRPr="008A1DB4">
        <w:rPr>
          <w:spacing w:val="-2"/>
          <w:lang w:val="en-US"/>
        </w:rPr>
        <w:t>137</w:t>
      </w:r>
      <w:r w:rsidR="00305F9C" w:rsidRPr="008A1DB4">
        <w:rPr>
          <w:spacing w:val="-2"/>
          <w:lang w:val="en-US"/>
        </w:rPr>
        <w:fldChar w:fldCharType="end"/>
      </w:r>
      <w:r w:rsidR="00305F9C"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_Ref419386506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138</w:t>
      </w:r>
      <w:r w:rsidR="00FE32A6" w:rsidRPr="008A1DB4">
        <w:rPr>
          <w:spacing w:val="-2"/>
          <w:lang w:val="en-US"/>
        </w:rPr>
        <w:fldChar w:fldCharType="end"/>
      </w:r>
      <w:r w:rsidR="00F36400" w:rsidRPr="008A1DB4">
        <w:rPr>
          <w:spacing w:val="-2"/>
          <w:lang w:val="en-US"/>
        </w:rPr>
        <w:t xml:space="preserve"> and </w:t>
      </w:r>
      <w:r w:rsidR="00FE32A6" w:rsidRPr="008A1DB4">
        <w:rPr>
          <w:spacing w:val="-2"/>
          <w:lang w:val="en-US"/>
        </w:rPr>
        <w:fldChar w:fldCharType="begin"/>
      </w:r>
      <w:r w:rsidR="00FE32A6" w:rsidRPr="008A1DB4">
        <w:rPr>
          <w:spacing w:val="-2"/>
          <w:lang w:val="en-US"/>
        </w:rPr>
        <w:instrText xml:space="preserve"> REF _Ref419386564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240</w:t>
      </w:r>
      <w:r w:rsidR="00FE32A6" w:rsidRPr="008A1DB4">
        <w:rPr>
          <w:spacing w:val="-2"/>
          <w:lang w:val="en-US"/>
        </w:rPr>
        <w:fldChar w:fldCharType="end"/>
      </w:r>
      <w:r w:rsidRPr="008A1DB4">
        <w:rPr>
          <w:spacing w:val="-2"/>
          <w:lang w:val="en-US"/>
        </w:rPr>
        <w:t xml:space="preserve"> to</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_Ref419386574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242</w:t>
      </w:r>
      <w:r w:rsidR="00FE32A6" w:rsidRPr="008A1DB4">
        <w:rPr>
          <w:spacing w:val="-2"/>
          <w:lang w:val="en-US"/>
        </w:rPr>
        <w:fldChar w:fldCharType="end"/>
      </w:r>
      <w:r w:rsidR="00FE32A6" w:rsidRPr="008A1DB4">
        <w:rPr>
          <w:spacing w:val="-2"/>
          <w:lang w:val="en-US"/>
        </w:rPr>
        <w:t>).</w:t>
      </w:r>
      <w:bookmarkEnd w:id="463"/>
      <w:bookmarkEnd w:id="464"/>
    </w:p>
    <w:p w14:paraId="57D9BF0F" w14:textId="77777777" w:rsidR="00FE32A6" w:rsidRPr="008A1DB4" w:rsidRDefault="00FE32A6" w:rsidP="00956E97">
      <w:pPr>
        <w:pStyle w:val="ListParagraph"/>
        <w:tabs>
          <w:tab w:val="left" w:pos="720"/>
        </w:tabs>
        <w:ind w:left="0"/>
        <w:rPr>
          <w:rFonts w:cs="Callibri"/>
          <w:spacing w:val="-2"/>
          <w:szCs w:val="20"/>
          <w:lang w:val="en-US"/>
        </w:rPr>
      </w:pPr>
    </w:p>
    <w:p w14:paraId="57838248" w14:textId="75DCD524" w:rsidR="00FE32A6" w:rsidRPr="008A1DB4" w:rsidRDefault="00FE32A6" w:rsidP="00956E97">
      <w:pPr>
        <w:pStyle w:val="Heading1"/>
        <w:rPr>
          <w:spacing w:val="-2"/>
          <w:lang w:val="en-US"/>
        </w:rPr>
      </w:pPr>
      <w:bookmarkStart w:id="465" w:name="_Toc418912606"/>
      <w:bookmarkStart w:id="466" w:name="_Toc419394390"/>
      <w:bookmarkStart w:id="467" w:name="_Toc419470156"/>
      <w:bookmarkStart w:id="468" w:name="_Toc429490256"/>
      <w:bookmarkStart w:id="469" w:name="_Toc429503768"/>
      <w:bookmarkStart w:id="470" w:name="_Toc429504274"/>
      <w:bookmarkStart w:id="471" w:name="_Toc429677987"/>
      <w:bookmarkStart w:id="472" w:name="_Toc430017150"/>
      <w:bookmarkStart w:id="473" w:name="_Toc430017379"/>
      <w:bookmarkStart w:id="474" w:name="_Toc430018661"/>
      <w:bookmarkStart w:id="475" w:name="_Toc430125259"/>
      <w:bookmarkStart w:id="476" w:name="_Toc430125367"/>
      <w:r w:rsidRPr="008A1DB4">
        <w:rPr>
          <w:spacing w:val="-2"/>
          <w:lang w:val="en-US"/>
        </w:rPr>
        <w:t xml:space="preserve">C. </w:t>
      </w:r>
      <w:r w:rsidR="00FC5891" w:rsidRPr="008A1DB4">
        <w:rPr>
          <w:spacing w:val="-2"/>
          <w:lang w:val="en-US"/>
        </w:rPr>
        <w:t>The extradition process</w:t>
      </w:r>
      <w:r w:rsidR="00D870E1">
        <w:rPr>
          <w:spacing w:val="-2"/>
          <w:lang w:val="en-US"/>
        </w:rPr>
        <w:t xml:space="preserve"> in the case of </w:t>
      </w:r>
      <w:r w:rsidR="00B43F84" w:rsidRPr="008A1DB4">
        <w:rPr>
          <w:spacing w:val="-2"/>
          <w:lang w:val="en-US"/>
        </w:rPr>
        <w:t>Wong</w:t>
      </w:r>
      <w:r w:rsidRPr="008A1DB4">
        <w:rPr>
          <w:spacing w:val="-2"/>
          <w:lang w:val="en-US"/>
        </w:rPr>
        <w:t xml:space="preserve"> Ho Wing</w:t>
      </w:r>
      <w:bookmarkEnd w:id="465"/>
      <w:bookmarkEnd w:id="466"/>
      <w:bookmarkEnd w:id="467"/>
      <w:bookmarkEnd w:id="468"/>
      <w:bookmarkEnd w:id="469"/>
      <w:bookmarkEnd w:id="470"/>
      <w:bookmarkEnd w:id="471"/>
      <w:bookmarkEnd w:id="472"/>
      <w:bookmarkEnd w:id="473"/>
      <w:bookmarkEnd w:id="474"/>
      <w:bookmarkEnd w:id="475"/>
      <w:bookmarkEnd w:id="476"/>
    </w:p>
    <w:p w14:paraId="6B29EA35" w14:textId="77777777" w:rsidR="00FE32A6" w:rsidRPr="008A1DB4" w:rsidRDefault="00FE32A6" w:rsidP="00956E97">
      <w:pPr>
        <w:rPr>
          <w:spacing w:val="-2"/>
          <w:lang w:val="en-US"/>
        </w:rPr>
      </w:pPr>
    </w:p>
    <w:p w14:paraId="420ADC3B" w14:textId="26E865AC" w:rsidR="00FE32A6" w:rsidRPr="008A1DB4" w:rsidRDefault="00145818" w:rsidP="00145818">
      <w:pPr>
        <w:pStyle w:val="PrrafodeSentencia"/>
        <w:rPr>
          <w:b/>
          <w:spacing w:val="-2"/>
          <w:lang w:val="en-US"/>
        </w:rPr>
      </w:pPr>
      <w:bookmarkStart w:id="477" w:name="_Ref401584951"/>
      <w:r w:rsidRPr="008A1DB4">
        <w:rPr>
          <w:spacing w:val="-2"/>
          <w:lang w:val="en-US"/>
        </w:rPr>
        <w:t>Since</w:t>
      </w:r>
      <w:r w:rsidR="00FE32A6" w:rsidRPr="008A1DB4">
        <w:rPr>
          <w:spacing w:val="-2"/>
          <w:lang w:val="en-US"/>
        </w:rPr>
        <w:t xml:space="preserve"> 2001, Wong Ho Wing</w:t>
      </w:r>
      <w:r w:rsidR="00FE32A6" w:rsidRPr="008A1DB4">
        <w:rPr>
          <w:b/>
          <w:spacing w:val="-2"/>
          <w:lang w:val="en-US"/>
        </w:rPr>
        <w:t xml:space="preserve"> </w:t>
      </w:r>
      <w:r w:rsidRPr="008A1DB4">
        <w:rPr>
          <w:spacing w:val="-2"/>
          <w:lang w:val="en-US"/>
        </w:rPr>
        <w:t>has been “an international fugitive, [owing to an INTERPOL Red Notice,] wanted by the judicial authorities of Hong Kong, China, for the offense of smuggling that occurred between [August 1996 and May 1998</w:t>
      </w:r>
      <w:r w:rsidR="00FE32A6" w:rsidRPr="008A1DB4">
        <w:rPr>
          <w:spacing w:val="-2"/>
          <w:lang w:val="en-US"/>
        </w:rPr>
        <w:t>]</w:t>
      </w:r>
      <w:r w:rsidRPr="008A1DB4">
        <w:rPr>
          <w:spacing w:val="-2"/>
          <w:lang w:val="en-US"/>
        </w:rPr>
        <w:t>.</w:t>
      </w:r>
      <w:r w:rsidR="00FE32A6" w:rsidRPr="008A1DB4">
        <w:rPr>
          <w:spacing w:val="-2"/>
          <w:lang w:val="en-US"/>
        </w:rPr>
        <w:t>”</w:t>
      </w:r>
      <w:r w:rsidR="00FE32A6" w:rsidRPr="008A1DB4">
        <w:rPr>
          <w:rStyle w:val="FootnoteReference"/>
          <w:spacing w:val="-2"/>
          <w:lang w:val="en-US"/>
        </w:rPr>
        <w:footnoteReference w:id="47"/>
      </w:r>
      <w:r w:rsidR="00FE32A6" w:rsidRPr="008A1DB4">
        <w:rPr>
          <w:spacing w:val="-2"/>
          <w:lang w:val="en-US"/>
        </w:rPr>
        <w:t xml:space="preserve"> </w:t>
      </w:r>
      <w:r w:rsidR="009D56A9">
        <w:rPr>
          <w:spacing w:val="-2"/>
          <w:lang w:val="en-US"/>
        </w:rPr>
        <w:t xml:space="preserve">Early on </w:t>
      </w:r>
      <w:r w:rsidR="001E7113" w:rsidRPr="008A1DB4">
        <w:rPr>
          <w:spacing w:val="-2"/>
          <w:lang w:val="en-US"/>
        </w:rPr>
        <w:t xml:space="preserve">October 27, 2008, </w:t>
      </w:r>
      <w:r w:rsidR="00FE32A6" w:rsidRPr="008A1DB4">
        <w:rPr>
          <w:spacing w:val="-2"/>
          <w:lang w:val="en-US"/>
        </w:rPr>
        <w:t xml:space="preserve">Wong Ho Wing </w:t>
      </w:r>
      <w:r w:rsidR="001E7113" w:rsidRPr="008A1DB4">
        <w:rPr>
          <w:spacing w:val="-2"/>
          <w:lang w:val="en-US"/>
        </w:rPr>
        <w:t xml:space="preserve">was arrested in the </w:t>
      </w:r>
      <w:r w:rsidR="00FE32A6" w:rsidRPr="008A1DB4">
        <w:rPr>
          <w:spacing w:val="-2"/>
          <w:lang w:val="en-US"/>
        </w:rPr>
        <w:t>“Jorge Chávez</w:t>
      </w:r>
      <w:r w:rsidR="001E7113" w:rsidRPr="008A1DB4">
        <w:rPr>
          <w:spacing w:val="-2"/>
          <w:lang w:val="en-US"/>
        </w:rPr>
        <w:t xml:space="preserve"> International Airport</w:t>
      </w:r>
      <w:r w:rsidR="00FE32A6" w:rsidRPr="008A1DB4">
        <w:rPr>
          <w:spacing w:val="-2"/>
          <w:lang w:val="en-US"/>
        </w:rPr>
        <w:t xml:space="preserve">” </w:t>
      </w:r>
      <w:r w:rsidR="001E7113" w:rsidRPr="008A1DB4">
        <w:rPr>
          <w:spacing w:val="-2"/>
          <w:lang w:val="en-US"/>
        </w:rPr>
        <w:t>that serves Lima, when he was entering Peru from</w:t>
      </w:r>
      <w:r w:rsidR="00FE32A6" w:rsidRPr="008A1DB4">
        <w:rPr>
          <w:spacing w:val="-2"/>
          <w:lang w:val="en-US"/>
        </w:rPr>
        <w:t xml:space="preserve"> </w:t>
      </w:r>
      <w:r w:rsidR="001E7113" w:rsidRPr="008A1DB4">
        <w:rPr>
          <w:spacing w:val="-2"/>
          <w:lang w:val="en-US"/>
        </w:rPr>
        <w:t>the United States of America</w:t>
      </w:r>
      <w:r w:rsidR="00FE32A6" w:rsidRPr="008A1DB4">
        <w:rPr>
          <w:spacing w:val="-2"/>
          <w:lang w:val="en-US"/>
        </w:rPr>
        <w:t xml:space="preserve">. </w:t>
      </w:r>
      <w:r w:rsidR="001E7113" w:rsidRPr="008A1DB4">
        <w:rPr>
          <w:spacing w:val="-2"/>
          <w:lang w:val="en-US"/>
        </w:rPr>
        <w:t>That same day, the police brought hi</w:t>
      </w:r>
      <w:r w:rsidR="009D56A9">
        <w:rPr>
          <w:spacing w:val="-2"/>
          <w:lang w:val="en-US"/>
        </w:rPr>
        <w:t>m before the Permanent Criminal C</w:t>
      </w:r>
      <w:r w:rsidR="001E7113" w:rsidRPr="008A1DB4">
        <w:rPr>
          <w:spacing w:val="-2"/>
          <w:lang w:val="en-US"/>
        </w:rPr>
        <w:t>ourt of El</w:t>
      </w:r>
      <w:r w:rsidR="00FE32A6" w:rsidRPr="008A1DB4">
        <w:rPr>
          <w:spacing w:val="-2"/>
          <w:lang w:val="en-US"/>
        </w:rPr>
        <w:t xml:space="preserve"> Callao</w:t>
      </w:r>
      <w:r w:rsidR="001E7113" w:rsidRPr="008A1DB4">
        <w:rPr>
          <w:spacing w:val="-2"/>
          <w:lang w:val="en-US"/>
        </w:rPr>
        <w:t>.</w:t>
      </w:r>
      <w:r w:rsidR="00FE32A6" w:rsidRPr="008A1DB4">
        <w:rPr>
          <w:rStyle w:val="FootnoteReference"/>
          <w:spacing w:val="-2"/>
          <w:lang w:val="en-US"/>
        </w:rPr>
        <w:footnoteReference w:id="48"/>
      </w:r>
      <w:bookmarkEnd w:id="437"/>
      <w:bookmarkEnd w:id="477"/>
    </w:p>
    <w:p w14:paraId="35AF8958" w14:textId="77777777" w:rsidR="00FE32A6" w:rsidRPr="008A1DB4" w:rsidRDefault="00FE32A6" w:rsidP="00956E97">
      <w:pPr>
        <w:pStyle w:val="PrrafodeSentencia"/>
        <w:numPr>
          <w:ilvl w:val="0"/>
          <w:numId w:val="0"/>
        </w:numPr>
        <w:rPr>
          <w:b/>
          <w:spacing w:val="-2"/>
          <w:lang w:val="en-US"/>
        </w:rPr>
      </w:pPr>
    </w:p>
    <w:p w14:paraId="2A34BA81" w14:textId="204B7D4E" w:rsidR="00FE32A6" w:rsidRPr="008A1DB4" w:rsidRDefault="00FE32A6" w:rsidP="00956E97">
      <w:pPr>
        <w:pStyle w:val="Heading2"/>
        <w:ind w:left="1440" w:firstLine="0"/>
        <w:rPr>
          <w:spacing w:val="-2"/>
          <w:lang w:val="en-US"/>
        </w:rPr>
      </w:pPr>
      <w:bookmarkStart w:id="478" w:name="_Toc418912607"/>
      <w:bookmarkStart w:id="479" w:name="_Toc419394391"/>
      <w:bookmarkStart w:id="480" w:name="_Toc419470157"/>
      <w:bookmarkStart w:id="481" w:name="_Toc429490257"/>
      <w:bookmarkStart w:id="482" w:name="_Toc429503769"/>
      <w:bookmarkStart w:id="483" w:name="_Toc429504275"/>
      <w:bookmarkStart w:id="484" w:name="_Toc429677988"/>
      <w:bookmarkStart w:id="485" w:name="_Toc430017151"/>
      <w:bookmarkStart w:id="486" w:name="_Toc430017380"/>
      <w:bookmarkStart w:id="487" w:name="_Toc430018662"/>
      <w:bookmarkStart w:id="488" w:name="_Toc430125260"/>
      <w:bookmarkStart w:id="489" w:name="_Toc430125368"/>
      <w:r w:rsidRPr="008A1DB4">
        <w:rPr>
          <w:spacing w:val="-2"/>
          <w:lang w:val="en-US"/>
        </w:rPr>
        <w:t xml:space="preserve">C.1) </w:t>
      </w:r>
      <w:r w:rsidR="001E7113" w:rsidRPr="008A1DB4">
        <w:rPr>
          <w:spacing w:val="-2"/>
          <w:lang w:val="en-US"/>
        </w:rPr>
        <w:t>First stage of the process</w:t>
      </w:r>
      <w:r w:rsidRPr="008A1DB4">
        <w:rPr>
          <w:spacing w:val="-2"/>
          <w:lang w:val="en-US"/>
        </w:rPr>
        <w:t xml:space="preserve"> (</w:t>
      </w:r>
      <w:r w:rsidR="001E7113" w:rsidRPr="008A1DB4">
        <w:rPr>
          <w:spacing w:val="-2"/>
          <w:lang w:val="en-US"/>
        </w:rPr>
        <w:t>from the arrest of</w:t>
      </w:r>
      <w:r w:rsidR="00B43F84" w:rsidRPr="008A1DB4">
        <w:rPr>
          <w:spacing w:val="-2"/>
          <w:lang w:val="en-US"/>
        </w:rPr>
        <w:t xml:space="preserve"> Wong</w:t>
      </w:r>
      <w:r w:rsidRPr="008A1DB4">
        <w:rPr>
          <w:spacing w:val="-2"/>
          <w:lang w:val="en-US"/>
        </w:rPr>
        <w:t xml:space="preserve"> Ho Wing </w:t>
      </w:r>
      <w:r w:rsidR="001E7113" w:rsidRPr="008A1DB4">
        <w:rPr>
          <w:spacing w:val="-2"/>
          <w:lang w:val="en-US"/>
        </w:rPr>
        <w:t>until the second</w:t>
      </w:r>
      <w:r w:rsidRPr="008A1DB4">
        <w:rPr>
          <w:spacing w:val="-2"/>
          <w:lang w:val="en-US"/>
        </w:rPr>
        <w:t xml:space="preserve"> </w:t>
      </w:r>
      <w:r w:rsidR="002D1CFC" w:rsidRPr="008A1DB4">
        <w:rPr>
          <w:spacing w:val="-2"/>
          <w:lang w:val="en-US"/>
        </w:rPr>
        <w:t>advisory decision</w:t>
      </w:r>
      <w:r w:rsidRPr="008A1DB4">
        <w:rPr>
          <w:spacing w:val="-2"/>
          <w:lang w:val="en-US"/>
        </w:rPr>
        <w:t>)</w:t>
      </w:r>
      <w:bookmarkEnd w:id="478"/>
      <w:bookmarkEnd w:id="479"/>
      <w:bookmarkEnd w:id="480"/>
      <w:bookmarkEnd w:id="481"/>
      <w:bookmarkEnd w:id="482"/>
      <w:bookmarkEnd w:id="483"/>
      <w:bookmarkEnd w:id="484"/>
      <w:bookmarkEnd w:id="485"/>
      <w:bookmarkEnd w:id="486"/>
      <w:bookmarkEnd w:id="487"/>
      <w:bookmarkEnd w:id="488"/>
      <w:bookmarkEnd w:id="489"/>
    </w:p>
    <w:p w14:paraId="43E3AFEB" w14:textId="77777777" w:rsidR="00FE32A6" w:rsidRPr="008A1DB4" w:rsidRDefault="00FE32A6" w:rsidP="00956E97">
      <w:pPr>
        <w:pStyle w:val="ListParagraph"/>
        <w:tabs>
          <w:tab w:val="left" w:pos="567"/>
        </w:tabs>
        <w:ind w:left="0"/>
        <w:rPr>
          <w:spacing w:val="-2"/>
          <w:lang w:val="en-US"/>
        </w:rPr>
      </w:pPr>
    </w:p>
    <w:p w14:paraId="10E0A809" w14:textId="6711FB2C" w:rsidR="00FE32A6" w:rsidRPr="008A1DB4" w:rsidRDefault="001E7113" w:rsidP="00956E97">
      <w:pPr>
        <w:pStyle w:val="PrrafodeSentencia"/>
        <w:rPr>
          <w:spacing w:val="-2"/>
          <w:sz w:val="18"/>
          <w:szCs w:val="18"/>
          <w:lang w:val="en-US"/>
        </w:rPr>
      </w:pPr>
      <w:r w:rsidRPr="008A1DB4">
        <w:rPr>
          <w:spacing w:val="-2"/>
          <w:lang w:val="en-US"/>
        </w:rPr>
        <w:t>On</w:t>
      </w:r>
      <w:r w:rsidR="00FE32A6" w:rsidRPr="008A1DB4">
        <w:rPr>
          <w:spacing w:val="-2"/>
          <w:lang w:val="en-US"/>
        </w:rPr>
        <w:t xml:space="preserve"> </w:t>
      </w:r>
      <w:r w:rsidRPr="008A1DB4">
        <w:rPr>
          <w:spacing w:val="-2"/>
          <w:lang w:val="en-US"/>
        </w:rPr>
        <w:t>October 28,</w:t>
      </w:r>
      <w:r w:rsidR="00FE32A6" w:rsidRPr="008A1DB4">
        <w:rPr>
          <w:spacing w:val="-2"/>
          <w:lang w:val="en-US"/>
        </w:rPr>
        <w:t xml:space="preserve"> </w:t>
      </w:r>
      <w:r w:rsidRPr="008A1DB4">
        <w:rPr>
          <w:spacing w:val="-2"/>
          <w:lang w:val="en-US"/>
        </w:rPr>
        <w:t>Wong</w:t>
      </w:r>
      <w:r w:rsidR="00FE32A6" w:rsidRPr="008A1DB4">
        <w:rPr>
          <w:spacing w:val="-2"/>
          <w:lang w:val="en-US"/>
        </w:rPr>
        <w:t xml:space="preserve"> Ho Wing </w:t>
      </w:r>
      <w:r w:rsidRPr="008A1DB4">
        <w:rPr>
          <w:spacing w:val="-2"/>
          <w:lang w:val="en-US"/>
        </w:rPr>
        <w:t xml:space="preserve">gave a preliminary statement in the presence of his lawyer and asked the Peruvian authorities to accord him “special treatment based on the defense of [his] human rights, [because if he was] returned [to his] country for the offenses that [he was] accused of, [he] could be executed or the death penalty would be imposed” on him. Consequently, he “asked to be tried in […] </w:t>
      </w:r>
      <w:r w:rsidR="00F36400" w:rsidRPr="008A1DB4">
        <w:rPr>
          <w:spacing w:val="-2"/>
          <w:lang w:val="en-US"/>
        </w:rPr>
        <w:t>Peru</w:t>
      </w:r>
      <w:r w:rsidRPr="008A1DB4">
        <w:rPr>
          <w:spacing w:val="-2"/>
          <w:lang w:val="en-US"/>
        </w:rPr>
        <w:t>.</w:t>
      </w:r>
      <w:r w:rsidR="00FE32A6" w:rsidRPr="008A1DB4">
        <w:rPr>
          <w:spacing w:val="-2"/>
          <w:lang w:val="en-US"/>
        </w:rPr>
        <w:t>”</w:t>
      </w:r>
      <w:r w:rsidR="00FE32A6" w:rsidRPr="008A1DB4">
        <w:rPr>
          <w:rStyle w:val="FootnoteReference"/>
          <w:spacing w:val="-2"/>
          <w:lang w:val="en-US"/>
        </w:rPr>
        <w:footnoteReference w:id="49"/>
      </w:r>
    </w:p>
    <w:p w14:paraId="159B16B2" w14:textId="77777777" w:rsidR="00FE32A6" w:rsidRPr="008A1DB4" w:rsidRDefault="00FE32A6" w:rsidP="00956E97">
      <w:pPr>
        <w:pStyle w:val="ListParagraph"/>
        <w:tabs>
          <w:tab w:val="left" w:pos="567"/>
        </w:tabs>
        <w:ind w:left="0"/>
        <w:rPr>
          <w:b/>
          <w:spacing w:val="-2"/>
          <w:lang w:val="en-US"/>
        </w:rPr>
      </w:pPr>
    </w:p>
    <w:p w14:paraId="79C271B1" w14:textId="2D96C556" w:rsidR="00FE32A6" w:rsidRPr="008A1DB4" w:rsidRDefault="001E7113" w:rsidP="00956E97">
      <w:pPr>
        <w:pStyle w:val="PrrafodeSentencia"/>
        <w:rPr>
          <w:b/>
          <w:spacing w:val="-2"/>
          <w:lang w:val="en-US"/>
        </w:rPr>
      </w:pPr>
      <w:bookmarkStart w:id="490" w:name="_Ref429401109"/>
      <w:r w:rsidRPr="008A1DB4">
        <w:rPr>
          <w:spacing w:val="-2"/>
          <w:lang w:val="en-US"/>
        </w:rPr>
        <w:t>On</w:t>
      </w:r>
      <w:r w:rsidR="00FE32A6" w:rsidRPr="008A1DB4">
        <w:rPr>
          <w:spacing w:val="-2"/>
          <w:lang w:val="en-US"/>
        </w:rPr>
        <w:t xml:space="preserve"> </w:t>
      </w:r>
      <w:r w:rsidRPr="008A1DB4">
        <w:rPr>
          <w:spacing w:val="-2"/>
          <w:lang w:val="en-US"/>
        </w:rPr>
        <w:t>November 14,</w:t>
      </w:r>
      <w:r w:rsidR="00FE32A6" w:rsidRPr="008A1DB4">
        <w:rPr>
          <w:spacing w:val="-2"/>
          <w:lang w:val="en-US"/>
        </w:rPr>
        <w:t xml:space="preserve"> 2008</w:t>
      </w:r>
      <w:r w:rsidRPr="008A1DB4">
        <w:rPr>
          <w:spacing w:val="-2"/>
          <w:lang w:val="en-US"/>
        </w:rPr>
        <w:t>,</w:t>
      </w:r>
      <w:r w:rsidR="00FE32A6" w:rsidRPr="008A1DB4">
        <w:rPr>
          <w:spacing w:val="-2"/>
          <w:lang w:val="en-US"/>
        </w:rPr>
        <w:t xml:space="preserve"> </w:t>
      </w:r>
      <w:r w:rsidRPr="008A1DB4">
        <w:rPr>
          <w:spacing w:val="-2"/>
          <w:lang w:val="en-US"/>
        </w:rPr>
        <w:t>the Seventh Criminal Court of El Callao</w:t>
      </w:r>
      <w:r w:rsidR="00FE32A6" w:rsidRPr="008A1DB4">
        <w:rPr>
          <w:spacing w:val="-2"/>
          <w:lang w:val="en-US"/>
        </w:rPr>
        <w:t xml:space="preserve"> rec</w:t>
      </w:r>
      <w:r w:rsidRPr="008A1DB4">
        <w:rPr>
          <w:spacing w:val="-2"/>
          <w:lang w:val="en-US"/>
        </w:rPr>
        <w:t xml:space="preserve">eived the request to extradite </w:t>
      </w:r>
      <w:r w:rsidR="00B43F84" w:rsidRPr="008A1DB4">
        <w:rPr>
          <w:spacing w:val="-2"/>
          <w:lang w:val="en-US"/>
        </w:rPr>
        <w:t>Wong</w:t>
      </w:r>
      <w:r w:rsidR="00FE32A6" w:rsidRPr="008A1DB4">
        <w:rPr>
          <w:spacing w:val="-2"/>
          <w:lang w:val="en-US"/>
        </w:rPr>
        <w:t xml:space="preserve"> Ho Wing</w:t>
      </w:r>
      <w:r w:rsidRPr="008A1DB4">
        <w:rPr>
          <w:spacing w:val="-2"/>
          <w:lang w:val="en-US"/>
        </w:rPr>
        <w:t xml:space="preserve"> from</w:t>
      </w:r>
      <w:r w:rsidR="002D1CFC" w:rsidRPr="008A1DB4">
        <w:rPr>
          <w:spacing w:val="-2"/>
          <w:lang w:val="en-US"/>
        </w:rPr>
        <w:t xml:space="preserve"> the </w:t>
      </w:r>
      <w:r w:rsidR="00FE5E87" w:rsidRPr="008A1DB4">
        <w:rPr>
          <w:spacing w:val="-2"/>
          <w:lang w:val="en-US"/>
        </w:rPr>
        <w:t>People’s Republic of China</w:t>
      </w:r>
      <w:r w:rsidR="00FE32A6" w:rsidRPr="008A1DB4">
        <w:rPr>
          <w:spacing w:val="-2"/>
          <w:lang w:val="en-US"/>
        </w:rPr>
        <w:t xml:space="preserve"> (</w:t>
      </w:r>
      <w:r w:rsidR="00F36400" w:rsidRPr="008A1DB4">
        <w:rPr>
          <w:spacing w:val="-2"/>
          <w:lang w:val="en-US"/>
        </w:rPr>
        <w:t>hereinafter</w:t>
      </w:r>
      <w:r w:rsidR="00FE32A6" w:rsidRPr="008A1DB4">
        <w:rPr>
          <w:spacing w:val="-2"/>
          <w:lang w:val="en-US"/>
        </w:rPr>
        <w:t xml:space="preserve"> </w:t>
      </w:r>
      <w:r w:rsidRPr="008A1DB4">
        <w:rPr>
          <w:spacing w:val="-2"/>
          <w:lang w:val="en-US"/>
        </w:rPr>
        <w:t>also</w:t>
      </w:r>
      <w:r w:rsidR="00FE32A6" w:rsidRPr="008A1DB4">
        <w:rPr>
          <w:spacing w:val="-2"/>
          <w:lang w:val="en-US"/>
        </w:rPr>
        <w:t xml:space="preserve"> “China” o</w:t>
      </w:r>
      <w:r w:rsidRPr="008A1DB4">
        <w:rPr>
          <w:spacing w:val="-2"/>
          <w:lang w:val="en-US"/>
        </w:rPr>
        <w:t>r</w:t>
      </w:r>
      <w:r w:rsidR="00FE32A6" w:rsidRPr="008A1DB4">
        <w:rPr>
          <w:spacing w:val="-2"/>
          <w:lang w:val="en-US"/>
        </w:rPr>
        <w:t xml:space="preserve"> “</w:t>
      </w:r>
      <w:r w:rsidRPr="008A1DB4">
        <w:rPr>
          <w:spacing w:val="-2"/>
          <w:lang w:val="en-US"/>
        </w:rPr>
        <w:t xml:space="preserve">the </w:t>
      </w:r>
      <w:r w:rsidRPr="008A1DB4">
        <w:rPr>
          <w:spacing w:val="-2"/>
          <w:lang w:val="en-US"/>
        </w:rPr>
        <w:lastRenderedPageBreak/>
        <w:t>Requesting State</w:t>
      </w:r>
      <w:r w:rsidR="00FE32A6" w:rsidRPr="008A1DB4">
        <w:rPr>
          <w:spacing w:val="-2"/>
          <w:lang w:val="en-US"/>
        </w:rPr>
        <w:t xml:space="preserve">”), </w:t>
      </w:r>
      <w:r w:rsidRPr="008A1DB4">
        <w:rPr>
          <w:spacing w:val="-2"/>
          <w:lang w:val="en-US"/>
        </w:rPr>
        <w:t xml:space="preserve">requiring that “the suspect be held in custody.” As established in this request, the acts presumably committed by </w:t>
      </w:r>
      <w:r w:rsidR="00FE32A6" w:rsidRPr="008A1DB4">
        <w:rPr>
          <w:spacing w:val="-2"/>
          <w:lang w:val="en-US"/>
        </w:rPr>
        <w:t xml:space="preserve">Wong Ho Wing </w:t>
      </w:r>
      <w:r w:rsidRPr="008A1DB4">
        <w:rPr>
          <w:spacing w:val="-2"/>
          <w:lang w:val="en-US"/>
        </w:rPr>
        <w:t>constituted the “offense of smuggling ordinary merchandise,</w:t>
      </w:r>
      <w:r w:rsidR="0087137C" w:rsidRPr="008A1DB4">
        <w:rPr>
          <w:rStyle w:val="FootnoteReference"/>
          <w:spacing w:val="-2"/>
          <w:lang w:val="en-US"/>
        </w:rPr>
        <w:footnoteReference w:id="50"/>
      </w:r>
      <w:r w:rsidR="009D56A9">
        <w:rPr>
          <w:spacing w:val="-2"/>
          <w:lang w:val="en-US"/>
        </w:rPr>
        <w:t xml:space="preserve"> the offense of </w:t>
      </w:r>
      <w:r w:rsidR="00947926">
        <w:rPr>
          <w:spacing w:val="-2"/>
          <w:lang w:val="en-US"/>
        </w:rPr>
        <w:t>money-</w:t>
      </w:r>
      <w:r w:rsidRPr="008A1DB4">
        <w:rPr>
          <w:spacing w:val="-2"/>
          <w:lang w:val="en-US"/>
        </w:rPr>
        <w:t xml:space="preserve">laundering, and the offense of bribery,” which </w:t>
      </w:r>
      <w:proofErr w:type="gramStart"/>
      <w:r w:rsidRPr="008A1DB4">
        <w:rPr>
          <w:spacing w:val="-2"/>
          <w:lang w:val="en-US"/>
        </w:rPr>
        <w:t>are</w:t>
      </w:r>
      <w:proofErr w:type="gramEnd"/>
      <w:r w:rsidRPr="008A1DB4">
        <w:rPr>
          <w:spacing w:val="-2"/>
          <w:lang w:val="en-US"/>
        </w:rPr>
        <w:t xml:space="preserve"> defined in</w:t>
      </w:r>
      <w:r w:rsidR="00FE32A6" w:rsidRPr="008A1DB4">
        <w:rPr>
          <w:spacing w:val="-2"/>
          <w:lang w:val="en-US"/>
        </w:rPr>
        <w:t xml:space="preserve"> </w:t>
      </w:r>
      <w:r w:rsidRPr="008A1DB4">
        <w:rPr>
          <w:spacing w:val="-2"/>
          <w:lang w:val="en-US"/>
        </w:rPr>
        <w:t>a</w:t>
      </w:r>
      <w:r w:rsidR="00F36400" w:rsidRPr="008A1DB4">
        <w:rPr>
          <w:spacing w:val="-2"/>
          <w:lang w:val="en-US"/>
        </w:rPr>
        <w:t>rticle</w:t>
      </w:r>
      <w:r w:rsidR="00FE32A6" w:rsidRPr="008A1DB4">
        <w:rPr>
          <w:spacing w:val="-2"/>
          <w:lang w:val="en-US"/>
        </w:rPr>
        <w:t>s 153, 154, 191, 389</w:t>
      </w:r>
      <w:r w:rsidR="00F36400" w:rsidRPr="008A1DB4">
        <w:rPr>
          <w:spacing w:val="-2"/>
          <w:lang w:val="en-US"/>
        </w:rPr>
        <w:t xml:space="preserve"> and </w:t>
      </w:r>
      <w:r w:rsidR="00FE32A6" w:rsidRPr="008A1DB4">
        <w:rPr>
          <w:spacing w:val="-2"/>
          <w:lang w:val="en-US"/>
        </w:rPr>
        <w:t xml:space="preserve">390 </w:t>
      </w:r>
      <w:r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Pr="008A1DB4">
        <w:rPr>
          <w:spacing w:val="-2"/>
          <w:lang w:val="en-US"/>
        </w:rPr>
        <w:t>.</w:t>
      </w:r>
      <w:r w:rsidR="00FE32A6" w:rsidRPr="008A1DB4">
        <w:rPr>
          <w:rStyle w:val="FootnoteReference"/>
          <w:spacing w:val="-2"/>
          <w:lang w:val="en-US"/>
        </w:rPr>
        <w:footnoteReference w:id="51"/>
      </w:r>
      <w:r w:rsidRPr="008A1DB4">
        <w:rPr>
          <w:spacing w:val="-2"/>
          <w:lang w:val="en-US"/>
        </w:rPr>
        <w:t xml:space="preserve"> According</w:t>
      </w:r>
      <w:r w:rsidR="009D56A9">
        <w:rPr>
          <w:spacing w:val="-2"/>
          <w:lang w:val="en-US"/>
        </w:rPr>
        <w:t xml:space="preserve"> to the request, “the taxes eva</w:t>
      </w:r>
      <w:r w:rsidRPr="008A1DB4">
        <w:rPr>
          <w:spacing w:val="-2"/>
          <w:lang w:val="en-US"/>
        </w:rPr>
        <w:t xml:space="preserve">ded amounted to [more than </w:t>
      </w:r>
      <w:r w:rsidR="00FE32A6" w:rsidRPr="008A1DB4">
        <w:rPr>
          <w:spacing w:val="-2"/>
          <w:lang w:val="en-US"/>
        </w:rPr>
        <w:t>717 mill</w:t>
      </w:r>
      <w:r w:rsidRPr="008A1DB4">
        <w:rPr>
          <w:spacing w:val="-2"/>
          <w:lang w:val="en-US"/>
        </w:rPr>
        <w:t xml:space="preserve">ion </w:t>
      </w:r>
      <w:proofErr w:type="spellStart"/>
      <w:r w:rsidR="00FE32A6" w:rsidRPr="008A1DB4">
        <w:rPr>
          <w:spacing w:val="-2"/>
          <w:lang w:val="en-US"/>
        </w:rPr>
        <w:t>yuans</w:t>
      </w:r>
      <w:proofErr w:type="spellEnd"/>
      <w:r w:rsidR="00FE32A6" w:rsidRPr="008A1DB4">
        <w:rPr>
          <w:spacing w:val="-2"/>
          <w:lang w:val="en-US"/>
        </w:rPr>
        <w:t>]</w:t>
      </w:r>
      <w:r w:rsidRPr="008A1DB4">
        <w:rPr>
          <w:spacing w:val="-2"/>
          <w:lang w:val="en-US"/>
        </w:rPr>
        <w:t>.” Furthermore, Wong</w:t>
      </w:r>
      <w:r w:rsidR="00FE32A6" w:rsidRPr="008A1DB4">
        <w:rPr>
          <w:spacing w:val="-2"/>
          <w:lang w:val="en-US"/>
        </w:rPr>
        <w:t xml:space="preserve"> Ho Wing ha</w:t>
      </w:r>
      <w:r w:rsidRPr="008A1DB4">
        <w:rPr>
          <w:spacing w:val="-2"/>
          <w:lang w:val="en-US"/>
        </w:rPr>
        <w:t xml:space="preserve">d allegedly transferred the sum of </w:t>
      </w:r>
      <w:r w:rsidR="00FE32A6" w:rsidRPr="008A1DB4">
        <w:rPr>
          <w:spacing w:val="-2"/>
          <w:lang w:val="en-US"/>
        </w:rPr>
        <w:t>4</w:t>
      </w:r>
      <w:r w:rsidRPr="008A1DB4">
        <w:rPr>
          <w:spacing w:val="-2"/>
          <w:lang w:val="en-US"/>
        </w:rPr>
        <w:t>,</w:t>
      </w:r>
      <w:r w:rsidR="00FE32A6" w:rsidRPr="008A1DB4">
        <w:rPr>
          <w:spacing w:val="-2"/>
          <w:lang w:val="en-US"/>
        </w:rPr>
        <w:t>048 mill</w:t>
      </w:r>
      <w:r w:rsidRPr="008A1DB4">
        <w:rPr>
          <w:spacing w:val="-2"/>
          <w:lang w:val="en-US"/>
        </w:rPr>
        <w:t>ion United States dollars out of China. Among other documents, the applicable articles of the Criminal Code</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Pr="008A1DB4">
        <w:rPr>
          <w:spacing w:val="-2"/>
          <w:lang w:val="en-US"/>
        </w:rPr>
        <w:t>on the statute of limitations, the relevant penalties, and the arrest warrant</w:t>
      </w:r>
      <w:r w:rsidR="009D56A9">
        <w:rPr>
          <w:spacing w:val="-2"/>
          <w:lang w:val="en-US"/>
        </w:rPr>
        <w:t xml:space="preserve"> were attached to the request</w:t>
      </w:r>
      <w:r w:rsidRPr="008A1DB4">
        <w:rPr>
          <w:spacing w:val="-2"/>
          <w:lang w:val="en-US"/>
        </w:rPr>
        <w:t>.</w:t>
      </w:r>
      <w:r w:rsidR="00FE32A6" w:rsidRPr="008A1DB4">
        <w:rPr>
          <w:rStyle w:val="FootnoteReference"/>
          <w:spacing w:val="-2"/>
          <w:lang w:val="en-US"/>
        </w:rPr>
        <w:footnoteReference w:id="52"/>
      </w:r>
      <w:r w:rsidRPr="008A1DB4">
        <w:rPr>
          <w:spacing w:val="-2"/>
          <w:lang w:val="en-US"/>
        </w:rPr>
        <w:t xml:space="preserve"> These articles did not include a</w:t>
      </w:r>
      <w:r w:rsidR="00F36400" w:rsidRPr="008A1DB4">
        <w:rPr>
          <w:spacing w:val="-2"/>
          <w:lang w:val="en-US"/>
        </w:rPr>
        <w:t>rticle</w:t>
      </w:r>
      <w:r w:rsidR="00FE32A6" w:rsidRPr="008A1DB4">
        <w:rPr>
          <w:spacing w:val="-2"/>
          <w:lang w:val="en-US"/>
        </w:rPr>
        <w:t xml:space="preserve"> 151 </w:t>
      </w:r>
      <w:r w:rsidRPr="008A1DB4">
        <w:rPr>
          <w:spacing w:val="-2"/>
          <w:lang w:val="en-US"/>
        </w:rPr>
        <w:t>of the Chinese Criminal Code</w:t>
      </w:r>
      <w:r w:rsidR="000659B9" w:rsidRPr="008A1DB4">
        <w:rPr>
          <w:spacing w:val="-2"/>
          <w:lang w:val="en-US"/>
        </w:rPr>
        <w:t xml:space="preserve"> </w:t>
      </w:r>
      <w:r w:rsidRPr="008A1DB4">
        <w:rPr>
          <w:spacing w:val="-2"/>
          <w:lang w:val="en-US"/>
        </w:rPr>
        <w:t xml:space="preserve">which establishes the possibility of the death </w:t>
      </w:r>
      <w:r w:rsidR="00947926" w:rsidRPr="008A1DB4">
        <w:rPr>
          <w:spacing w:val="-2"/>
          <w:lang w:val="en-US"/>
        </w:rPr>
        <w:t>penalty</w:t>
      </w:r>
      <w:r w:rsidRPr="008A1DB4">
        <w:rPr>
          <w:spacing w:val="-2"/>
          <w:lang w:val="en-US"/>
        </w:rPr>
        <w:t xml:space="preserve"> for the offense of smuggling </w:t>
      </w:r>
      <w:r w:rsidR="00FE32A6" w:rsidRPr="008A1DB4">
        <w:rPr>
          <w:spacing w:val="-2"/>
          <w:lang w:val="en-US"/>
        </w:rPr>
        <w:t>(</w:t>
      </w:r>
      <w:r w:rsidR="00FE32A6" w:rsidRPr="008A1DB4">
        <w:rPr>
          <w:i/>
          <w:spacing w:val="-2"/>
          <w:lang w:val="en-US"/>
        </w:rPr>
        <w:t xml:space="preserve">infra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_Ref419383246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146</w:t>
      </w:r>
      <w:r w:rsidR="00FE32A6" w:rsidRPr="008A1DB4">
        <w:rPr>
          <w:spacing w:val="-2"/>
          <w:lang w:val="en-US"/>
        </w:rPr>
        <w:fldChar w:fldCharType="end"/>
      </w:r>
      <w:r w:rsidR="00FE32A6" w:rsidRPr="008A1DB4">
        <w:rPr>
          <w:spacing w:val="-2"/>
          <w:lang w:val="en-US"/>
        </w:rPr>
        <w:t>)</w:t>
      </w:r>
      <w:r w:rsidRPr="008A1DB4">
        <w:rPr>
          <w:spacing w:val="-2"/>
          <w:lang w:val="en-US"/>
        </w:rPr>
        <w:t>.</w:t>
      </w:r>
      <w:r w:rsidR="00FE32A6" w:rsidRPr="008A1DB4">
        <w:rPr>
          <w:rStyle w:val="FootnoteReference"/>
          <w:spacing w:val="-2"/>
          <w:lang w:val="en-US"/>
        </w:rPr>
        <w:footnoteReference w:id="53"/>
      </w:r>
      <w:bookmarkEnd w:id="490"/>
    </w:p>
    <w:p w14:paraId="33909AFF" w14:textId="77777777" w:rsidR="00FE32A6" w:rsidRPr="008A1DB4" w:rsidRDefault="00FE32A6" w:rsidP="00956E97">
      <w:pPr>
        <w:pStyle w:val="ListParagraph"/>
        <w:rPr>
          <w:spacing w:val="-2"/>
          <w:lang w:val="en-US"/>
        </w:rPr>
      </w:pPr>
    </w:p>
    <w:p w14:paraId="4D9700AD" w14:textId="0A4DF9A7" w:rsidR="00FE32A6" w:rsidRPr="008A1DB4" w:rsidRDefault="001E7113" w:rsidP="00087CF8">
      <w:pPr>
        <w:pStyle w:val="PrrafodeSentencia"/>
        <w:rPr>
          <w:b/>
          <w:spacing w:val="-2"/>
          <w:lang w:val="en-US"/>
        </w:rPr>
      </w:pPr>
      <w:bookmarkStart w:id="491" w:name="_Ref401074104"/>
      <w:r w:rsidRPr="008A1DB4">
        <w:rPr>
          <w:spacing w:val="-2"/>
          <w:lang w:val="en-US"/>
        </w:rPr>
        <w:t>On</w:t>
      </w:r>
      <w:r w:rsidR="00FE32A6" w:rsidRPr="008A1DB4">
        <w:rPr>
          <w:spacing w:val="-2"/>
          <w:lang w:val="en-US"/>
        </w:rPr>
        <w:t xml:space="preserve"> </w:t>
      </w:r>
      <w:r w:rsidRPr="008A1DB4">
        <w:rPr>
          <w:spacing w:val="-2"/>
          <w:lang w:val="en-US"/>
        </w:rPr>
        <w:t xml:space="preserve">December 10, 2008, a </w:t>
      </w:r>
      <w:r w:rsidR="008C4EFC" w:rsidRPr="008A1DB4">
        <w:rPr>
          <w:spacing w:val="-2"/>
          <w:lang w:val="en-US"/>
        </w:rPr>
        <w:t>public hearing</w:t>
      </w:r>
      <w:r w:rsidR="00FE32A6" w:rsidRPr="008A1DB4">
        <w:rPr>
          <w:spacing w:val="-2"/>
          <w:lang w:val="en-US"/>
        </w:rPr>
        <w:t xml:space="preserve"> </w:t>
      </w:r>
      <w:r w:rsidRPr="008A1DB4">
        <w:rPr>
          <w:spacing w:val="-2"/>
          <w:lang w:val="en-US"/>
        </w:rPr>
        <w:t xml:space="preserve">was held during which </w:t>
      </w:r>
      <w:r w:rsidR="00FE32A6" w:rsidRPr="008A1DB4">
        <w:rPr>
          <w:spacing w:val="-2"/>
          <w:lang w:val="en-US"/>
        </w:rPr>
        <w:t>Wong Ho Wing</w:t>
      </w:r>
      <w:r w:rsidR="00F36400" w:rsidRPr="008A1DB4">
        <w:rPr>
          <w:spacing w:val="-2"/>
          <w:lang w:val="en-US"/>
        </w:rPr>
        <w:t xml:space="preserve"> and </w:t>
      </w:r>
      <w:r w:rsidR="008601B6" w:rsidRPr="008A1DB4">
        <w:rPr>
          <w:spacing w:val="-2"/>
          <w:lang w:val="en-US"/>
        </w:rPr>
        <w:t>his representative</w:t>
      </w:r>
      <w:r w:rsidR="00FE32A6" w:rsidRPr="008A1DB4">
        <w:rPr>
          <w:spacing w:val="-2"/>
          <w:lang w:val="en-US"/>
        </w:rPr>
        <w:t xml:space="preserve"> men</w:t>
      </w:r>
      <w:r w:rsidRPr="008A1DB4">
        <w:rPr>
          <w:spacing w:val="-2"/>
          <w:lang w:val="en-US"/>
        </w:rPr>
        <w:t xml:space="preserve">tioned that </w:t>
      </w:r>
      <w:r w:rsidR="009D56A9" w:rsidRPr="008A1DB4">
        <w:rPr>
          <w:spacing w:val="-2"/>
          <w:lang w:val="en-US"/>
        </w:rPr>
        <w:t xml:space="preserve">the applicable </w:t>
      </w:r>
      <w:r w:rsidR="009D56A9">
        <w:rPr>
          <w:spacing w:val="-2"/>
          <w:lang w:val="en-US"/>
        </w:rPr>
        <w:t xml:space="preserve">provision was </w:t>
      </w:r>
      <w:r w:rsidR="009D56A9" w:rsidRPr="008A1DB4">
        <w:rPr>
          <w:spacing w:val="-2"/>
          <w:lang w:val="en-US"/>
        </w:rPr>
        <w:t>article 151</w:t>
      </w:r>
      <w:r w:rsidR="00FE32A6" w:rsidRPr="008A1DB4">
        <w:rPr>
          <w:spacing w:val="-2"/>
          <w:lang w:val="en-US"/>
        </w:rPr>
        <w:t xml:space="preserve">, </w:t>
      </w:r>
      <w:r w:rsidRPr="008A1DB4">
        <w:rPr>
          <w:spacing w:val="-2"/>
          <w:lang w:val="en-US"/>
        </w:rPr>
        <w:t>which established the death penalty.</w:t>
      </w:r>
      <w:r w:rsidR="00FE32A6" w:rsidRPr="008A1DB4">
        <w:rPr>
          <w:rStyle w:val="FootnoteReference"/>
          <w:spacing w:val="-2"/>
          <w:lang w:val="en-US"/>
        </w:rPr>
        <w:footnoteReference w:id="54"/>
      </w:r>
      <w:r w:rsidR="009D56A9">
        <w:rPr>
          <w:spacing w:val="-2"/>
          <w:lang w:val="en-US"/>
        </w:rPr>
        <w:t xml:space="preserve"> Following the procedure</w:t>
      </w:r>
      <w:r w:rsidRPr="008A1DB4">
        <w:rPr>
          <w:spacing w:val="-2"/>
          <w:lang w:val="en-US"/>
        </w:rPr>
        <w:t xml:space="preserve"> established in the Procedural Code </w:t>
      </w:r>
      <w:r w:rsidR="00FE32A6" w:rsidRPr="008A1DB4">
        <w:rPr>
          <w:spacing w:val="-2"/>
          <w:lang w:val="en-US"/>
        </w:rPr>
        <w:t>(</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_Ref401755433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59</w:t>
      </w:r>
      <w:r w:rsidR="00FE32A6" w:rsidRPr="008A1DB4">
        <w:rPr>
          <w:spacing w:val="-2"/>
          <w:lang w:val="en-US"/>
        </w:rPr>
        <w:fldChar w:fldCharType="end"/>
      </w:r>
      <w:r w:rsidR="00FE32A6" w:rsidRPr="008A1DB4">
        <w:rPr>
          <w:spacing w:val="-2"/>
          <w:lang w:val="en-US"/>
        </w:rPr>
        <w:t xml:space="preserve">), </w:t>
      </w:r>
      <w:r w:rsidRPr="008A1DB4">
        <w:rPr>
          <w:spacing w:val="-2"/>
          <w:lang w:val="en-US"/>
        </w:rPr>
        <w:t xml:space="preserve">on January 6, 2009, the case file was referred to </w:t>
      </w:r>
      <w:r w:rsidR="00B67AC5" w:rsidRPr="008A1DB4">
        <w:rPr>
          <w:spacing w:val="-2"/>
          <w:lang w:val="en-US"/>
        </w:rPr>
        <w:t xml:space="preserve">the </w:t>
      </w:r>
      <w:r w:rsidRPr="008A1DB4">
        <w:rPr>
          <w:spacing w:val="-2"/>
          <w:lang w:val="en-US"/>
        </w:rPr>
        <w:t>Supreme Court of Justice.</w:t>
      </w:r>
      <w:r w:rsidR="00FE32A6" w:rsidRPr="008A1DB4">
        <w:rPr>
          <w:rStyle w:val="FootnoteReference"/>
          <w:spacing w:val="-2"/>
          <w:lang w:val="en-US"/>
        </w:rPr>
        <w:footnoteReference w:id="55"/>
      </w:r>
      <w:r w:rsidR="00FE32A6" w:rsidRPr="008A1DB4">
        <w:rPr>
          <w:spacing w:val="-2"/>
          <w:lang w:val="en-US"/>
        </w:rPr>
        <w:t xml:space="preserve"> </w:t>
      </w:r>
      <w:r w:rsidRPr="008A1DB4">
        <w:rPr>
          <w:spacing w:val="-2"/>
          <w:lang w:val="en-US"/>
        </w:rPr>
        <w:t>On</w:t>
      </w:r>
      <w:r w:rsidR="00FE32A6" w:rsidRPr="008A1DB4">
        <w:rPr>
          <w:spacing w:val="-2"/>
          <w:lang w:val="en-US"/>
        </w:rPr>
        <w:t xml:space="preserve"> </w:t>
      </w:r>
      <w:r w:rsidRPr="008A1DB4">
        <w:rPr>
          <w:spacing w:val="-2"/>
          <w:lang w:val="en-US"/>
        </w:rPr>
        <w:t>January 19,</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the Second Transitory Criminal Chamber</w:t>
      </w:r>
      <w:r w:rsidR="00F36400" w:rsidRPr="008A1DB4">
        <w:rPr>
          <w:spacing w:val="-2"/>
          <w:lang w:val="en-US"/>
        </w:rPr>
        <w:t xml:space="preserve"> of </w:t>
      </w:r>
      <w:r w:rsidR="00B67AC5" w:rsidRPr="008A1DB4">
        <w:rPr>
          <w:spacing w:val="-2"/>
          <w:lang w:val="en-US"/>
        </w:rPr>
        <w:t xml:space="preserve">the </w:t>
      </w:r>
      <w:r w:rsidRPr="008A1DB4">
        <w:rPr>
          <w:spacing w:val="-2"/>
          <w:lang w:val="en-US"/>
        </w:rPr>
        <w:t>Supreme Court of Justice</w:t>
      </w:r>
      <w:r w:rsidR="00FE32A6" w:rsidRPr="008A1DB4" w:rsidDel="00B73E96">
        <w:rPr>
          <w:spacing w:val="-2"/>
          <w:lang w:val="en-US"/>
        </w:rPr>
        <w:t xml:space="preserve"> </w:t>
      </w:r>
      <w:r w:rsidRPr="008A1DB4">
        <w:rPr>
          <w:spacing w:val="-2"/>
          <w:lang w:val="en-US"/>
        </w:rPr>
        <w:t>held the extradition hearing.</w:t>
      </w:r>
      <w:r w:rsidR="00FE32A6" w:rsidRPr="008A1DB4">
        <w:rPr>
          <w:rStyle w:val="FootnoteReference"/>
          <w:spacing w:val="-2"/>
          <w:lang w:val="en-US"/>
        </w:rPr>
        <w:footnoteReference w:id="56"/>
      </w:r>
      <w:r w:rsidRPr="008A1DB4">
        <w:rPr>
          <w:spacing w:val="-2"/>
          <w:lang w:val="en-US"/>
        </w:rPr>
        <w:t xml:space="preserve"> That same day, a report of the</w:t>
      </w:r>
      <w:r w:rsidR="00087CF8" w:rsidRPr="008A1DB4">
        <w:rPr>
          <w:spacing w:val="-2"/>
          <w:lang w:val="en-US"/>
        </w:rPr>
        <w:t xml:space="preserve"> Smuggling Investigation Department of the Wuhan Customs’ Office was received from the representative of the People’s Republic of China explaining the acts that Wong Ho Wing was accused of, and the applicable law,</w:t>
      </w:r>
      <w:r w:rsidR="00FE32A6" w:rsidRPr="008A1DB4">
        <w:rPr>
          <w:rStyle w:val="FootnoteReference"/>
          <w:spacing w:val="-2"/>
          <w:lang w:val="en-US"/>
        </w:rPr>
        <w:footnoteReference w:id="57"/>
      </w:r>
      <w:r w:rsidR="00087CF8" w:rsidRPr="008A1DB4">
        <w:rPr>
          <w:spacing w:val="-2"/>
          <w:lang w:val="en-US"/>
        </w:rPr>
        <w:t xml:space="preserve"> with no mention of the possibility of imposing the death penalty for one of the offenses for which his extradition was requested. In addition, </w:t>
      </w:r>
      <w:r w:rsidR="00C45946" w:rsidRPr="008A1DB4">
        <w:rPr>
          <w:spacing w:val="-2"/>
          <w:lang w:val="en-US"/>
        </w:rPr>
        <w:t>the representative</w:t>
      </w:r>
      <w:r w:rsidR="00087CF8" w:rsidRPr="008A1DB4">
        <w:rPr>
          <w:spacing w:val="-2"/>
          <w:lang w:val="en-US"/>
        </w:rPr>
        <w:t xml:space="preserve"> presented his written arguments and provided the translation of the relevant parts of </w:t>
      </w:r>
      <w:r w:rsidR="00FE32A6" w:rsidRPr="008A1DB4">
        <w:rPr>
          <w:spacing w:val="-2"/>
          <w:lang w:val="en-US"/>
        </w:rPr>
        <w:t xml:space="preserve"> </w:t>
      </w:r>
      <w:r w:rsidR="00087CF8" w:rsidRPr="008A1DB4">
        <w:rPr>
          <w:spacing w:val="-2"/>
          <w:lang w:val="en-US"/>
        </w:rPr>
        <w:t>a</w:t>
      </w:r>
      <w:r w:rsidR="00F36400" w:rsidRPr="008A1DB4">
        <w:rPr>
          <w:spacing w:val="-2"/>
          <w:lang w:val="en-US"/>
        </w:rPr>
        <w:t>rticle</w:t>
      </w:r>
      <w:r w:rsidR="005E3B0F" w:rsidRPr="008A1DB4">
        <w:rPr>
          <w:spacing w:val="-2"/>
          <w:lang w:val="en-US"/>
        </w:rPr>
        <w:t>s 151</w:t>
      </w:r>
      <w:r w:rsidR="00F36400" w:rsidRPr="008A1DB4">
        <w:rPr>
          <w:spacing w:val="-2"/>
          <w:lang w:val="en-US"/>
        </w:rPr>
        <w:t xml:space="preserve"> and </w:t>
      </w:r>
      <w:r w:rsidR="005E3B0F" w:rsidRPr="008A1DB4">
        <w:rPr>
          <w:spacing w:val="-2"/>
          <w:lang w:val="en-US"/>
        </w:rPr>
        <w:t xml:space="preserve">153 </w:t>
      </w:r>
      <w:r w:rsidRPr="008A1DB4">
        <w:rPr>
          <w:spacing w:val="-2"/>
          <w:lang w:val="en-US"/>
        </w:rPr>
        <w:t xml:space="preserve">of the </w:t>
      </w:r>
      <w:r w:rsidR="00087CF8" w:rsidRPr="008A1DB4">
        <w:rPr>
          <w:spacing w:val="-2"/>
          <w:lang w:val="en-US"/>
        </w:rPr>
        <w:t xml:space="preserve">Chinese </w:t>
      </w:r>
      <w:r w:rsidRPr="008A1DB4">
        <w:rPr>
          <w:spacing w:val="-2"/>
          <w:lang w:val="en-US"/>
        </w:rPr>
        <w:t>Criminal Code</w:t>
      </w:r>
      <w:r w:rsidR="00FE32A6" w:rsidRPr="008A1DB4">
        <w:rPr>
          <w:spacing w:val="-2"/>
          <w:lang w:val="en-US"/>
        </w:rPr>
        <w:t xml:space="preserve">, </w:t>
      </w:r>
      <w:r w:rsidR="00087CF8" w:rsidRPr="008A1DB4">
        <w:rPr>
          <w:spacing w:val="-2"/>
          <w:lang w:val="en-US"/>
        </w:rPr>
        <w:t>which reveal that</w:t>
      </w:r>
      <w:r w:rsidR="009D56A9">
        <w:rPr>
          <w:spacing w:val="-2"/>
          <w:lang w:val="en-US"/>
        </w:rPr>
        <w:t xml:space="preserve">, </w:t>
      </w:r>
      <w:r w:rsidR="00087CF8" w:rsidRPr="008A1DB4">
        <w:rPr>
          <w:spacing w:val="-2"/>
          <w:lang w:val="en-US"/>
        </w:rPr>
        <w:t xml:space="preserve">when the amount defrauded is “more than [500,000] </w:t>
      </w:r>
      <w:proofErr w:type="spellStart"/>
      <w:r w:rsidR="00087CF8" w:rsidRPr="008A1DB4">
        <w:rPr>
          <w:spacing w:val="-2"/>
          <w:lang w:val="en-US"/>
        </w:rPr>
        <w:t>yuans</w:t>
      </w:r>
      <w:proofErr w:type="spellEnd"/>
      <w:r w:rsidR="00087CF8" w:rsidRPr="008A1DB4">
        <w:rPr>
          <w:spacing w:val="-2"/>
          <w:lang w:val="en-US"/>
        </w:rPr>
        <w:t xml:space="preserve">, as in this case,” </w:t>
      </w:r>
      <w:r w:rsidR="009D56A9" w:rsidRPr="008A1DB4">
        <w:rPr>
          <w:spacing w:val="-2"/>
          <w:lang w:val="en-US"/>
        </w:rPr>
        <w:t>smuggling merchandise and objects</w:t>
      </w:r>
      <w:r w:rsidR="009D56A9">
        <w:rPr>
          <w:spacing w:val="-2"/>
          <w:lang w:val="en-US"/>
        </w:rPr>
        <w:t xml:space="preserve"> </w:t>
      </w:r>
      <w:r w:rsidR="00087CF8" w:rsidRPr="008A1DB4">
        <w:rPr>
          <w:spacing w:val="-2"/>
          <w:lang w:val="en-US"/>
        </w:rPr>
        <w:t xml:space="preserve">is punished in accordance with the provisions of </w:t>
      </w:r>
      <w:r w:rsidR="00776D24" w:rsidRPr="008A1DB4">
        <w:rPr>
          <w:spacing w:val="-2"/>
          <w:lang w:val="en-US"/>
        </w:rPr>
        <w:t>paragraph</w:t>
      </w:r>
      <w:r w:rsidR="00087CF8" w:rsidRPr="008A1DB4">
        <w:rPr>
          <w:spacing w:val="-2"/>
          <w:lang w:val="en-US"/>
        </w:rPr>
        <w:t xml:space="preserve"> 4</w:t>
      </w:r>
      <w:r w:rsidR="00FE32A6" w:rsidRPr="008A1DB4">
        <w:rPr>
          <w:spacing w:val="-2"/>
          <w:lang w:val="en-US"/>
        </w:rPr>
        <w:t xml:space="preserve"> </w:t>
      </w:r>
      <w:r w:rsidR="00087CF8" w:rsidRPr="008A1DB4">
        <w:rPr>
          <w:spacing w:val="-2"/>
          <w:lang w:val="en-US"/>
        </w:rPr>
        <w:lastRenderedPageBreak/>
        <w:t>of a</w:t>
      </w:r>
      <w:r w:rsidR="0058668C" w:rsidRPr="008A1DB4">
        <w:rPr>
          <w:spacing w:val="-2"/>
          <w:lang w:val="en-US"/>
        </w:rPr>
        <w:t>rticle</w:t>
      </w:r>
      <w:r w:rsidR="00FE32A6" w:rsidRPr="008A1DB4">
        <w:rPr>
          <w:spacing w:val="-2"/>
          <w:lang w:val="en-US"/>
        </w:rPr>
        <w:t xml:space="preserve"> 151 </w:t>
      </w:r>
      <w:r w:rsidR="009D56A9">
        <w:rPr>
          <w:spacing w:val="-2"/>
          <w:lang w:val="en-US"/>
        </w:rPr>
        <w:t xml:space="preserve">of this law,” and this </w:t>
      </w:r>
      <w:r w:rsidR="00087CF8" w:rsidRPr="008A1DB4">
        <w:rPr>
          <w:spacing w:val="-2"/>
          <w:lang w:val="en-US"/>
        </w:rPr>
        <w:t>es</w:t>
      </w:r>
      <w:r w:rsidR="00216773" w:rsidRPr="008A1DB4">
        <w:rPr>
          <w:spacing w:val="-2"/>
          <w:lang w:val="en-US"/>
        </w:rPr>
        <w:t>tablishes that, “in very serious</w:t>
      </w:r>
      <w:r w:rsidR="00087CF8" w:rsidRPr="008A1DB4">
        <w:rPr>
          <w:spacing w:val="-2"/>
          <w:lang w:val="en-US"/>
        </w:rPr>
        <w:t xml:space="preserve"> cases, the accused shall be conde</w:t>
      </w:r>
      <w:r w:rsidR="009D56A9">
        <w:rPr>
          <w:spacing w:val="-2"/>
          <w:lang w:val="en-US"/>
        </w:rPr>
        <w:t>mned to life imprisonment or to</w:t>
      </w:r>
      <w:r w:rsidR="00087CF8" w:rsidRPr="008A1DB4">
        <w:rPr>
          <w:spacing w:val="-2"/>
          <w:lang w:val="en-US"/>
        </w:rPr>
        <w:t xml:space="preserve"> death.</w:t>
      </w:r>
      <w:r w:rsidR="00FE32A6" w:rsidRPr="008A1DB4">
        <w:rPr>
          <w:spacing w:val="-2"/>
          <w:lang w:val="en-US"/>
        </w:rPr>
        <w:t>”</w:t>
      </w:r>
      <w:r w:rsidR="00FE32A6" w:rsidRPr="008A1DB4">
        <w:rPr>
          <w:rStyle w:val="FootnoteReference"/>
          <w:spacing w:val="-2"/>
          <w:lang w:val="en-US"/>
        </w:rPr>
        <w:footnoteReference w:id="58"/>
      </w:r>
    </w:p>
    <w:p w14:paraId="3501D719" w14:textId="77777777" w:rsidR="00FE32A6" w:rsidRPr="008A1DB4" w:rsidRDefault="00FE32A6" w:rsidP="00956E97">
      <w:pPr>
        <w:pStyle w:val="ListParagraph"/>
        <w:rPr>
          <w:spacing w:val="-2"/>
          <w:lang w:val="en-US"/>
        </w:rPr>
      </w:pPr>
    </w:p>
    <w:p w14:paraId="22A5A34A" w14:textId="537EF7EC" w:rsidR="00FE32A6" w:rsidRPr="008A1DB4" w:rsidRDefault="00087CF8" w:rsidP="00087CF8">
      <w:pPr>
        <w:pStyle w:val="PrrafodeSentencia"/>
        <w:rPr>
          <w:b/>
          <w:spacing w:val="-2"/>
          <w:lang w:val="en-US"/>
        </w:rPr>
      </w:pPr>
      <w:r w:rsidRPr="008A1DB4">
        <w:rPr>
          <w:spacing w:val="-2"/>
          <w:lang w:val="en-US"/>
        </w:rPr>
        <w:t>On</w:t>
      </w:r>
      <w:r w:rsidR="00FE32A6" w:rsidRPr="008A1DB4">
        <w:rPr>
          <w:spacing w:val="-2"/>
          <w:lang w:val="en-US"/>
        </w:rPr>
        <w:t xml:space="preserve"> </w:t>
      </w:r>
      <w:r w:rsidR="001E7113" w:rsidRPr="008A1DB4">
        <w:rPr>
          <w:spacing w:val="-2"/>
          <w:lang w:val="en-US"/>
        </w:rPr>
        <w:t>January 20,</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001E7113" w:rsidRPr="008A1DB4">
        <w:rPr>
          <w:spacing w:val="-2"/>
          <w:lang w:val="en-US"/>
        </w:rPr>
        <w:t>the Second Transitory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xml:space="preserve"> </w:t>
      </w:r>
      <w:r w:rsidRPr="008A1DB4">
        <w:rPr>
          <w:spacing w:val="-2"/>
          <w:lang w:val="en-US"/>
        </w:rPr>
        <w:t>issued the first</w:t>
      </w:r>
      <w:r w:rsidR="00FE32A6" w:rsidRPr="008A1DB4">
        <w:rPr>
          <w:spacing w:val="-2"/>
          <w:lang w:val="en-US"/>
        </w:rPr>
        <w:t xml:space="preserve"> </w:t>
      </w:r>
      <w:r w:rsidR="002D1CFC" w:rsidRPr="008A1DB4">
        <w:rPr>
          <w:spacing w:val="-2"/>
          <w:lang w:val="en-US"/>
        </w:rPr>
        <w:t>advisory decision</w:t>
      </w:r>
      <w:r w:rsidRPr="008A1DB4">
        <w:rPr>
          <w:spacing w:val="-2"/>
          <w:lang w:val="en-US"/>
        </w:rPr>
        <w:t xml:space="preserve"> i</w:t>
      </w:r>
      <w:r w:rsidR="00FE32A6" w:rsidRPr="008A1DB4">
        <w:rPr>
          <w:spacing w:val="-2"/>
          <w:lang w:val="en-US"/>
        </w:rPr>
        <w:t xml:space="preserve">n </w:t>
      </w:r>
      <w:r w:rsidR="009D56A9">
        <w:rPr>
          <w:spacing w:val="-2"/>
          <w:lang w:val="en-US"/>
        </w:rPr>
        <w:t>the extradition proceedings</w:t>
      </w:r>
      <w:r w:rsidR="00FE32A6" w:rsidRPr="008A1DB4">
        <w:rPr>
          <w:spacing w:val="-2"/>
          <w:lang w:val="en-US"/>
        </w:rPr>
        <w:t xml:space="preserve">. </w:t>
      </w:r>
      <w:r w:rsidRPr="008A1DB4">
        <w:rPr>
          <w:spacing w:val="-2"/>
          <w:lang w:val="en-US"/>
        </w:rPr>
        <w:t xml:space="preserve">In this decision, </w:t>
      </w:r>
      <w:r w:rsidR="00B67AC5" w:rsidRPr="008A1DB4">
        <w:rPr>
          <w:spacing w:val="-2"/>
          <w:lang w:val="en-US"/>
        </w:rPr>
        <w:t>the Supreme Court</w:t>
      </w:r>
      <w:r w:rsidR="00FE32A6" w:rsidRPr="008A1DB4">
        <w:rPr>
          <w:spacing w:val="-2"/>
          <w:lang w:val="en-US"/>
        </w:rPr>
        <w:t xml:space="preserve"> declar</w:t>
      </w:r>
      <w:r w:rsidRPr="008A1DB4">
        <w:rPr>
          <w:spacing w:val="-2"/>
          <w:lang w:val="en-US"/>
        </w:rPr>
        <w:t xml:space="preserve">ed the extradition request admissible for the offenses of </w:t>
      </w:r>
      <w:r w:rsidR="00D46A18" w:rsidRPr="008A1DB4">
        <w:rPr>
          <w:spacing w:val="-2"/>
          <w:lang w:val="en-US"/>
        </w:rPr>
        <w:t xml:space="preserve">evasion of customs duty </w:t>
      </w:r>
      <w:r w:rsidRPr="008A1DB4">
        <w:rPr>
          <w:spacing w:val="-2"/>
          <w:lang w:val="en-US"/>
        </w:rPr>
        <w:t xml:space="preserve">and bribery, considering that the requirements established in the extradition treaty between the two States had been met, and clarifying that, with regard to the offense of </w:t>
      </w:r>
      <w:r w:rsidR="00D46A18" w:rsidRPr="008A1DB4">
        <w:rPr>
          <w:spacing w:val="-2"/>
          <w:lang w:val="en-US"/>
        </w:rPr>
        <w:t>evasion of customs duty</w:t>
      </w:r>
      <w:r w:rsidRPr="008A1DB4">
        <w:rPr>
          <w:spacing w:val="-2"/>
          <w:lang w:val="en-US"/>
        </w:rPr>
        <w:t>, extradition was only in order “for the criminal offense established in the first</w:t>
      </w:r>
      <w:r w:rsidRPr="008A1DB4">
        <w:rPr>
          <w:b/>
          <w:spacing w:val="-2"/>
          <w:lang w:val="en-US"/>
        </w:rPr>
        <w:t xml:space="preserve"> </w:t>
      </w:r>
      <w:r w:rsidR="00776D24" w:rsidRPr="008A1DB4">
        <w:rPr>
          <w:spacing w:val="-2"/>
          <w:lang w:val="en-US"/>
        </w:rPr>
        <w:t>paragraph</w:t>
      </w:r>
      <w:r w:rsidR="00FE32A6" w:rsidRPr="008A1DB4">
        <w:rPr>
          <w:spacing w:val="-2"/>
          <w:lang w:val="en-US"/>
        </w:rPr>
        <w:t xml:space="preserve"> </w:t>
      </w:r>
      <w:r w:rsidRPr="008A1DB4">
        <w:rPr>
          <w:spacing w:val="-2"/>
          <w:lang w:val="en-US"/>
        </w:rPr>
        <w:t>of a</w:t>
      </w:r>
      <w:r w:rsidR="0058668C" w:rsidRPr="008A1DB4">
        <w:rPr>
          <w:spacing w:val="-2"/>
          <w:lang w:val="en-US"/>
        </w:rPr>
        <w:t>rticle</w:t>
      </w:r>
      <w:r w:rsidR="00FE32A6" w:rsidRPr="008A1DB4">
        <w:rPr>
          <w:spacing w:val="-2"/>
          <w:lang w:val="en-US"/>
        </w:rPr>
        <w:t xml:space="preserve"> [153] </w:t>
      </w:r>
      <w:r w:rsidR="001E7113" w:rsidRPr="008A1DB4">
        <w:rPr>
          <w:spacing w:val="-2"/>
          <w:lang w:val="en-US"/>
        </w:rPr>
        <w:t xml:space="preserve">of the </w:t>
      </w:r>
      <w:r w:rsidRPr="008A1DB4">
        <w:rPr>
          <w:spacing w:val="-2"/>
          <w:lang w:val="en-US"/>
        </w:rPr>
        <w:t>Chinese Criminal Code.” At the same time, it declared that extradition for the offense of money-</w:t>
      </w:r>
      <w:r w:rsidR="00947926" w:rsidRPr="008A1DB4">
        <w:rPr>
          <w:spacing w:val="-2"/>
          <w:lang w:val="en-US"/>
        </w:rPr>
        <w:t>laundering</w:t>
      </w:r>
      <w:r w:rsidRPr="008A1DB4">
        <w:rPr>
          <w:spacing w:val="-2"/>
          <w:lang w:val="en-US"/>
        </w:rPr>
        <w:t xml:space="preserve"> was inadmissible because, at the time that, presumably, </w:t>
      </w:r>
      <w:r w:rsidR="00FE32A6" w:rsidRPr="008A1DB4">
        <w:rPr>
          <w:spacing w:val="-2"/>
          <w:lang w:val="en-US"/>
        </w:rPr>
        <w:t>“</w:t>
      </w:r>
      <w:r w:rsidRPr="008A1DB4">
        <w:rPr>
          <w:spacing w:val="-2"/>
          <w:lang w:val="en-US"/>
        </w:rPr>
        <w:t>the acts were</w:t>
      </w:r>
      <w:r w:rsidR="0010628C" w:rsidRPr="008A1DB4">
        <w:rPr>
          <w:spacing w:val="-2"/>
          <w:lang w:val="en-US"/>
        </w:rPr>
        <w:t xml:space="preserve"> </w:t>
      </w:r>
      <w:r w:rsidRPr="008A1DB4">
        <w:rPr>
          <w:spacing w:val="-2"/>
          <w:lang w:val="en-US"/>
        </w:rPr>
        <w:t xml:space="preserve">committed in the country of the individual </w:t>
      </w:r>
      <w:r w:rsidR="009D56A9">
        <w:rPr>
          <w:spacing w:val="-2"/>
          <w:lang w:val="en-US"/>
        </w:rPr>
        <w:t>sought</w:t>
      </w:r>
      <w:r w:rsidRPr="008A1DB4">
        <w:rPr>
          <w:spacing w:val="-2"/>
          <w:lang w:val="en-US"/>
        </w:rPr>
        <w:t xml:space="preserve"> […], this offense was not</w:t>
      </w:r>
      <w:r w:rsidR="009D56A9">
        <w:rPr>
          <w:spacing w:val="-2"/>
          <w:lang w:val="en-US"/>
        </w:rPr>
        <w:t xml:space="preserve"> defined</w:t>
      </w:r>
      <w:r w:rsidRPr="008A1DB4">
        <w:rPr>
          <w:spacing w:val="-2"/>
          <w:lang w:val="en-US"/>
        </w:rPr>
        <w:t xml:space="preserve"> in [Peruvian] criminal law.</w:t>
      </w:r>
      <w:r w:rsidR="00FE32A6" w:rsidRPr="008A1DB4">
        <w:rPr>
          <w:spacing w:val="-2"/>
          <w:lang w:val="en-US"/>
        </w:rPr>
        <w:t>”</w:t>
      </w:r>
      <w:r w:rsidR="00FE32A6" w:rsidRPr="008A1DB4">
        <w:rPr>
          <w:rStyle w:val="FootnoteReference"/>
          <w:spacing w:val="-2"/>
          <w:lang w:val="en-US"/>
        </w:rPr>
        <w:footnoteReference w:id="59"/>
      </w:r>
      <w:bookmarkEnd w:id="491"/>
    </w:p>
    <w:p w14:paraId="4776131E" w14:textId="77777777" w:rsidR="00FE32A6" w:rsidRPr="008A1DB4" w:rsidRDefault="00FE32A6" w:rsidP="00956E97">
      <w:pPr>
        <w:pStyle w:val="ListParagraph"/>
        <w:rPr>
          <w:spacing w:val="-2"/>
          <w:lang w:val="en-US"/>
        </w:rPr>
      </w:pPr>
    </w:p>
    <w:p w14:paraId="17C83972" w14:textId="12C27AFB" w:rsidR="00FE32A6" w:rsidRPr="008A1DB4" w:rsidRDefault="00E022F9" w:rsidP="00E022F9">
      <w:pPr>
        <w:pStyle w:val="PrrafodeSentencia"/>
        <w:tabs>
          <w:tab w:val="left" w:pos="2790"/>
        </w:tabs>
        <w:rPr>
          <w:spacing w:val="-2"/>
          <w:lang w:val="en-US"/>
        </w:rPr>
      </w:pPr>
      <w:bookmarkStart w:id="492" w:name="_Ref418911463"/>
      <w:r w:rsidRPr="008A1DB4">
        <w:rPr>
          <w:spacing w:val="-2"/>
          <w:lang w:val="en-US"/>
        </w:rPr>
        <w:t>Following this decision, on</w:t>
      </w:r>
      <w:r w:rsidR="00FE32A6" w:rsidRPr="008A1DB4">
        <w:rPr>
          <w:spacing w:val="-2"/>
          <w:lang w:val="en-US"/>
        </w:rPr>
        <w:t xml:space="preserve"> </w:t>
      </w:r>
      <w:r w:rsidR="00631F9C" w:rsidRPr="008A1DB4">
        <w:rPr>
          <w:spacing w:val="-2"/>
          <w:lang w:val="en-US"/>
        </w:rPr>
        <w:t>January 26,</w:t>
      </w:r>
      <w:r w:rsidRPr="008A1DB4">
        <w:rPr>
          <w:spacing w:val="-2"/>
          <w:lang w:val="en-US"/>
        </w:rPr>
        <w:t xml:space="preserve"> 2009, </w:t>
      </w:r>
      <w:r w:rsidR="00B43F84" w:rsidRPr="008A1DB4">
        <w:rPr>
          <w:spacing w:val="-2"/>
          <w:lang w:val="en-US"/>
        </w:rPr>
        <w:t>Wong</w:t>
      </w:r>
      <w:r w:rsidR="00FE32A6" w:rsidRPr="008A1DB4">
        <w:rPr>
          <w:spacing w:val="-2"/>
          <w:lang w:val="en-US"/>
        </w:rPr>
        <w:t xml:space="preserve"> Ho Wing</w:t>
      </w:r>
      <w:r w:rsidRPr="008A1DB4">
        <w:rPr>
          <w:spacing w:val="-2"/>
          <w:lang w:val="en-US"/>
        </w:rPr>
        <w:t xml:space="preserve">’s brother filed a </w:t>
      </w:r>
      <w:r w:rsidRPr="008A1DB4">
        <w:rPr>
          <w:b/>
          <w:spacing w:val="-2"/>
          <w:lang w:val="en-US"/>
        </w:rPr>
        <w:t xml:space="preserve">first application for </w:t>
      </w:r>
      <w:r w:rsidRPr="008A1DB4">
        <w:rPr>
          <w:b/>
          <w:i/>
          <w:spacing w:val="-2"/>
          <w:lang w:val="en-US"/>
        </w:rPr>
        <w:t>habeas corpus</w:t>
      </w:r>
      <w:r w:rsidR="00FE32A6" w:rsidRPr="008A1DB4">
        <w:rPr>
          <w:spacing w:val="-2"/>
          <w:lang w:val="en-US"/>
        </w:rPr>
        <w:t xml:space="preserve"> </w:t>
      </w:r>
      <w:r w:rsidRPr="008A1DB4">
        <w:rPr>
          <w:spacing w:val="-2"/>
          <w:lang w:val="en-US"/>
        </w:rPr>
        <w:t xml:space="preserve">against the judges </w:t>
      </w:r>
      <w:r w:rsidR="00671326" w:rsidRPr="008A1DB4">
        <w:rPr>
          <w:spacing w:val="-2"/>
          <w:lang w:val="en-US"/>
        </w:rPr>
        <w:t xml:space="preserve">of the </w:t>
      </w:r>
      <w:r w:rsidR="001E7113" w:rsidRPr="008A1DB4">
        <w:rPr>
          <w:spacing w:val="-2"/>
          <w:lang w:val="en-US"/>
        </w:rPr>
        <w:t>Second Transitory Criminal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w:t>
      </w:r>
      <w:r w:rsidRPr="008A1DB4">
        <w:rPr>
          <w:spacing w:val="-2"/>
          <w:lang w:val="en-US"/>
        </w:rPr>
        <w:t>based on the certain and imminent threat of violation of the right</w:t>
      </w:r>
      <w:r w:rsidR="00152E77">
        <w:rPr>
          <w:spacing w:val="-2"/>
          <w:lang w:val="en-US"/>
        </w:rPr>
        <w:t>s</w:t>
      </w:r>
      <w:r w:rsidRPr="008A1DB4">
        <w:rPr>
          <w:spacing w:val="-2"/>
          <w:lang w:val="en-US"/>
        </w:rPr>
        <w:t xml:space="preserve"> to life and </w:t>
      </w:r>
      <w:r w:rsidR="00776D24" w:rsidRPr="008A1DB4">
        <w:rPr>
          <w:spacing w:val="-2"/>
          <w:lang w:val="en-US"/>
        </w:rPr>
        <w:t>personal integrity</w:t>
      </w:r>
      <w:r w:rsidRPr="008A1DB4">
        <w:rPr>
          <w:spacing w:val="-2"/>
          <w:lang w:val="en-US"/>
        </w:rPr>
        <w:t xml:space="preserve"> of</w:t>
      </w:r>
      <w:r w:rsidR="00FE32A6" w:rsidRPr="008A1DB4">
        <w:rPr>
          <w:spacing w:val="-2"/>
          <w:lang w:val="en-US"/>
        </w:rPr>
        <w:t xml:space="preserve"> […] Wong Ho Wing</w:t>
      </w:r>
      <w:r w:rsidRPr="008A1DB4">
        <w:rPr>
          <w:spacing w:val="-2"/>
          <w:lang w:val="en-US"/>
        </w:rPr>
        <w:t xml:space="preserve">.” Among other grounds, he indicated that “in a malicious and covert manner, </w:t>
      </w:r>
      <w:r w:rsidR="00087CF8" w:rsidRPr="008A1DB4">
        <w:rPr>
          <w:spacing w:val="-2"/>
          <w:lang w:val="en-US"/>
        </w:rPr>
        <w:t>the extradition request</w:t>
      </w:r>
      <w:r w:rsidRPr="008A1DB4">
        <w:rPr>
          <w:spacing w:val="-2"/>
          <w:lang w:val="en-US"/>
        </w:rPr>
        <w:t xml:space="preserve"> […] did not attach the relevant translation of a</w:t>
      </w:r>
      <w:r w:rsidR="0058668C" w:rsidRPr="008A1DB4">
        <w:rPr>
          <w:spacing w:val="-2"/>
          <w:lang w:val="en-US"/>
        </w:rPr>
        <w:t>rticle</w:t>
      </w:r>
      <w:r w:rsidRPr="008A1DB4">
        <w:rPr>
          <w:spacing w:val="-2"/>
          <w:lang w:val="en-US"/>
        </w:rPr>
        <w:t xml:space="preserve"> 151</w:t>
      </w:r>
      <w:r w:rsidR="00FE32A6" w:rsidRPr="008A1DB4">
        <w:rPr>
          <w:spacing w:val="-2"/>
          <w:lang w:val="en-US"/>
        </w:rPr>
        <w:t xml:space="preserve"> </w:t>
      </w:r>
      <w:r w:rsidR="001E7113" w:rsidRPr="008A1DB4">
        <w:rPr>
          <w:spacing w:val="-2"/>
          <w:lang w:val="en-US"/>
        </w:rPr>
        <w:t xml:space="preserve">of the </w:t>
      </w:r>
      <w:r w:rsidR="00087CF8" w:rsidRPr="008A1DB4">
        <w:rPr>
          <w:spacing w:val="-2"/>
          <w:lang w:val="en-US"/>
        </w:rPr>
        <w:t>Chinese Criminal Code</w:t>
      </w:r>
      <w:r w:rsidR="00FE32A6" w:rsidRPr="008A1DB4">
        <w:rPr>
          <w:spacing w:val="-2"/>
          <w:lang w:val="en-US"/>
        </w:rPr>
        <w:t xml:space="preserve"> </w:t>
      </w:r>
      <w:r w:rsidRPr="008A1DB4">
        <w:rPr>
          <w:spacing w:val="-2"/>
          <w:lang w:val="en-US"/>
        </w:rPr>
        <w:t xml:space="preserve">because this provision contains the death penalty for the offense of smuggling.” </w:t>
      </w:r>
      <w:r w:rsidR="009D56A9">
        <w:rPr>
          <w:spacing w:val="-2"/>
          <w:lang w:val="en-US"/>
        </w:rPr>
        <w:t xml:space="preserve"> He also indicated that, in</w:t>
      </w:r>
      <w:r w:rsidRPr="008A1DB4">
        <w:rPr>
          <w:spacing w:val="-2"/>
          <w:lang w:val="en-US"/>
        </w:rPr>
        <w:t xml:space="preserve"> </w:t>
      </w:r>
      <w:r w:rsidR="009D56A9">
        <w:rPr>
          <w:spacing w:val="-2"/>
          <w:lang w:val="en-US"/>
        </w:rPr>
        <w:t xml:space="preserve">an </w:t>
      </w:r>
      <w:r w:rsidRPr="008A1DB4">
        <w:rPr>
          <w:spacing w:val="-2"/>
          <w:lang w:val="en-US"/>
        </w:rPr>
        <w:t>extradition process</w:t>
      </w:r>
      <w:r w:rsidR="009D56A9">
        <w:rPr>
          <w:spacing w:val="-2"/>
          <w:lang w:val="en-US"/>
        </w:rPr>
        <w:t xml:space="preserve"> </w:t>
      </w:r>
      <w:r w:rsidRPr="008A1DB4">
        <w:rPr>
          <w:spacing w:val="-2"/>
          <w:lang w:val="en-US"/>
        </w:rPr>
        <w:t xml:space="preserve">in which the offense involved was punished with the death penalty, “it </w:t>
      </w:r>
      <w:r w:rsidR="009D56A9">
        <w:rPr>
          <w:spacing w:val="-2"/>
          <w:lang w:val="en-US"/>
        </w:rPr>
        <w:t>was for</w:t>
      </w:r>
      <w:r w:rsidRPr="008A1DB4">
        <w:rPr>
          <w:spacing w:val="-2"/>
          <w:lang w:val="en-US"/>
        </w:rPr>
        <w:t xml:space="preserve"> the </w:t>
      </w:r>
      <w:r w:rsidR="00947926" w:rsidRPr="008A1DB4">
        <w:rPr>
          <w:spacing w:val="-2"/>
          <w:lang w:val="en-US"/>
        </w:rPr>
        <w:t>Prosecutor</w:t>
      </w:r>
      <w:r w:rsidRPr="008A1DB4">
        <w:rPr>
          <w:spacing w:val="-2"/>
          <w:lang w:val="en-US"/>
        </w:rPr>
        <w:t xml:space="preserve"> General […] to safeguard the l</w:t>
      </w:r>
      <w:r w:rsidR="0056729D">
        <w:rPr>
          <w:spacing w:val="-2"/>
          <w:lang w:val="en-US"/>
        </w:rPr>
        <w:t>awfulness</w:t>
      </w:r>
      <w:r w:rsidRPr="008A1DB4">
        <w:rPr>
          <w:spacing w:val="-2"/>
          <w:lang w:val="en-US"/>
        </w:rPr>
        <w:t xml:space="preserve"> of the proceedings</w:t>
      </w:r>
      <w:r w:rsidR="009D56A9">
        <w:rPr>
          <w:spacing w:val="-2"/>
          <w:lang w:val="en-US"/>
        </w:rPr>
        <w:t xml:space="preserve"> by</w:t>
      </w:r>
      <w:r w:rsidRPr="008A1DB4">
        <w:rPr>
          <w:spacing w:val="-2"/>
          <w:lang w:val="en-US"/>
        </w:rPr>
        <w:t xml:space="preserve"> issuing an opinion in </w:t>
      </w:r>
      <w:r w:rsidR="009D56A9">
        <w:rPr>
          <w:spacing w:val="-2"/>
          <w:lang w:val="en-US"/>
        </w:rPr>
        <w:t xml:space="preserve">the </w:t>
      </w:r>
      <w:r w:rsidRPr="008A1DB4">
        <w:rPr>
          <w:spacing w:val="-2"/>
          <w:lang w:val="en-US"/>
        </w:rPr>
        <w:t>extradition proce</w:t>
      </w:r>
      <w:r w:rsidR="009D56A9">
        <w:rPr>
          <w:spacing w:val="-2"/>
          <w:lang w:val="en-US"/>
        </w:rPr>
        <w:t>ss</w:t>
      </w:r>
      <w:r w:rsidRPr="008A1DB4">
        <w:rPr>
          <w:spacing w:val="-2"/>
          <w:lang w:val="en-US"/>
        </w:rPr>
        <w:t xml:space="preserve">, and ruling on </w:t>
      </w:r>
      <w:r w:rsidR="009D56A9">
        <w:rPr>
          <w:spacing w:val="-2"/>
          <w:lang w:val="en-US"/>
        </w:rPr>
        <w:t xml:space="preserve">the admissibility of </w:t>
      </w:r>
      <w:r w:rsidRPr="008A1DB4">
        <w:rPr>
          <w:spacing w:val="-2"/>
          <w:lang w:val="en-US"/>
        </w:rPr>
        <w:t xml:space="preserve">the </w:t>
      </w:r>
      <w:r w:rsidR="00947926" w:rsidRPr="008A1DB4">
        <w:rPr>
          <w:spacing w:val="-2"/>
          <w:lang w:val="en-US"/>
        </w:rPr>
        <w:t>request</w:t>
      </w:r>
      <w:r w:rsidRPr="008A1DB4">
        <w:rPr>
          <w:spacing w:val="-2"/>
          <w:lang w:val="en-US"/>
        </w:rPr>
        <w:t xml:space="preserve">.” The application also </w:t>
      </w:r>
      <w:r w:rsidR="009D56A9">
        <w:rPr>
          <w:spacing w:val="-2"/>
          <w:lang w:val="en-US"/>
        </w:rPr>
        <w:t>asked for the release of</w:t>
      </w:r>
      <w:r w:rsidRPr="008A1DB4">
        <w:rPr>
          <w:spacing w:val="-2"/>
          <w:lang w:val="en-US"/>
        </w:rPr>
        <w:t xml:space="preserve"> </w:t>
      </w:r>
      <w:bookmarkStart w:id="493" w:name="_Ref400116830"/>
      <w:r w:rsidR="00B43F84" w:rsidRPr="008A1DB4">
        <w:rPr>
          <w:spacing w:val="-2"/>
          <w:lang w:val="en-US"/>
        </w:rPr>
        <w:t>Wong</w:t>
      </w:r>
      <w:r w:rsidR="00FE32A6" w:rsidRPr="008A1DB4">
        <w:rPr>
          <w:spacing w:val="-2"/>
          <w:lang w:val="en-US"/>
        </w:rPr>
        <w:t xml:space="preserve"> Ho Wing</w:t>
      </w:r>
      <w:r w:rsidRPr="008A1DB4">
        <w:rPr>
          <w:spacing w:val="-2"/>
          <w:lang w:val="en-US"/>
        </w:rPr>
        <w:t>.</w:t>
      </w:r>
      <w:r w:rsidR="00FE32A6" w:rsidRPr="008A1DB4">
        <w:rPr>
          <w:rStyle w:val="FootnoteReference"/>
          <w:spacing w:val="-2"/>
          <w:lang w:val="en-US"/>
        </w:rPr>
        <w:footnoteReference w:id="60"/>
      </w:r>
      <w:bookmarkEnd w:id="492"/>
      <w:bookmarkEnd w:id="493"/>
    </w:p>
    <w:p w14:paraId="77509231" w14:textId="77777777" w:rsidR="00FE32A6" w:rsidRPr="008A1DB4" w:rsidRDefault="00FE32A6" w:rsidP="00956E97">
      <w:pPr>
        <w:rPr>
          <w:spacing w:val="-2"/>
          <w:lang w:val="en-US"/>
        </w:rPr>
      </w:pPr>
    </w:p>
    <w:p w14:paraId="69056273" w14:textId="559D6482" w:rsidR="00FE32A6" w:rsidRPr="008A1DB4" w:rsidRDefault="00E022F9" w:rsidP="00956E97">
      <w:pPr>
        <w:pStyle w:val="PrrafodeSentencia"/>
        <w:rPr>
          <w:spacing w:val="-2"/>
          <w:lang w:val="en-US"/>
        </w:rPr>
      </w:pPr>
      <w:r w:rsidRPr="008A1DB4">
        <w:rPr>
          <w:spacing w:val="-2"/>
          <w:lang w:val="en-US"/>
        </w:rPr>
        <w:t>On</w:t>
      </w:r>
      <w:r w:rsidR="00FE32A6" w:rsidRPr="008A1DB4">
        <w:rPr>
          <w:spacing w:val="-2"/>
          <w:lang w:val="en-US"/>
        </w:rPr>
        <w:t xml:space="preserve"> </w:t>
      </w:r>
      <w:r w:rsidRPr="008A1DB4">
        <w:rPr>
          <w:spacing w:val="-2"/>
          <w:lang w:val="en-US"/>
        </w:rPr>
        <w:t>February 2,</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00FE5E87" w:rsidRPr="008A1DB4">
        <w:rPr>
          <w:spacing w:val="-2"/>
          <w:lang w:val="en-US"/>
        </w:rPr>
        <w:t>the People’s Republic of China</w:t>
      </w:r>
      <w:r w:rsidR="00FE32A6" w:rsidRPr="008A1DB4">
        <w:rPr>
          <w:spacing w:val="-2"/>
          <w:lang w:val="en-US"/>
        </w:rPr>
        <w:t xml:space="preserve"> </w:t>
      </w:r>
      <w:r w:rsidRPr="008A1DB4">
        <w:rPr>
          <w:spacing w:val="-2"/>
          <w:lang w:val="en-US"/>
        </w:rPr>
        <w:t>submitted an explanation from the Ministry of Public Security to</w:t>
      </w:r>
      <w:r w:rsidR="00FE32A6" w:rsidRPr="008A1DB4">
        <w:rPr>
          <w:spacing w:val="-2"/>
          <w:lang w:val="en-US"/>
        </w:rPr>
        <w:t xml:space="preserve"> </w:t>
      </w:r>
      <w:r w:rsidR="00F36400" w:rsidRPr="008A1DB4">
        <w:rPr>
          <w:spacing w:val="-2"/>
          <w:lang w:val="en-US"/>
        </w:rPr>
        <w:t xml:space="preserve">the </w:t>
      </w:r>
      <w:r w:rsidRPr="008A1DB4">
        <w:rPr>
          <w:spacing w:val="-2"/>
          <w:lang w:val="en-US"/>
        </w:rPr>
        <w:t>Official Commission for Extradition</w:t>
      </w:r>
      <w:r w:rsidR="009D56A9">
        <w:rPr>
          <w:spacing w:val="-2"/>
          <w:lang w:val="en-US"/>
        </w:rPr>
        <w:t>s</w:t>
      </w:r>
      <w:r w:rsidRPr="008A1DB4">
        <w:rPr>
          <w:spacing w:val="-2"/>
          <w:lang w:val="en-US"/>
        </w:rPr>
        <w:t xml:space="preserve"> and </w:t>
      </w:r>
      <w:r w:rsidR="009D56A9">
        <w:rPr>
          <w:spacing w:val="-2"/>
          <w:lang w:val="en-US"/>
        </w:rPr>
        <w:t>Prisoner</w:t>
      </w:r>
      <w:r w:rsidRPr="008A1DB4">
        <w:rPr>
          <w:spacing w:val="-2"/>
          <w:lang w:val="en-US"/>
        </w:rPr>
        <w:t xml:space="preserve"> Transfers</w:t>
      </w:r>
      <w:r w:rsidR="00671326" w:rsidRPr="008A1DB4">
        <w:rPr>
          <w:spacing w:val="-2"/>
          <w:lang w:val="en-US"/>
        </w:rPr>
        <w:t xml:space="preserve"> of the </w:t>
      </w:r>
      <w:r w:rsidR="002D1CFC" w:rsidRPr="008A1DB4">
        <w:rPr>
          <w:spacing w:val="-2"/>
          <w:lang w:val="en-US"/>
        </w:rPr>
        <w:t>Ministry of Justice</w:t>
      </w:r>
      <w:r w:rsidR="00FE32A6" w:rsidRPr="008A1DB4">
        <w:rPr>
          <w:spacing w:val="-2"/>
          <w:lang w:val="en-US"/>
        </w:rPr>
        <w:t xml:space="preserve"> </w:t>
      </w:r>
      <w:r w:rsidRPr="008A1DB4">
        <w:rPr>
          <w:spacing w:val="-2"/>
          <w:lang w:val="en-US"/>
        </w:rPr>
        <w:t>of Peru</w:t>
      </w:r>
      <w:r w:rsidR="00FE32A6" w:rsidRPr="008A1DB4">
        <w:rPr>
          <w:spacing w:val="-2"/>
          <w:lang w:val="en-US"/>
        </w:rPr>
        <w:t>,</w:t>
      </w:r>
      <w:r w:rsidRPr="008A1DB4">
        <w:rPr>
          <w:spacing w:val="-2"/>
          <w:lang w:val="en-US"/>
        </w:rPr>
        <w:t xml:space="preserve"> indicating that, according to “the provisions </w:t>
      </w:r>
      <w:r w:rsidR="001E7113"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Pr="008A1DB4">
        <w:rPr>
          <w:spacing w:val="-2"/>
          <w:lang w:val="en-US"/>
        </w:rPr>
        <w:t>there is no possibility of imposing life imprisonment or the death penalty on him</w:t>
      </w:r>
      <w:r w:rsidR="00FE32A6" w:rsidRPr="008A1DB4">
        <w:rPr>
          <w:spacing w:val="-2"/>
          <w:lang w:val="en-US"/>
        </w:rPr>
        <w:t>”</w:t>
      </w:r>
      <w:r w:rsidR="00E13AC4" w:rsidRPr="008A1DB4">
        <w:rPr>
          <w:rStyle w:val="FootnoteReference"/>
          <w:spacing w:val="-2"/>
          <w:lang w:val="en-US"/>
        </w:rPr>
        <w:footnoteReference w:id="61"/>
      </w:r>
      <w:r w:rsidR="00FE32A6" w:rsidRPr="008A1DB4">
        <w:rPr>
          <w:spacing w:val="-2"/>
          <w:lang w:val="en-US"/>
        </w:rPr>
        <w:t xml:space="preserve"> (</w:t>
      </w:r>
      <w:r w:rsidR="00FE32A6" w:rsidRPr="008A1DB4">
        <w:rPr>
          <w:i/>
          <w:spacing w:val="-2"/>
          <w:lang w:val="en-US"/>
        </w:rPr>
        <w:t xml:space="preserve">infra </w:t>
      </w:r>
      <w:r w:rsidR="00C45946" w:rsidRPr="008A1DB4">
        <w:rPr>
          <w:spacing w:val="-2"/>
          <w:lang w:val="en-US"/>
        </w:rPr>
        <w:t xml:space="preserve">para. </w:t>
      </w:r>
      <w:r w:rsidR="006C5F06" w:rsidRPr="008A1DB4">
        <w:rPr>
          <w:spacing w:val="-2"/>
          <w:lang w:val="en-US"/>
        </w:rPr>
        <w:fldChar w:fldCharType="begin"/>
      </w:r>
      <w:r w:rsidR="006C5F06" w:rsidRPr="008A1DB4">
        <w:rPr>
          <w:spacing w:val="-2"/>
          <w:lang w:val="en-US"/>
        </w:rPr>
        <w:instrText xml:space="preserve"> REF _Ref418755874 \r \h </w:instrText>
      </w:r>
      <w:r w:rsidR="00DC41F4" w:rsidRPr="008A1DB4">
        <w:rPr>
          <w:spacing w:val="-2"/>
          <w:lang w:val="en-US"/>
        </w:rPr>
        <w:instrText xml:space="preserve"> \* MERGEFORMAT </w:instrText>
      </w:r>
      <w:r w:rsidR="006C5F06" w:rsidRPr="008A1DB4">
        <w:rPr>
          <w:spacing w:val="-2"/>
          <w:lang w:val="en-US"/>
        </w:rPr>
      </w:r>
      <w:r w:rsidR="006C5F06" w:rsidRPr="008A1DB4">
        <w:rPr>
          <w:spacing w:val="-2"/>
          <w:lang w:val="en-US"/>
        </w:rPr>
        <w:fldChar w:fldCharType="separate"/>
      </w:r>
      <w:r w:rsidR="00E961FA" w:rsidRPr="008A1DB4">
        <w:rPr>
          <w:spacing w:val="-2"/>
          <w:lang w:val="en-US"/>
        </w:rPr>
        <w:t>92</w:t>
      </w:r>
      <w:r w:rsidR="006C5F06" w:rsidRPr="008A1DB4">
        <w:rPr>
          <w:spacing w:val="-2"/>
          <w:lang w:val="en-US"/>
        </w:rPr>
        <w:fldChar w:fldCharType="end"/>
      </w:r>
      <w:r w:rsidR="006C5F06" w:rsidRPr="008A1DB4">
        <w:rPr>
          <w:spacing w:val="-2"/>
          <w:lang w:val="en-US"/>
        </w:rPr>
        <w:t>.a</w:t>
      </w:r>
      <w:r w:rsidR="00FE32A6" w:rsidRPr="008A1DB4">
        <w:rPr>
          <w:spacing w:val="-2"/>
          <w:lang w:val="en-US"/>
        </w:rPr>
        <w:t>).</w:t>
      </w:r>
    </w:p>
    <w:p w14:paraId="0E9ED156" w14:textId="77777777" w:rsidR="00FE32A6" w:rsidRPr="008A1DB4" w:rsidRDefault="00FE32A6" w:rsidP="00956E97">
      <w:pPr>
        <w:rPr>
          <w:spacing w:val="-2"/>
          <w:lang w:val="en-US"/>
        </w:rPr>
      </w:pPr>
    </w:p>
    <w:p w14:paraId="7DD197DF" w14:textId="5C1CBD77" w:rsidR="00FE32A6" w:rsidRPr="008A1DB4" w:rsidRDefault="00E022F9" w:rsidP="00956E97">
      <w:pPr>
        <w:pStyle w:val="PrrafodeSentencia"/>
        <w:rPr>
          <w:spacing w:val="-2"/>
          <w:lang w:val="en-US"/>
        </w:rPr>
      </w:pPr>
      <w:r w:rsidRPr="008A1DB4">
        <w:rPr>
          <w:spacing w:val="-2"/>
          <w:lang w:val="en-US"/>
        </w:rPr>
        <w:t>On February 10,</w:t>
      </w:r>
      <w:r w:rsidR="00FE32A6" w:rsidRPr="008A1DB4">
        <w:rPr>
          <w:spacing w:val="-2"/>
          <w:lang w:val="en-US"/>
        </w:rPr>
        <w:t xml:space="preserve"> </w:t>
      </w:r>
      <w:r w:rsidR="00F36400" w:rsidRPr="008A1DB4">
        <w:rPr>
          <w:spacing w:val="-2"/>
          <w:lang w:val="en-US"/>
        </w:rPr>
        <w:t xml:space="preserve">the </w:t>
      </w:r>
      <w:r w:rsidRPr="008A1DB4">
        <w:rPr>
          <w:spacing w:val="-2"/>
          <w:lang w:val="en-US"/>
        </w:rPr>
        <w:t>Official Commission for Extradition</w:t>
      </w:r>
      <w:r w:rsidR="009D56A9">
        <w:rPr>
          <w:spacing w:val="-2"/>
          <w:lang w:val="en-US"/>
        </w:rPr>
        <w:t>s</w:t>
      </w:r>
      <w:r w:rsidRPr="008A1DB4">
        <w:rPr>
          <w:spacing w:val="-2"/>
          <w:lang w:val="en-US"/>
        </w:rPr>
        <w:t xml:space="preserve"> and </w:t>
      </w:r>
      <w:r w:rsidR="009D56A9">
        <w:rPr>
          <w:spacing w:val="-2"/>
          <w:lang w:val="en-US"/>
        </w:rPr>
        <w:t xml:space="preserve">Prisoner </w:t>
      </w:r>
      <w:r w:rsidRPr="008A1DB4">
        <w:rPr>
          <w:spacing w:val="-2"/>
          <w:lang w:val="en-US"/>
        </w:rPr>
        <w:t>Transfers</w:t>
      </w:r>
      <w:r w:rsidR="00FE32A6" w:rsidRPr="008A1DB4">
        <w:rPr>
          <w:spacing w:val="-2"/>
          <w:lang w:val="en-US"/>
        </w:rPr>
        <w:t xml:space="preserve"> </w:t>
      </w:r>
      <w:r w:rsidRPr="008A1DB4">
        <w:rPr>
          <w:spacing w:val="-2"/>
          <w:lang w:val="en-US"/>
        </w:rPr>
        <w:t xml:space="preserve">issued its report on </w:t>
      </w:r>
      <w:r w:rsidR="00087CF8" w:rsidRPr="008A1DB4">
        <w:rPr>
          <w:spacing w:val="-2"/>
          <w:lang w:val="en-US"/>
        </w:rPr>
        <w:t>the extradition request</w:t>
      </w:r>
      <w:r w:rsidR="00FE32A6" w:rsidRPr="008A1DB4">
        <w:rPr>
          <w:spacing w:val="-2"/>
          <w:lang w:val="en-US"/>
        </w:rPr>
        <w:t xml:space="preserve">, </w:t>
      </w:r>
      <w:r w:rsidRPr="008A1DB4">
        <w:rPr>
          <w:spacing w:val="-2"/>
          <w:lang w:val="en-US"/>
        </w:rPr>
        <w:t xml:space="preserve">indicating that “it </w:t>
      </w:r>
      <w:proofErr w:type="spellStart"/>
      <w:r w:rsidRPr="008A1DB4">
        <w:rPr>
          <w:spacing w:val="-2"/>
          <w:lang w:val="en-US"/>
        </w:rPr>
        <w:t>ha</w:t>
      </w:r>
      <w:proofErr w:type="spellEnd"/>
      <w:r w:rsidRPr="008A1DB4">
        <w:rPr>
          <w:spacing w:val="-2"/>
          <w:lang w:val="en-US"/>
        </w:rPr>
        <w:t xml:space="preserve">[d] not received the translation </w:t>
      </w:r>
      <w:r w:rsidR="0058668C" w:rsidRPr="008A1DB4">
        <w:rPr>
          <w:spacing w:val="-2"/>
          <w:lang w:val="en-US"/>
        </w:rPr>
        <w:t xml:space="preserve">of </w:t>
      </w:r>
      <w:r w:rsidRPr="008A1DB4">
        <w:rPr>
          <w:spacing w:val="-2"/>
          <w:lang w:val="en-US"/>
        </w:rPr>
        <w:t>article 151</w:t>
      </w:r>
      <w:r w:rsidR="00FE32A6" w:rsidRPr="008A1DB4">
        <w:rPr>
          <w:spacing w:val="-2"/>
          <w:lang w:val="en-US"/>
        </w:rPr>
        <w:t xml:space="preserve"> </w:t>
      </w:r>
      <w:r w:rsidR="001E7113"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Pr="008A1DB4">
        <w:rPr>
          <w:spacing w:val="-2"/>
          <w:lang w:val="en-US"/>
        </w:rPr>
        <w:t>an a</w:t>
      </w:r>
      <w:r w:rsidR="00F36400" w:rsidRPr="008A1DB4">
        <w:rPr>
          <w:spacing w:val="-2"/>
          <w:lang w:val="en-US"/>
        </w:rPr>
        <w:t>rticle</w:t>
      </w:r>
      <w:r w:rsidR="00FE32A6" w:rsidRPr="008A1DB4">
        <w:rPr>
          <w:spacing w:val="-2"/>
          <w:lang w:val="en-US"/>
        </w:rPr>
        <w:t xml:space="preserve"> […] </w:t>
      </w:r>
      <w:r w:rsidR="009D56A9">
        <w:rPr>
          <w:spacing w:val="-2"/>
          <w:lang w:val="en-US"/>
        </w:rPr>
        <w:t>referred to in the first paragraph</w:t>
      </w:r>
      <w:r w:rsidRPr="008A1DB4">
        <w:rPr>
          <w:spacing w:val="-2"/>
          <w:lang w:val="en-US"/>
        </w:rPr>
        <w:t xml:space="preserve"> of article 153, as revealed by the translation [in the case file].” Consequently, it considered that it was necessary “to </w:t>
      </w:r>
      <w:r w:rsidR="00947926" w:rsidRPr="008A1DB4">
        <w:rPr>
          <w:spacing w:val="-2"/>
          <w:lang w:val="en-US"/>
        </w:rPr>
        <w:t>receive</w:t>
      </w:r>
      <w:r w:rsidRPr="008A1DB4">
        <w:rPr>
          <w:spacing w:val="-2"/>
          <w:lang w:val="en-US"/>
        </w:rPr>
        <w:t xml:space="preserve"> the [said] translation.” In addition, taking into account the precautionary measures granted by </w:t>
      </w:r>
      <w:r w:rsidR="00F36400" w:rsidRPr="008A1DB4">
        <w:rPr>
          <w:spacing w:val="-2"/>
          <w:lang w:val="en-US"/>
        </w:rPr>
        <w:t>the Inter-American Commission</w:t>
      </w:r>
      <w:r w:rsidR="00FE32A6" w:rsidRPr="008A1DB4">
        <w:rPr>
          <w:spacing w:val="-2"/>
          <w:lang w:val="en-US"/>
        </w:rPr>
        <w:t xml:space="preserve">, </w:t>
      </w:r>
      <w:r w:rsidRPr="008A1DB4">
        <w:rPr>
          <w:spacing w:val="-2"/>
          <w:lang w:val="en-US"/>
        </w:rPr>
        <w:t>it established that</w:t>
      </w:r>
      <w:r w:rsidR="00FE32A6" w:rsidRPr="008A1DB4">
        <w:rPr>
          <w:spacing w:val="-2"/>
          <w:lang w:val="en-US"/>
        </w:rPr>
        <w:t>:</w:t>
      </w:r>
    </w:p>
    <w:p w14:paraId="6CBC38B9" w14:textId="77777777" w:rsidR="00FE32A6" w:rsidRPr="008A1DB4" w:rsidRDefault="00FE32A6" w:rsidP="00956E97">
      <w:pPr>
        <w:pStyle w:val="ListParagraph"/>
        <w:tabs>
          <w:tab w:val="left" w:pos="567"/>
        </w:tabs>
        <w:ind w:left="0"/>
        <w:rPr>
          <w:spacing w:val="-2"/>
          <w:lang w:val="en-US"/>
        </w:rPr>
      </w:pPr>
    </w:p>
    <w:p w14:paraId="4A80D90C" w14:textId="34DF19A7" w:rsidR="00E022F9" w:rsidRPr="008A1DB4" w:rsidRDefault="00E022F9" w:rsidP="00956E97">
      <w:pPr>
        <w:pStyle w:val="ListParagraph"/>
        <w:tabs>
          <w:tab w:val="left" w:pos="567"/>
        </w:tabs>
        <w:ind w:left="567" w:right="615"/>
        <w:rPr>
          <w:spacing w:val="-2"/>
          <w:sz w:val="18"/>
          <w:szCs w:val="18"/>
          <w:lang w:val="en-US"/>
        </w:rPr>
      </w:pPr>
      <w:r w:rsidRPr="008A1DB4">
        <w:rPr>
          <w:spacing w:val="-2"/>
          <w:sz w:val="18"/>
          <w:szCs w:val="18"/>
          <w:lang w:val="en-US"/>
        </w:rPr>
        <w:t>[R</w:t>
      </w:r>
      <w:r w:rsidR="00FE32A6" w:rsidRPr="008A1DB4">
        <w:rPr>
          <w:spacing w:val="-2"/>
          <w:sz w:val="18"/>
          <w:szCs w:val="18"/>
          <w:lang w:val="en-US"/>
        </w:rPr>
        <w:t>]</w:t>
      </w:r>
      <w:proofErr w:type="spellStart"/>
      <w:r w:rsidRPr="008A1DB4">
        <w:rPr>
          <w:spacing w:val="-2"/>
          <w:sz w:val="18"/>
          <w:szCs w:val="18"/>
          <w:lang w:val="en-US"/>
        </w:rPr>
        <w:t>egarding</w:t>
      </w:r>
      <w:proofErr w:type="spellEnd"/>
      <w:r w:rsidRPr="008A1DB4">
        <w:rPr>
          <w:spacing w:val="-2"/>
          <w:sz w:val="18"/>
          <w:szCs w:val="18"/>
          <w:lang w:val="en-US"/>
        </w:rPr>
        <w:t xml:space="preserve"> extradition, the treaties signed by Peru allow it to grant extradition even in a case where the death penalty may be applied; [however, it is necessary to be] certain that it will not be applied; in other words, […] the corresponding </w:t>
      </w:r>
      <w:r w:rsidR="009D56A9">
        <w:rPr>
          <w:spacing w:val="-2"/>
          <w:sz w:val="18"/>
          <w:szCs w:val="18"/>
          <w:lang w:val="en-US"/>
        </w:rPr>
        <w:t xml:space="preserve">assurances </w:t>
      </w:r>
      <w:r w:rsidR="009D56A9" w:rsidRPr="008A1DB4">
        <w:rPr>
          <w:spacing w:val="-2"/>
          <w:sz w:val="18"/>
          <w:szCs w:val="18"/>
          <w:lang w:val="en-US"/>
        </w:rPr>
        <w:t>must have been presented</w:t>
      </w:r>
      <w:r w:rsidR="009D56A9">
        <w:rPr>
          <w:spacing w:val="-2"/>
          <w:sz w:val="18"/>
          <w:szCs w:val="18"/>
          <w:lang w:val="en-US"/>
        </w:rPr>
        <w:t xml:space="preserve"> that the death penalty will not be applied, or that</w:t>
      </w:r>
      <w:r w:rsidRPr="008A1DB4">
        <w:rPr>
          <w:spacing w:val="-2"/>
          <w:sz w:val="18"/>
          <w:szCs w:val="18"/>
          <w:lang w:val="en-US"/>
        </w:rPr>
        <w:t xml:space="preserve"> </w:t>
      </w:r>
      <w:r w:rsidR="009D56A9">
        <w:rPr>
          <w:spacing w:val="-2"/>
          <w:sz w:val="18"/>
          <w:szCs w:val="18"/>
          <w:lang w:val="en-US"/>
        </w:rPr>
        <w:t>it</w:t>
      </w:r>
      <w:r w:rsidRPr="008A1DB4">
        <w:rPr>
          <w:spacing w:val="-2"/>
          <w:sz w:val="18"/>
          <w:szCs w:val="18"/>
          <w:lang w:val="en-US"/>
        </w:rPr>
        <w:t xml:space="preserve"> will not be implemented even if it is imposed by the courts of the requesting State.</w:t>
      </w:r>
    </w:p>
    <w:p w14:paraId="2207B4B0" w14:textId="77777777" w:rsidR="00FE32A6" w:rsidRPr="008A1DB4" w:rsidRDefault="00FE32A6" w:rsidP="00E022F9">
      <w:pPr>
        <w:tabs>
          <w:tab w:val="left" w:pos="567"/>
        </w:tabs>
        <w:ind w:right="615"/>
        <w:rPr>
          <w:spacing w:val="-2"/>
          <w:sz w:val="18"/>
          <w:szCs w:val="18"/>
          <w:lang w:val="en-US"/>
        </w:rPr>
      </w:pPr>
    </w:p>
    <w:p w14:paraId="1CAB77F1" w14:textId="0110F357" w:rsidR="00FE32A6" w:rsidRPr="008A1DB4" w:rsidRDefault="00E022F9" w:rsidP="00956E97">
      <w:pPr>
        <w:pStyle w:val="ListParagraph"/>
        <w:tabs>
          <w:tab w:val="left" w:pos="567"/>
        </w:tabs>
        <w:ind w:left="567" w:right="615"/>
        <w:rPr>
          <w:spacing w:val="-2"/>
          <w:sz w:val="18"/>
          <w:szCs w:val="18"/>
          <w:lang w:val="en-US"/>
        </w:rPr>
      </w:pPr>
      <w:r w:rsidRPr="008A1DB4">
        <w:rPr>
          <w:spacing w:val="-2"/>
          <w:sz w:val="18"/>
          <w:szCs w:val="18"/>
          <w:lang w:val="en-US"/>
        </w:rPr>
        <w:t xml:space="preserve">Although the treaty with </w:t>
      </w:r>
      <w:r w:rsidR="00FE5E87" w:rsidRPr="008A1DB4">
        <w:rPr>
          <w:spacing w:val="-2"/>
          <w:sz w:val="18"/>
          <w:szCs w:val="18"/>
          <w:lang w:val="en-US"/>
        </w:rPr>
        <w:t>the People’s Republic of China</w:t>
      </w:r>
      <w:r w:rsidR="00FE32A6" w:rsidRPr="008A1DB4">
        <w:rPr>
          <w:spacing w:val="-2"/>
          <w:sz w:val="18"/>
          <w:szCs w:val="18"/>
          <w:lang w:val="en-US"/>
        </w:rPr>
        <w:t xml:space="preserve"> </w:t>
      </w:r>
      <w:r w:rsidRPr="008A1DB4">
        <w:rPr>
          <w:spacing w:val="-2"/>
          <w:sz w:val="18"/>
          <w:szCs w:val="18"/>
          <w:lang w:val="en-US"/>
        </w:rPr>
        <w:t xml:space="preserve">does not contain an express clause on the death penalty, article 5 of the treaty establishes as a condition for extradition: “Extradition shall only be carried out if it is not contrary to the legal system of the requested party.” </w:t>
      </w:r>
      <w:r w:rsidR="00FE32A6" w:rsidRPr="008A1DB4">
        <w:rPr>
          <w:spacing w:val="-2"/>
          <w:sz w:val="18"/>
          <w:szCs w:val="18"/>
          <w:lang w:val="en-US"/>
        </w:rPr>
        <w:t xml:space="preserve">[…] </w:t>
      </w:r>
    </w:p>
    <w:p w14:paraId="79250E45" w14:textId="77777777" w:rsidR="00FE32A6" w:rsidRPr="008A1DB4" w:rsidRDefault="00FE32A6" w:rsidP="00956E97">
      <w:pPr>
        <w:pStyle w:val="ListParagraph"/>
        <w:tabs>
          <w:tab w:val="left" w:pos="567"/>
        </w:tabs>
        <w:ind w:left="567" w:right="615"/>
        <w:rPr>
          <w:spacing w:val="-2"/>
          <w:sz w:val="18"/>
          <w:szCs w:val="18"/>
          <w:lang w:val="en-US"/>
        </w:rPr>
      </w:pPr>
    </w:p>
    <w:p w14:paraId="1DA17656" w14:textId="3C609E7A" w:rsidR="00FE32A6" w:rsidRPr="008A1DB4" w:rsidRDefault="00E022F9" w:rsidP="00E022F9">
      <w:pPr>
        <w:pStyle w:val="ListParagraph"/>
        <w:tabs>
          <w:tab w:val="left" w:pos="567"/>
        </w:tabs>
        <w:ind w:left="567" w:right="615"/>
        <w:rPr>
          <w:spacing w:val="-2"/>
          <w:sz w:val="18"/>
          <w:szCs w:val="18"/>
          <w:lang w:val="en-US"/>
        </w:rPr>
      </w:pPr>
      <w:r w:rsidRPr="008A1DB4">
        <w:rPr>
          <w:spacing w:val="-2"/>
          <w:sz w:val="18"/>
          <w:szCs w:val="18"/>
          <w:lang w:val="en-US"/>
        </w:rPr>
        <w:lastRenderedPageBreak/>
        <w:t xml:space="preserve">Thus, according to the communication </w:t>
      </w:r>
      <w:r w:rsidR="00C45946" w:rsidRPr="008A1DB4">
        <w:rPr>
          <w:spacing w:val="-2"/>
          <w:sz w:val="18"/>
          <w:szCs w:val="18"/>
          <w:lang w:val="en-US"/>
        </w:rPr>
        <w:t xml:space="preserve">of the </w:t>
      </w:r>
      <w:r w:rsidR="00F36400" w:rsidRPr="008A1DB4">
        <w:rPr>
          <w:spacing w:val="-2"/>
          <w:sz w:val="18"/>
          <w:szCs w:val="18"/>
          <w:lang w:val="en-US"/>
        </w:rPr>
        <w:t>Inter-American Commission on Human Rights</w:t>
      </w:r>
      <w:r w:rsidR="00FE32A6" w:rsidRPr="008A1DB4">
        <w:rPr>
          <w:spacing w:val="-2"/>
          <w:sz w:val="18"/>
          <w:szCs w:val="18"/>
          <w:lang w:val="en-US"/>
        </w:rPr>
        <w:t xml:space="preserve">, […] </w:t>
      </w:r>
      <w:r w:rsidRPr="008A1DB4">
        <w:rPr>
          <w:spacing w:val="-2"/>
          <w:sz w:val="18"/>
          <w:szCs w:val="18"/>
          <w:lang w:val="en-US"/>
        </w:rPr>
        <w:t xml:space="preserve">the offense would merit the death penalty and, since the case file does not include the requesting State’s guarantee not to apply the death penalty, the Judiciary should first be requested to forward this guarantee if this has been presented or, if not, requested to rule on the </w:t>
      </w:r>
      <w:r w:rsidR="009D56A9">
        <w:rPr>
          <w:spacing w:val="-2"/>
          <w:sz w:val="18"/>
          <w:szCs w:val="18"/>
          <w:lang w:val="en-US"/>
        </w:rPr>
        <w:t>alert raised</w:t>
      </w:r>
      <w:r w:rsidRPr="008A1DB4">
        <w:rPr>
          <w:spacing w:val="-2"/>
          <w:sz w:val="18"/>
          <w:szCs w:val="18"/>
          <w:lang w:val="en-US"/>
        </w:rPr>
        <w:t xml:space="preserve"> by </w:t>
      </w:r>
      <w:r w:rsidR="00F36400" w:rsidRPr="008A1DB4">
        <w:rPr>
          <w:spacing w:val="-2"/>
          <w:sz w:val="18"/>
          <w:szCs w:val="18"/>
          <w:lang w:val="en-US"/>
        </w:rPr>
        <w:t>the Inter-American Commission</w:t>
      </w:r>
      <w:r w:rsidRPr="008A1DB4">
        <w:rPr>
          <w:spacing w:val="-2"/>
          <w:sz w:val="18"/>
          <w:szCs w:val="18"/>
          <w:lang w:val="en-US"/>
        </w:rPr>
        <w:t xml:space="preserve"> […]; that is, on the possible application of the death penalty.</w:t>
      </w:r>
      <w:r w:rsidR="00FE32A6" w:rsidRPr="008A1DB4">
        <w:rPr>
          <w:rStyle w:val="FootnoteReference"/>
          <w:spacing w:val="-2"/>
          <w:sz w:val="18"/>
          <w:szCs w:val="18"/>
          <w:lang w:val="en-US"/>
        </w:rPr>
        <w:footnoteReference w:id="62"/>
      </w:r>
    </w:p>
    <w:p w14:paraId="56459217" w14:textId="25542B2A" w:rsidR="00FE32A6" w:rsidRPr="008A1DB4" w:rsidRDefault="00FE32A6" w:rsidP="00956E97">
      <w:pPr>
        <w:pStyle w:val="ListParagraph"/>
        <w:tabs>
          <w:tab w:val="left" w:pos="567"/>
        </w:tabs>
        <w:ind w:left="0"/>
        <w:rPr>
          <w:spacing w:val="-2"/>
          <w:lang w:val="en-US"/>
        </w:rPr>
      </w:pPr>
    </w:p>
    <w:p w14:paraId="460255D2" w14:textId="0A6EE5FC" w:rsidR="00FE32A6" w:rsidRPr="008A1DB4" w:rsidRDefault="00E022F9" w:rsidP="00956E97">
      <w:pPr>
        <w:pStyle w:val="PrrafodeSentencia"/>
        <w:rPr>
          <w:spacing w:val="-2"/>
          <w:lang w:val="en-US"/>
        </w:rPr>
      </w:pPr>
      <w:bookmarkStart w:id="494" w:name="_Ref429400075"/>
      <w:r w:rsidRPr="008A1DB4">
        <w:rPr>
          <w:spacing w:val="-2"/>
          <w:lang w:val="en-US"/>
        </w:rPr>
        <w:t>On February 12,</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the 56th Criminal Court of Lima</w:t>
      </w:r>
      <w:r w:rsidR="00FE32A6" w:rsidRPr="008A1DB4">
        <w:rPr>
          <w:spacing w:val="-2"/>
          <w:lang w:val="en-US"/>
        </w:rPr>
        <w:t xml:space="preserve"> orde</w:t>
      </w:r>
      <w:r w:rsidRPr="008A1DB4">
        <w:rPr>
          <w:spacing w:val="-2"/>
          <w:lang w:val="en-US"/>
        </w:rPr>
        <w:t xml:space="preserve">red the “temporary </w:t>
      </w:r>
      <w:r w:rsidR="00947926" w:rsidRPr="008A1DB4">
        <w:rPr>
          <w:spacing w:val="-2"/>
          <w:lang w:val="en-US"/>
        </w:rPr>
        <w:t>suspension</w:t>
      </w:r>
      <w:r w:rsidRPr="008A1DB4">
        <w:rPr>
          <w:spacing w:val="-2"/>
          <w:lang w:val="en-US"/>
        </w:rPr>
        <w:t xml:space="preserve"> of the processing </w:t>
      </w:r>
      <w:r w:rsidR="00671326" w:rsidRPr="008A1DB4">
        <w:rPr>
          <w:spacing w:val="-2"/>
          <w:lang w:val="en-US"/>
        </w:rPr>
        <w:t xml:space="preserve">of the </w:t>
      </w:r>
      <w:r w:rsidR="00C168D8" w:rsidRPr="008A1DB4">
        <w:rPr>
          <w:spacing w:val="-2"/>
          <w:lang w:val="en-US"/>
        </w:rPr>
        <w:t xml:space="preserve">passive </w:t>
      </w:r>
      <w:r w:rsidR="00FC5891" w:rsidRPr="008A1DB4">
        <w:rPr>
          <w:spacing w:val="-2"/>
          <w:lang w:val="en-US"/>
        </w:rPr>
        <w:t>extradition proce</w:t>
      </w:r>
      <w:r w:rsidRPr="008A1DB4">
        <w:rPr>
          <w:spacing w:val="-2"/>
          <w:lang w:val="en-US"/>
        </w:rPr>
        <w:t>ss</w:t>
      </w:r>
      <w:r w:rsidR="00FE32A6" w:rsidRPr="008A1DB4">
        <w:rPr>
          <w:spacing w:val="-2"/>
          <w:lang w:val="en-US"/>
        </w:rPr>
        <w:t xml:space="preserve"> [</w:t>
      </w:r>
      <w:r w:rsidR="00C255DC" w:rsidRPr="008A1DB4">
        <w:rPr>
          <w:spacing w:val="-2"/>
          <w:lang w:val="en-US"/>
        </w:rPr>
        <w:t>…</w:t>
      </w:r>
      <w:r w:rsidR="00FE32A6" w:rsidRPr="008A1DB4">
        <w:rPr>
          <w:spacing w:val="-2"/>
          <w:lang w:val="en-US"/>
        </w:rPr>
        <w:t xml:space="preserve">] </w:t>
      </w:r>
      <w:r w:rsidRPr="008A1DB4">
        <w:rPr>
          <w:spacing w:val="-2"/>
          <w:lang w:val="en-US"/>
        </w:rPr>
        <w:t xml:space="preserve">until the constitutional </w:t>
      </w:r>
      <w:r w:rsidRPr="008A1DB4">
        <w:rPr>
          <w:i/>
          <w:spacing w:val="-2"/>
          <w:lang w:val="en-US"/>
        </w:rPr>
        <w:t xml:space="preserve">habeas corpus </w:t>
      </w:r>
      <w:r w:rsidR="009D56A9">
        <w:rPr>
          <w:spacing w:val="-2"/>
          <w:lang w:val="en-US"/>
        </w:rPr>
        <w:t>proceeding has</w:t>
      </w:r>
      <w:r w:rsidRPr="008A1DB4">
        <w:rPr>
          <w:spacing w:val="-2"/>
          <w:lang w:val="en-US"/>
        </w:rPr>
        <w:t xml:space="preserve"> concluded,” taking into account that </w:t>
      </w:r>
      <w:r w:rsidR="00FE32A6" w:rsidRPr="008A1DB4">
        <w:rPr>
          <w:spacing w:val="-2"/>
          <w:lang w:val="en-US"/>
        </w:rPr>
        <w:t>“</w:t>
      </w:r>
      <w:r w:rsidRPr="008A1DB4">
        <w:rPr>
          <w:spacing w:val="-2"/>
          <w:lang w:val="en-US"/>
        </w:rPr>
        <w:t xml:space="preserve">the continuation of [the] process before </w:t>
      </w:r>
      <w:r w:rsidR="002D1CFC" w:rsidRPr="008A1DB4">
        <w:rPr>
          <w:spacing w:val="-2"/>
          <w:lang w:val="en-US"/>
        </w:rPr>
        <w:t>the Council of Ministers</w:t>
      </w:r>
      <w:r w:rsidRPr="008A1DB4">
        <w:rPr>
          <w:spacing w:val="-2"/>
          <w:lang w:val="en-US"/>
        </w:rPr>
        <w:t xml:space="preserve"> and the implementation of the return of the </w:t>
      </w:r>
      <w:r w:rsidR="009D56A9">
        <w:rPr>
          <w:spacing w:val="-2"/>
          <w:lang w:val="en-US"/>
        </w:rPr>
        <w:t>individual whose extradition has</w:t>
      </w:r>
      <w:r w:rsidRPr="008A1DB4">
        <w:rPr>
          <w:spacing w:val="-2"/>
          <w:lang w:val="en-US"/>
        </w:rPr>
        <w:t xml:space="preserve"> been requested to the requesting country was imminent.</w:t>
      </w:r>
      <w:r w:rsidR="00FE32A6" w:rsidRPr="008A1DB4">
        <w:rPr>
          <w:spacing w:val="-2"/>
          <w:lang w:val="en-US"/>
        </w:rPr>
        <w:t>”</w:t>
      </w:r>
      <w:r w:rsidR="00FE32A6" w:rsidRPr="008A1DB4">
        <w:rPr>
          <w:rStyle w:val="FootnoteReference"/>
          <w:spacing w:val="-2"/>
          <w:lang w:val="en-US"/>
        </w:rPr>
        <w:footnoteReference w:id="63"/>
      </w:r>
      <w:r w:rsidR="00FE32A6" w:rsidRPr="008A1DB4">
        <w:rPr>
          <w:spacing w:val="-2"/>
          <w:lang w:val="en-US"/>
        </w:rPr>
        <w:t xml:space="preserve"> </w:t>
      </w:r>
      <w:r w:rsidRPr="008A1DB4">
        <w:rPr>
          <w:spacing w:val="-2"/>
          <w:lang w:val="en-US"/>
        </w:rPr>
        <w:t>The Public Attorney of the Judiciary</w:t>
      </w:r>
      <w:r w:rsidR="00FE32A6" w:rsidRPr="008A1DB4">
        <w:rPr>
          <w:spacing w:val="-2"/>
          <w:lang w:val="en-US"/>
        </w:rPr>
        <w:t xml:space="preserve"> ap</w:t>
      </w:r>
      <w:r w:rsidRPr="008A1DB4">
        <w:rPr>
          <w:spacing w:val="-2"/>
          <w:lang w:val="en-US"/>
        </w:rPr>
        <w:t>pealed this decision.</w:t>
      </w:r>
      <w:r w:rsidR="00FE32A6" w:rsidRPr="008A1DB4">
        <w:rPr>
          <w:rStyle w:val="FootnoteReference"/>
          <w:spacing w:val="-2"/>
          <w:lang w:val="en-US"/>
        </w:rPr>
        <w:footnoteReference w:id="64"/>
      </w:r>
      <w:r w:rsidR="00FE32A6" w:rsidRPr="008A1DB4">
        <w:rPr>
          <w:spacing w:val="-2"/>
          <w:lang w:val="en-US"/>
        </w:rPr>
        <w:t xml:space="preserve"> </w:t>
      </w:r>
      <w:r w:rsidRPr="008A1DB4">
        <w:rPr>
          <w:spacing w:val="-2"/>
          <w:lang w:val="en-US"/>
        </w:rPr>
        <w:t>On April 24,</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the Second Special Criminal Chamber</w:t>
      </w:r>
      <w:r w:rsidR="00F36400" w:rsidRPr="008A1DB4">
        <w:rPr>
          <w:spacing w:val="-2"/>
          <w:lang w:val="en-US"/>
        </w:rPr>
        <w:t xml:space="preserve"> of the </w:t>
      </w:r>
      <w:r w:rsidRPr="008A1DB4">
        <w:rPr>
          <w:spacing w:val="-2"/>
          <w:lang w:val="en-US"/>
        </w:rPr>
        <w:t>Superior Court of Justice of</w:t>
      </w:r>
      <w:r w:rsidR="00FE32A6" w:rsidRPr="008A1DB4">
        <w:rPr>
          <w:spacing w:val="-2"/>
          <w:lang w:val="en-US"/>
        </w:rPr>
        <w:t xml:space="preserve"> Li</w:t>
      </w:r>
      <w:r w:rsidRPr="008A1DB4">
        <w:rPr>
          <w:spacing w:val="-2"/>
          <w:lang w:val="en-US"/>
        </w:rPr>
        <w:t>ma annulled the decision of February 12,</w:t>
      </w:r>
      <w:r w:rsidR="00FE32A6" w:rsidRPr="008A1DB4">
        <w:rPr>
          <w:spacing w:val="-2"/>
          <w:lang w:val="en-US"/>
        </w:rPr>
        <w:t xml:space="preserve"> 2009, </w:t>
      </w:r>
      <w:r w:rsidRPr="008A1DB4">
        <w:rPr>
          <w:spacing w:val="-2"/>
          <w:lang w:val="en-US"/>
        </w:rPr>
        <w:t xml:space="preserve">because the precautionary measures and the suspension were not established by law in </w:t>
      </w:r>
      <w:r w:rsidRPr="008A1DB4">
        <w:rPr>
          <w:i/>
          <w:spacing w:val="-2"/>
          <w:lang w:val="en-US"/>
        </w:rPr>
        <w:t xml:space="preserve">habeas corpus </w:t>
      </w:r>
      <w:r w:rsidRPr="008A1DB4">
        <w:rPr>
          <w:spacing w:val="-2"/>
          <w:lang w:val="en-US"/>
        </w:rPr>
        <w:t>proceedings.</w:t>
      </w:r>
      <w:r w:rsidR="00FE32A6" w:rsidRPr="008A1DB4">
        <w:rPr>
          <w:rStyle w:val="FootnoteReference"/>
          <w:spacing w:val="-2"/>
          <w:lang w:val="en-US"/>
        </w:rPr>
        <w:footnoteReference w:id="65"/>
      </w:r>
      <w:bookmarkEnd w:id="494"/>
    </w:p>
    <w:p w14:paraId="62A32E7B" w14:textId="77777777" w:rsidR="00FE32A6" w:rsidRPr="008A1DB4" w:rsidRDefault="00FE32A6" w:rsidP="00956E97">
      <w:pPr>
        <w:pStyle w:val="ListParagraph"/>
        <w:tabs>
          <w:tab w:val="left" w:pos="567"/>
        </w:tabs>
        <w:ind w:left="0"/>
        <w:rPr>
          <w:spacing w:val="-2"/>
          <w:lang w:val="en-US"/>
        </w:rPr>
      </w:pPr>
    </w:p>
    <w:p w14:paraId="293B12AE" w14:textId="118C25DE" w:rsidR="00FE32A6" w:rsidRPr="008A1DB4" w:rsidRDefault="00E022F9" w:rsidP="00956E97">
      <w:pPr>
        <w:pStyle w:val="PrrafodeSentencia"/>
        <w:rPr>
          <w:spacing w:val="-2"/>
          <w:lang w:val="en-US"/>
        </w:rPr>
      </w:pPr>
      <w:bookmarkStart w:id="495" w:name="_Ref402183188"/>
      <w:r w:rsidRPr="008A1DB4">
        <w:rPr>
          <w:spacing w:val="-2"/>
          <w:lang w:val="en-US"/>
        </w:rPr>
        <w:t>On February 24,</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the Embassy</w:t>
      </w:r>
      <w:r w:rsidR="002D1CFC" w:rsidRPr="008A1DB4">
        <w:rPr>
          <w:spacing w:val="-2"/>
          <w:lang w:val="en-US"/>
        </w:rPr>
        <w:t xml:space="preserve"> of the </w:t>
      </w:r>
      <w:r w:rsidR="00FE5E87" w:rsidRPr="008A1DB4">
        <w:rPr>
          <w:spacing w:val="-2"/>
          <w:lang w:val="en-US"/>
        </w:rPr>
        <w:t>People’s Republic of China</w:t>
      </w:r>
      <w:r w:rsidRPr="008A1DB4">
        <w:rPr>
          <w:spacing w:val="-2"/>
          <w:lang w:val="en-US"/>
        </w:rPr>
        <w:t xml:space="preserve"> i</w:t>
      </w:r>
      <w:r w:rsidR="00FE32A6" w:rsidRPr="008A1DB4">
        <w:rPr>
          <w:spacing w:val="-2"/>
          <w:lang w:val="en-US"/>
        </w:rPr>
        <w:t xml:space="preserve">n </w:t>
      </w:r>
      <w:r w:rsidR="00FE5E87" w:rsidRPr="008A1DB4">
        <w:rPr>
          <w:spacing w:val="-2"/>
          <w:lang w:val="en-US"/>
        </w:rPr>
        <w:t>Peru</w:t>
      </w:r>
      <w:r w:rsidR="00FE32A6" w:rsidRPr="008A1DB4">
        <w:rPr>
          <w:spacing w:val="-2"/>
          <w:lang w:val="en-US"/>
        </w:rPr>
        <w:t xml:space="preserve"> </w:t>
      </w:r>
      <w:r w:rsidRPr="008A1DB4">
        <w:rPr>
          <w:spacing w:val="-2"/>
          <w:lang w:val="en-US"/>
        </w:rPr>
        <w:t>sent</w:t>
      </w:r>
      <w:r w:rsidR="00FE32A6" w:rsidRPr="008A1DB4">
        <w:rPr>
          <w:spacing w:val="-2"/>
          <w:lang w:val="en-US"/>
        </w:rPr>
        <w:t xml:space="preserve"> </w:t>
      </w:r>
      <w:r w:rsidRPr="008A1DB4">
        <w:rPr>
          <w:spacing w:val="-2"/>
          <w:lang w:val="en-US"/>
        </w:rPr>
        <w:t>the translation of a</w:t>
      </w:r>
      <w:r w:rsidR="00F36400" w:rsidRPr="008A1DB4">
        <w:rPr>
          <w:spacing w:val="-2"/>
          <w:lang w:val="en-US"/>
        </w:rPr>
        <w:t>rticle</w:t>
      </w:r>
      <w:r w:rsidR="00FE32A6" w:rsidRPr="008A1DB4">
        <w:rPr>
          <w:spacing w:val="-2"/>
          <w:lang w:val="en-US"/>
        </w:rPr>
        <w:t>s 151, 153, 154, 191, 389</w:t>
      </w:r>
      <w:r w:rsidR="00F36400" w:rsidRPr="008A1DB4">
        <w:rPr>
          <w:spacing w:val="-2"/>
          <w:lang w:val="en-US"/>
        </w:rPr>
        <w:t xml:space="preserve"> and </w:t>
      </w:r>
      <w:r w:rsidR="00FE32A6" w:rsidRPr="008A1DB4">
        <w:rPr>
          <w:spacing w:val="-2"/>
          <w:lang w:val="en-US"/>
        </w:rPr>
        <w:t xml:space="preserve">390 </w:t>
      </w:r>
      <w:r w:rsidR="001E7113"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Pr="008A1DB4">
        <w:rPr>
          <w:spacing w:val="-2"/>
          <w:lang w:val="en-US"/>
        </w:rPr>
        <w:t xml:space="preserve"> to the 56th Criminal Court of Lima.</w:t>
      </w:r>
      <w:r w:rsidR="00FE32A6" w:rsidRPr="008A1DB4">
        <w:rPr>
          <w:rStyle w:val="FootnoteReference"/>
          <w:spacing w:val="-2"/>
          <w:lang w:val="en-US"/>
        </w:rPr>
        <w:footnoteReference w:id="66"/>
      </w:r>
      <w:bookmarkEnd w:id="495"/>
    </w:p>
    <w:p w14:paraId="5A486990" w14:textId="77777777" w:rsidR="00FE32A6" w:rsidRPr="008A1DB4" w:rsidRDefault="00FE32A6" w:rsidP="00956E97">
      <w:pPr>
        <w:pStyle w:val="ListParagraph"/>
        <w:rPr>
          <w:spacing w:val="-2"/>
          <w:lang w:val="en-US"/>
        </w:rPr>
      </w:pPr>
    </w:p>
    <w:p w14:paraId="270696AD" w14:textId="250944D3" w:rsidR="00FE32A6" w:rsidRPr="008A1DB4" w:rsidRDefault="00E022F9" w:rsidP="00956E97">
      <w:pPr>
        <w:pStyle w:val="PrrafodeSentencia"/>
        <w:rPr>
          <w:spacing w:val="-2"/>
          <w:lang w:val="en-US"/>
        </w:rPr>
      </w:pPr>
      <w:bookmarkStart w:id="496" w:name="_Ref402273545"/>
      <w:r w:rsidRPr="008A1DB4">
        <w:rPr>
          <w:spacing w:val="-2"/>
          <w:lang w:val="en-US"/>
        </w:rPr>
        <w:t>On April 24,</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 xml:space="preserve">the 56th Criminal Court of Lima considered well-founded the application for </w:t>
      </w:r>
      <w:r w:rsidRPr="008A1DB4">
        <w:rPr>
          <w:i/>
          <w:spacing w:val="-2"/>
          <w:lang w:val="en-US"/>
        </w:rPr>
        <w:t>habeas corpus</w:t>
      </w:r>
      <w:r w:rsidR="00FE32A6" w:rsidRPr="008A1DB4">
        <w:rPr>
          <w:spacing w:val="-2"/>
          <w:lang w:val="en-US"/>
        </w:rPr>
        <w:t xml:space="preserve">, </w:t>
      </w:r>
      <w:r w:rsidRPr="008A1DB4">
        <w:rPr>
          <w:spacing w:val="-2"/>
          <w:lang w:val="en-US"/>
        </w:rPr>
        <w:t>and declared “invalid the a</w:t>
      </w:r>
      <w:r w:rsidR="002D1CFC" w:rsidRPr="008A1DB4">
        <w:rPr>
          <w:spacing w:val="-2"/>
          <w:lang w:val="en-US"/>
        </w:rPr>
        <w:t>dvisory decision</w:t>
      </w:r>
      <w:r w:rsidRPr="008A1DB4">
        <w:rPr>
          <w:spacing w:val="-2"/>
          <w:lang w:val="en-US"/>
        </w:rPr>
        <w:t xml:space="preserve"> [of</w:t>
      </w:r>
      <w:r w:rsidR="00FE32A6" w:rsidRPr="008A1DB4">
        <w:rPr>
          <w:spacing w:val="-2"/>
          <w:lang w:val="en-US"/>
        </w:rPr>
        <w:t xml:space="preserve">] </w:t>
      </w:r>
      <w:r w:rsidR="001E7113" w:rsidRPr="008A1DB4">
        <w:rPr>
          <w:spacing w:val="-2"/>
          <w:lang w:val="en-US"/>
        </w:rPr>
        <w:t>January 20,</w:t>
      </w:r>
      <w:r w:rsidR="002373E2" w:rsidRPr="008A1DB4">
        <w:rPr>
          <w:spacing w:val="-2"/>
          <w:lang w:val="en-US"/>
        </w:rPr>
        <w:t xml:space="preserve"> [2009</w:t>
      </w:r>
      <w:r w:rsidRPr="008A1DB4">
        <w:rPr>
          <w:spacing w:val="-2"/>
          <w:lang w:val="en-US"/>
        </w:rPr>
        <w:t>,</w:t>
      </w:r>
      <w:r w:rsidR="002373E2" w:rsidRPr="008A1DB4">
        <w:rPr>
          <w:spacing w:val="-2"/>
          <w:lang w:val="en-US"/>
        </w:rPr>
        <w:t xml:space="preserve">]” </w:t>
      </w:r>
      <w:r w:rsidRPr="008A1DB4">
        <w:rPr>
          <w:spacing w:val="-2"/>
          <w:lang w:val="en-US"/>
        </w:rPr>
        <w:t>because it “was insufficiently substantiated.</w:t>
      </w:r>
      <w:r w:rsidR="00FE32A6" w:rsidRPr="008A1DB4">
        <w:rPr>
          <w:spacing w:val="-2"/>
          <w:lang w:val="en-US"/>
        </w:rPr>
        <w:t>”</w:t>
      </w:r>
      <w:r w:rsidR="00FE32A6" w:rsidRPr="008A1DB4">
        <w:rPr>
          <w:rStyle w:val="FootnoteReference"/>
          <w:spacing w:val="-2"/>
          <w:lang w:val="en-US"/>
        </w:rPr>
        <w:footnoteReference w:id="67"/>
      </w:r>
      <w:r w:rsidRPr="008A1DB4">
        <w:rPr>
          <w:spacing w:val="-2"/>
          <w:lang w:val="en-US"/>
        </w:rPr>
        <w:t xml:space="preserve"> The decision was based on the fact that the </w:t>
      </w:r>
      <w:r w:rsidR="002D1CFC" w:rsidRPr="008A1DB4">
        <w:rPr>
          <w:spacing w:val="-2"/>
          <w:lang w:val="en-US"/>
        </w:rPr>
        <w:t>advisory decision</w:t>
      </w:r>
      <w:r w:rsidR="00FE32A6" w:rsidRPr="008A1DB4">
        <w:rPr>
          <w:spacing w:val="-2"/>
          <w:lang w:val="en-US"/>
        </w:rPr>
        <w:t xml:space="preserve"> “</w:t>
      </w:r>
      <w:r w:rsidRPr="008A1DB4">
        <w:rPr>
          <w:spacing w:val="-2"/>
          <w:lang w:val="en-US"/>
        </w:rPr>
        <w:t>does not state clearly and categorically that the accused cannot be extradited to be prosecuted for the supposed perpetration of offenses that require the death penalty.</w:t>
      </w:r>
      <w:r w:rsidR="00FE32A6" w:rsidRPr="008A1DB4">
        <w:rPr>
          <w:spacing w:val="-2"/>
          <w:lang w:val="en-US"/>
        </w:rPr>
        <w:t>”</w:t>
      </w:r>
      <w:r w:rsidR="00FE32A6" w:rsidRPr="008A1DB4">
        <w:rPr>
          <w:rStyle w:val="FootnoteReference"/>
          <w:spacing w:val="-2"/>
          <w:lang w:val="en-US"/>
        </w:rPr>
        <w:footnoteReference w:id="68"/>
      </w:r>
      <w:r w:rsidR="00FE32A6" w:rsidRPr="008A1DB4">
        <w:rPr>
          <w:spacing w:val="-2"/>
          <w:lang w:val="en-US"/>
        </w:rPr>
        <w:t xml:space="preserve"> </w:t>
      </w:r>
      <w:r w:rsidRPr="008A1DB4">
        <w:rPr>
          <w:spacing w:val="-2"/>
          <w:lang w:val="en-US"/>
        </w:rPr>
        <w:t xml:space="preserve">It also declared inadmissible the request to release </w:t>
      </w:r>
      <w:r w:rsidR="00B43F84" w:rsidRPr="008A1DB4">
        <w:rPr>
          <w:spacing w:val="-2"/>
          <w:lang w:val="en-US"/>
        </w:rPr>
        <w:t>Wong</w:t>
      </w:r>
      <w:r w:rsidR="00FE32A6" w:rsidRPr="008A1DB4">
        <w:rPr>
          <w:spacing w:val="-2"/>
          <w:lang w:val="en-US"/>
        </w:rPr>
        <w:t xml:space="preserve"> Ho Wing, </w:t>
      </w:r>
      <w:r w:rsidRPr="008A1DB4">
        <w:rPr>
          <w:spacing w:val="-2"/>
          <w:lang w:val="en-US"/>
        </w:rPr>
        <w:t xml:space="preserve">indicating that this request was not </w:t>
      </w:r>
      <w:r w:rsidR="00947926" w:rsidRPr="008A1DB4">
        <w:rPr>
          <w:spacing w:val="-2"/>
          <w:lang w:val="en-US"/>
        </w:rPr>
        <w:t>affected</w:t>
      </w:r>
      <w:r w:rsidRPr="008A1DB4">
        <w:rPr>
          <w:spacing w:val="-2"/>
          <w:lang w:val="en-US"/>
        </w:rPr>
        <w:t xml:space="preserve"> by the annulment of the </w:t>
      </w:r>
      <w:r w:rsidR="002D1CFC" w:rsidRPr="008A1DB4">
        <w:rPr>
          <w:spacing w:val="-2"/>
          <w:lang w:val="en-US"/>
        </w:rPr>
        <w:t>advisory decision</w:t>
      </w:r>
      <w:r w:rsidRPr="008A1DB4">
        <w:rPr>
          <w:spacing w:val="-2"/>
          <w:lang w:val="en-US"/>
        </w:rPr>
        <w:t>.</w:t>
      </w:r>
      <w:r w:rsidR="00FE32A6" w:rsidRPr="008A1DB4">
        <w:rPr>
          <w:rStyle w:val="FootnoteReference"/>
          <w:spacing w:val="-2"/>
          <w:lang w:val="en-US"/>
        </w:rPr>
        <w:footnoteReference w:id="69"/>
      </w:r>
      <w:r w:rsidRPr="008A1DB4">
        <w:rPr>
          <w:spacing w:val="-2"/>
          <w:lang w:val="en-US"/>
        </w:rPr>
        <w:t xml:space="preserve"> Following an appeal, the </w:t>
      </w:r>
      <w:r w:rsidR="00A33F97" w:rsidRPr="008A1DB4">
        <w:rPr>
          <w:spacing w:val="-2"/>
          <w:lang w:val="en-US"/>
        </w:rPr>
        <w:t>decision</w:t>
      </w:r>
      <w:r w:rsidRPr="008A1DB4">
        <w:rPr>
          <w:spacing w:val="-2"/>
          <w:lang w:val="en-US"/>
        </w:rPr>
        <w:t xml:space="preserve"> was confirmed on June 15,</w:t>
      </w:r>
      <w:r w:rsidR="00FE32A6" w:rsidRPr="008A1DB4">
        <w:rPr>
          <w:spacing w:val="-2"/>
          <w:lang w:val="en-US"/>
        </w:rPr>
        <w:t xml:space="preserve"> 2009</w:t>
      </w:r>
      <w:r w:rsidRPr="008A1DB4">
        <w:rPr>
          <w:spacing w:val="-2"/>
          <w:lang w:val="en-US"/>
        </w:rPr>
        <w:t>.</w:t>
      </w:r>
      <w:r w:rsidR="00FE32A6" w:rsidRPr="008A1DB4">
        <w:rPr>
          <w:rStyle w:val="FootnoteReference"/>
          <w:spacing w:val="-2"/>
          <w:lang w:val="en-US"/>
        </w:rPr>
        <w:footnoteReference w:id="70"/>
      </w:r>
      <w:bookmarkEnd w:id="496"/>
    </w:p>
    <w:p w14:paraId="42CF2AC3" w14:textId="77777777" w:rsidR="00FE32A6" w:rsidRPr="008A1DB4" w:rsidRDefault="00FE32A6" w:rsidP="00956E97">
      <w:pPr>
        <w:rPr>
          <w:spacing w:val="-2"/>
          <w:lang w:val="en-US"/>
        </w:rPr>
      </w:pPr>
    </w:p>
    <w:p w14:paraId="20A8525C" w14:textId="380BC152" w:rsidR="00FE32A6" w:rsidRPr="008A1DB4" w:rsidRDefault="00E022F9" w:rsidP="00956E97">
      <w:pPr>
        <w:pStyle w:val="PrrafodeSentencia"/>
        <w:rPr>
          <w:spacing w:val="-2"/>
          <w:lang w:val="en-US"/>
        </w:rPr>
      </w:pPr>
      <w:bookmarkStart w:id="497" w:name="_Ref398890889"/>
      <w:r w:rsidRPr="008A1DB4">
        <w:rPr>
          <w:spacing w:val="-2"/>
          <w:lang w:val="en-US"/>
        </w:rPr>
        <w:t>On August 25,</w:t>
      </w:r>
      <w:r w:rsidR="00FE32A6" w:rsidRPr="008A1DB4">
        <w:rPr>
          <w:spacing w:val="-2"/>
          <w:lang w:val="en-US"/>
        </w:rPr>
        <w:t xml:space="preserve"> 2009</w:t>
      </w:r>
      <w:r w:rsidRPr="008A1DB4">
        <w:rPr>
          <w:spacing w:val="-2"/>
          <w:lang w:val="en-US"/>
        </w:rPr>
        <w:t>,</w:t>
      </w:r>
      <w:r w:rsidR="00FE32A6" w:rsidRPr="008A1DB4">
        <w:rPr>
          <w:spacing w:val="-2"/>
          <w:lang w:val="en-US"/>
        </w:rPr>
        <w:t xml:space="preserve"> </w:t>
      </w:r>
      <w:r w:rsidRPr="008A1DB4">
        <w:rPr>
          <w:spacing w:val="-2"/>
          <w:lang w:val="en-US"/>
        </w:rPr>
        <w:t>the Ambassador</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Pr="008A1DB4">
        <w:rPr>
          <w:spacing w:val="-2"/>
          <w:lang w:val="en-US"/>
        </w:rPr>
        <w:t>sent</w:t>
      </w:r>
      <w:r w:rsidR="00FE32A6" w:rsidRPr="008A1DB4">
        <w:rPr>
          <w:spacing w:val="-2"/>
          <w:lang w:val="en-US"/>
        </w:rPr>
        <w:t xml:space="preserve">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xml:space="preserve"> </w:t>
      </w:r>
      <w:r w:rsidRPr="008A1DB4">
        <w:rPr>
          <w:spacing w:val="-2"/>
          <w:lang w:val="en-US"/>
        </w:rPr>
        <w:t xml:space="preserve">a note in which he indicated that case law existed of similar cases where the </w:t>
      </w:r>
      <w:r w:rsidRPr="008A1DB4">
        <w:rPr>
          <w:spacing w:val="-2"/>
          <w:lang w:val="en-US"/>
        </w:rPr>
        <w:lastRenderedPageBreak/>
        <w:t>sentence had been 15 years’  imprisonment, “so that there was no po</w:t>
      </w:r>
      <w:r w:rsidR="00C168D8" w:rsidRPr="008A1DB4">
        <w:rPr>
          <w:spacing w:val="-2"/>
          <w:lang w:val="en-US"/>
        </w:rPr>
        <w:t>ssibility that the death penalty</w:t>
      </w:r>
      <w:r w:rsidRPr="008A1DB4">
        <w:rPr>
          <w:spacing w:val="-2"/>
          <w:lang w:val="en-US"/>
        </w:rPr>
        <w:t xml:space="preserve"> would be imposed on the applicant</w:t>
      </w:r>
      <w:r w:rsidR="00FE32A6" w:rsidRPr="008A1DB4">
        <w:rPr>
          <w:spacing w:val="-2"/>
          <w:lang w:val="en-US"/>
        </w:rPr>
        <w:t>” (</w:t>
      </w:r>
      <w:r w:rsidR="00FE32A6" w:rsidRPr="008A1DB4">
        <w:rPr>
          <w:i/>
          <w:spacing w:val="-2"/>
          <w:lang w:val="en-US"/>
        </w:rPr>
        <w:t xml:space="preserve">infra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_Ref418755874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92</w:t>
      </w:r>
      <w:r w:rsidR="00FE32A6" w:rsidRPr="008A1DB4">
        <w:rPr>
          <w:spacing w:val="-2"/>
          <w:lang w:val="en-US"/>
        </w:rPr>
        <w:fldChar w:fldCharType="end"/>
      </w:r>
      <w:r w:rsidR="00FE32A6" w:rsidRPr="008A1DB4">
        <w:rPr>
          <w:spacing w:val="-2"/>
          <w:lang w:val="en-US"/>
        </w:rPr>
        <w:t>.b)</w:t>
      </w:r>
      <w:r w:rsidRPr="008A1DB4">
        <w:rPr>
          <w:spacing w:val="-2"/>
          <w:lang w:val="en-US"/>
        </w:rPr>
        <w:t>.</w:t>
      </w:r>
      <w:r w:rsidR="00FE32A6" w:rsidRPr="008A1DB4">
        <w:rPr>
          <w:rStyle w:val="FootnoteReference"/>
          <w:spacing w:val="-2"/>
          <w:lang w:val="en-US"/>
        </w:rPr>
        <w:footnoteReference w:id="71"/>
      </w:r>
      <w:r w:rsidR="00FE32A6" w:rsidRPr="008A1DB4">
        <w:rPr>
          <w:spacing w:val="-2"/>
          <w:lang w:val="en-US"/>
        </w:rPr>
        <w:t xml:space="preserve"> </w:t>
      </w:r>
    </w:p>
    <w:p w14:paraId="746C4CE4" w14:textId="77777777" w:rsidR="00FE32A6" w:rsidRPr="008A1DB4" w:rsidRDefault="00FE32A6" w:rsidP="00956E97">
      <w:pPr>
        <w:pStyle w:val="ListParagraph"/>
        <w:rPr>
          <w:spacing w:val="-2"/>
          <w:lang w:val="en-US"/>
        </w:rPr>
      </w:pPr>
    </w:p>
    <w:p w14:paraId="79CEACE1" w14:textId="33105B3F" w:rsidR="00FE32A6" w:rsidRPr="008A1DB4" w:rsidRDefault="00E022F9" w:rsidP="00956E97">
      <w:pPr>
        <w:pStyle w:val="PrrafodeSentencia"/>
        <w:rPr>
          <w:spacing w:val="-2"/>
          <w:lang w:val="en-US"/>
        </w:rPr>
      </w:pPr>
      <w:r w:rsidRPr="008A1DB4">
        <w:rPr>
          <w:spacing w:val="-2"/>
          <w:lang w:val="en-US"/>
        </w:rPr>
        <w:t>On October 2,</w:t>
      </w:r>
      <w:r w:rsidR="00FE32A6" w:rsidRPr="008A1DB4">
        <w:rPr>
          <w:spacing w:val="-2"/>
          <w:lang w:val="en-US"/>
        </w:rPr>
        <w:t xml:space="preserve"> 2009</w:t>
      </w:r>
      <w:r w:rsidR="00C168D8" w:rsidRPr="008A1DB4">
        <w:rPr>
          <w:spacing w:val="-2"/>
          <w:lang w:val="en-US"/>
        </w:rPr>
        <w:t xml:space="preserve">, the Supreme Prosecutor advised the </w:t>
      </w:r>
      <w:r w:rsidR="00FC5891" w:rsidRPr="008A1DB4">
        <w:rPr>
          <w:spacing w:val="-2"/>
          <w:lang w:val="en-US"/>
        </w:rPr>
        <w:t>Permanent Criminal Chamber</w:t>
      </w:r>
      <w:r w:rsidR="00FE32A6" w:rsidRPr="008A1DB4">
        <w:rPr>
          <w:spacing w:val="-2"/>
          <w:lang w:val="en-US"/>
        </w:rPr>
        <w:t xml:space="preserve"> </w:t>
      </w:r>
      <w:r w:rsidR="00C168D8" w:rsidRPr="008A1DB4">
        <w:rPr>
          <w:spacing w:val="-2"/>
          <w:lang w:val="en-US"/>
        </w:rPr>
        <w:t xml:space="preserve">of his </w:t>
      </w:r>
      <w:r w:rsidR="00FC2087" w:rsidRPr="008A1DB4">
        <w:rPr>
          <w:spacing w:val="-2"/>
          <w:lang w:val="en-US"/>
        </w:rPr>
        <w:t>opinio</w:t>
      </w:r>
      <w:r w:rsidR="00C168D8" w:rsidRPr="008A1DB4">
        <w:rPr>
          <w:spacing w:val="-2"/>
          <w:lang w:val="en-US"/>
        </w:rPr>
        <w:t xml:space="preserve">n that the </w:t>
      </w:r>
      <w:r w:rsidR="002D1CFC" w:rsidRPr="008A1DB4">
        <w:rPr>
          <w:spacing w:val="-2"/>
          <w:lang w:val="en-US"/>
        </w:rPr>
        <w:t>advisory decision</w:t>
      </w:r>
      <w:r w:rsidR="00FE32A6" w:rsidRPr="008A1DB4">
        <w:rPr>
          <w:spacing w:val="-2"/>
          <w:lang w:val="en-US"/>
        </w:rPr>
        <w:t xml:space="preserve"> </w:t>
      </w:r>
      <w:r w:rsidR="00C168D8" w:rsidRPr="008A1DB4">
        <w:rPr>
          <w:spacing w:val="-2"/>
          <w:lang w:val="en-US"/>
        </w:rPr>
        <w:t>on</w:t>
      </w:r>
      <w:r w:rsidR="00FE32A6" w:rsidRPr="008A1DB4">
        <w:rPr>
          <w:spacing w:val="-2"/>
          <w:lang w:val="en-US"/>
        </w:rPr>
        <w:t xml:space="preserve"> </w:t>
      </w:r>
      <w:r w:rsidR="002D1CFC" w:rsidRPr="008A1DB4">
        <w:rPr>
          <w:spacing w:val="-2"/>
          <w:lang w:val="en-US"/>
        </w:rPr>
        <w:t>extradition</w:t>
      </w:r>
      <w:r w:rsidR="00FE32A6" w:rsidRPr="008A1DB4">
        <w:rPr>
          <w:spacing w:val="-2"/>
          <w:lang w:val="en-US"/>
        </w:rPr>
        <w:t xml:space="preserve"> </w:t>
      </w:r>
      <w:r w:rsidR="00C168D8" w:rsidRPr="008A1DB4">
        <w:rPr>
          <w:spacing w:val="-2"/>
          <w:lang w:val="en-US"/>
        </w:rPr>
        <w:t>should be unfavorable.</w:t>
      </w:r>
      <w:r w:rsidR="00FE32A6" w:rsidRPr="008A1DB4">
        <w:rPr>
          <w:rStyle w:val="FootnoteReference"/>
          <w:spacing w:val="-2"/>
          <w:lang w:val="en-US"/>
        </w:rPr>
        <w:footnoteReference w:id="72"/>
      </w:r>
    </w:p>
    <w:p w14:paraId="08CB1CDE" w14:textId="77777777" w:rsidR="00FE32A6" w:rsidRPr="008A1DB4" w:rsidRDefault="00FE32A6" w:rsidP="00956E97">
      <w:pPr>
        <w:pStyle w:val="PrrafodeSentencia"/>
        <w:numPr>
          <w:ilvl w:val="0"/>
          <w:numId w:val="0"/>
        </w:numPr>
        <w:rPr>
          <w:spacing w:val="-2"/>
          <w:lang w:val="en-US"/>
        </w:rPr>
      </w:pPr>
    </w:p>
    <w:p w14:paraId="731F1E21" w14:textId="7C8A5481" w:rsidR="00FE32A6" w:rsidRPr="008A1DB4" w:rsidRDefault="00C168D8" w:rsidP="00C168D8">
      <w:pPr>
        <w:pStyle w:val="PrrafodeSentencia"/>
        <w:rPr>
          <w:spacing w:val="-2"/>
          <w:lang w:val="en-US"/>
        </w:rPr>
      </w:pPr>
      <w:r w:rsidRPr="008A1DB4">
        <w:rPr>
          <w:spacing w:val="-2"/>
          <w:lang w:val="en-US"/>
        </w:rPr>
        <w:t>On</w:t>
      </w:r>
      <w:r w:rsidR="00FE32A6" w:rsidRPr="008A1DB4">
        <w:rPr>
          <w:spacing w:val="-2"/>
          <w:lang w:val="en-US"/>
        </w:rPr>
        <w:t xml:space="preserve"> </w:t>
      </w:r>
      <w:r w:rsidR="00FC5891" w:rsidRPr="008A1DB4">
        <w:rPr>
          <w:spacing w:val="-2"/>
          <w:lang w:val="en-US"/>
        </w:rPr>
        <w:t>October 5,</w:t>
      </w:r>
      <w:r w:rsidR="00FE32A6" w:rsidRPr="008A1DB4">
        <w:rPr>
          <w:spacing w:val="-2"/>
          <w:lang w:val="en-US"/>
        </w:rPr>
        <w:t xml:space="preserve"> 2009</w:t>
      </w:r>
      <w:r w:rsidRPr="008A1DB4">
        <w:rPr>
          <w:spacing w:val="-2"/>
          <w:lang w:val="en-US"/>
        </w:rPr>
        <w:t xml:space="preserve">, </w:t>
      </w:r>
      <w:r w:rsidR="002D1CFC" w:rsidRPr="008A1DB4">
        <w:rPr>
          <w:spacing w:val="-2"/>
          <w:lang w:val="en-US"/>
        </w:rPr>
        <w:t xml:space="preserve">the </w:t>
      </w:r>
      <w:r w:rsidR="00FC5891" w:rsidRPr="008A1DB4">
        <w:rPr>
          <w:spacing w:val="-2"/>
          <w:lang w:val="en-US"/>
        </w:rPr>
        <w:t>Permanent Criminal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xml:space="preserve"> </w:t>
      </w:r>
      <w:r w:rsidRPr="008A1DB4">
        <w:rPr>
          <w:spacing w:val="-2"/>
          <w:lang w:val="en-US"/>
        </w:rPr>
        <w:t>held a</w:t>
      </w:r>
      <w:r w:rsidR="00FE32A6" w:rsidRPr="008A1DB4">
        <w:rPr>
          <w:spacing w:val="-2"/>
          <w:lang w:val="en-US"/>
        </w:rPr>
        <w:t xml:space="preserve"> </w:t>
      </w:r>
      <w:r w:rsidR="008C4EFC" w:rsidRPr="008A1DB4">
        <w:rPr>
          <w:spacing w:val="-2"/>
          <w:lang w:val="en-US"/>
        </w:rPr>
        <w:t>public hearing</w:t>
      </w:r>
      <w:r w:rsidR="00FE32A6" w:rsidRPr="008A1DB4">
        <w:rPr>
          <w:spacing w:val="-2"/>
          <w:lang w:val="en-US"/>
        </w:rPr>
        <w:t xml:space="preserve"> </w:t>
      </w:r>
      <w:r w:rsidRPr="008A1DB4">
        <w:rPr>
          <w:spacing w:val="-2"/>
          <w:lang w:val="en-US"/>
        </w:rPr>
        <w:t>during which it ordered the return of the case file to the judge of the Seventh Criminal Court</w:t>
      </w:r>
      <w:r w:rsidR="00F36400" w:rsidRPr="008A1DB4">
        <w:rPr>
          <w:spacing w:val="-2"/>
          <w:lang w:val="en-US"/>
        </w:rPr>
        <w:t xml:space="preserve"> of the </w:t>
      </w:r>
      <w:r w:rsidR="00E022F9" w:rsidRPr="008A1DB4">
        <w:rPr>
          <w:spacing w:val="-2"/>
          <w:lang w:val="en-US"/>
        </w:rPr>
        <w:t>Superior Court of Justice of</w:t>
      </w:r>
      <w:r w:rsidRPr="008A1DB4">
        <w:rPr>
          <w:spacing w:val="-2"/>
          <w:lang w:val="en-US"/>
        </w:rPr>
        <w:t xml:space="preserve"> El</w:t>
      </w:r>
      <w:r w:rsidR="00FE32A6" w:rsidRPr="008A1DB4">
        <w:rPr>
          <w:spacing w:val="-2"/>
          <w:lang w:val="en-US"/>
        </w:rPr>
        <w:t xml:space="preserve"> Callao, </w:t>
      </w:r>
      <w:r w:rsidRPr="008A1DB4">
        <w:rPr>
          <w:spacing w:val="-2"/>
          <w:lang w:val="en-US"/>
        </w:rPr>
        <w:t>to rectify the failure to comply with the requirement “to attach the ce</w:t>
      </w:r>
      <w:r w:rsidR="006E6B66">
        <w:rPr>
          <w:spacing w:val="-2"/>
          <w:lang w:val="en-US"/>
        </w:rPr>
        <w:t>rtification that the guarantee that</w:t>
      </w:r>
      <w:r w:rsidRPr="008A1DB4">
        <w:rPr>
          <w:spacing w:val="-2"/>
          <w:lang w:val="en-US"/>
        </w:rPr>
        <w:t xml:space="preserve"> the death penalty</w:t>
      </w:r>
      <w:r w:rsidR="006E6B66">
        <w:rPr>
          <w:spacing w:val="-2"/>
          <w:lang w:val="en-US"/>
        </w:rPr>
        <w:t xml:space="preserve"> will not be imposed</w:t>
      </w:r>
      <w:r w:rsidRPr="008A1DB4">
        <w:rPr>
          <w:spacing w:val="-2"/>
          <w:lang w:val="en-US"/>
        </w:rPr>
        <w:t xml:space="preserve"> </w:t>
      </w:r>
      <w:r w:rsidR="006E6B66">
        <w:rPr>
          <w:spacing w:val="-2"/>
          <w:lang w:val="en-US"/>
        </w:rPr>
        <w:t>if</w:t>
      </w:r>
      <w:r w:rsidRPr="008A1DB4">
        <w:rPr>
          <w:spacing w:val="-2"/>
          <w:lang w:val="en-US"/>
        </w:rPr>
        <w:t xml:space="preserve"> he is convicted has been presented or, if not, that it has been requested,” and to reschedule the hearing.</w:t>
      </w:r>
      <w:r w:rsidR="00FE32A6" w:rsidRPr="008A1DB4">
        <w:rPr>
          <w:rStyle w:val="FootnoteReference"/>
          <w:spacing w:val="-2"/>
          <w:lang w:val="en-US"/>
        </w:rPr>
        <w:footnoteReference w:id="73"/>
      </w:r>
      <w:bookmarkEnd w:id="497"/>
    </w:p>
    <w:p w14:paraId="0BD3BBA5" w14:textId="77777777" w:rsidR="00FE32A6" w:rsidRPr="008A1DB4" w:rsidRDefault="00FE32A6" w:rsidP="00956E97">
      <w:pPr>
        <w:pStyle w:val="ListParagraph"/>
        <w:rPr>
          <w:spacing w:val="-2"/>
          <w:lang w:val="en-US"/>
        </w:rPr>
      </w:pPr>
    </w:p>
    <w:p w14:paraId="54D272E5" w14:textId="4279946B" w:rsidR="00FE32A6" w:rsidRPr="008A1DB4" w:rsidRDefault="00C168D8" w:rsidP="00956E97">
      <w:pPr>
        <w:pStyle w:val="PrrafodeSentencia"/>
        <w:rPr>
          <w:spacing w:val="-2"/>
          <w:lang w:val="en-US"/>
        </w:rPr>
      </w:pPr>
      <w:bookmarkStart w:id="498" w:name="_Ref398213789"/>
      <w:bookmarkStart w:id="499" w:name="_Ref418911444"/>
      <w:r w:rsidRPr="006E6B66">
        <w:rPr>
          <w:spacing w:val="-2"/>
          <w:lang w:val="en-US"/>
        </w:rPr>
        <w:t>On</w:t>
      </w:r>
      <w:r w:rsidR="00FE32A6" w:rsidRPr="006E6B66">
        <w:rPr>
          <w:spacing w:val="-2"/>
          <w:lang w:val="en-US"/>
        </w:rPr>
        <w:t xml:space="preserve"> </w:t>
      </w:r>
      <w:r w:rsidR="00631F9C" w:rsidRPr="006E6B66">
        <w:rPr>
          <w:spacing w:val="-2"/>
          <w:lang w:val="en-US"/>
        </w:rPr>
        <w:t>October 12,</w:t>
      </w:r>
      <w:r w:rsidR="00FE32A6" w:rsidRPr="006E6B66">
        <w:rPr>
          <w:spacing w:val="-2"/>
          <w:lang w:val="en-US"/>
        </w:rPr>
        <w:t xml:space="preserve"> 2009</w:t>
      </w:r>
      <w:r w:rsidRPr="006E6B66">
        <w:rPr>
          <w:spacing w:val="-2"/>
          <w:lang w:val="en-US"/>
        </w:rPr>
        <w:t>,</w:t>
      </w:r>
      <w:r w:rsidR="00FE32A6" w:rsidRPr="006E6B66">
        <w:rPr>
          <w:spacing w:val="-2"/>
          <w:lang w:val="en-US"/>
        </w:rPr>
        <w:t xml:space="preserve"> </w:t>
      </w:r>
      <w:r w:rsidR="00C45946" w:rsidRPr="006E6B66">
        <w:rPr>
          <w:spacing w:val="-2"/>
          <w:lang w:val="en-US"/>
        </w:rPr>
        <w:t>the representative</w:t>
      </w:r>
      <w:r w:rsidR="00FE32A6" w:rsidRPr="006E6B66">
        <w:rPr>
          <w:spacing w:val="-2"/>
          <w:lang w:val="en-US"/>
        </w:rPr>
        <w:t xml:space="preserve"> </w:t>
      </w:r>
      <w:r w:rsidR="00B43F84" w:rsidRPr="006E6B66">
        <w:rPr>
          <w:spacing w:val="-2"/>
          <w:lang w:val="en-US"/>
        </w:rPr>
        <w:t>of Wong</w:t>
      </w:r>
      <w:r w:rsidR="00FE32A6" w:rsidRPr="006E6B66">
        <w:rPr>
          <w:spacing w:val="-2"/>
          <w:lang w:val="en-US"/>
        </w:rPr>
        <w:t xml:space="preserve"> Ho Wing </w:t>
      </w:r>
      <w:r w:rsidRPr="006E6B66">
        <w:rPr>
          <w:spacing w:val="-2"/>
          <w:lang w:val="en-US"/>
        </w:rPr>
        <w:t>filed a</w:t>
      </w:r>
      <w:r w:rsidR="00FE32A6" w:rsidRPr="006E6B66">
        <w:rPr>
          <w:spacing w:val="-2"/>
          <w:lang w:val="en-US"/>
        </w:rPr>
        <w:t xml:space="preserve"> </w:t>
      </w:r>
      <w:r w:rsidR="00FE32A6" w:rsidRPr="006E6B66">
        <w:rPr>
          <w:b/>
          <w:spacing w:val="-2"/>
          <w:lang w:val="en-US"/>
        </w:rPr>
        <w:t>se</w:t>
      </w:r>
      <w:r w:rsidRPr="006E6B66">
        <w:rPr>
          <w:b/>
          <w:spacing w:val="-2"/>
          <w:lang w:val="en-US"/>
        </w:rPr>
        <w:t xml:space="preserve">cond application for </w:t>
      </w:r>
      <w:r w:rsidR="00E022F9" w:rsidRPr="006E6B66">
        <w:rPr>
          <w:b/>
          <w:i/>
          <w:spacing w:val="-2"/>
          <w:lang w:val="en-US"/>
        </w:rPr>
        <w:t>habeas corpus</w:t>
      </w:r>
      <w:r w:rsidRPr="006E6B66">
        <w:rPr>
          <w:spacing w:val="-2"/>
          <w:lang w:val="en-US"/>
        </w:rPr>
        <w:t xml:space="preserve"> against the judges </w:t>
      </w:r>
      <w:r w:rsidR="002D1CFC" w:rsidRPr="006E6B66">
        <w:rPr>
          <w:spacing w:val="-2"/>
          <w:lang w:val="en-US"/>
        </w:rPr>
        <w:t xml:space="preserve">of the </w:t>
      </w:r>
      <w:r w:rsidR="00FC5891" w:rsidRPr="006E6B66">
        <w:rPr>
          <w:spacing w:val="-2"/>
          <w:lang w:val="en-US"/>
        </w:rPr>
        <w:t>Permanent Criminal Chamber</w:t>
      </w:r>
      <w:r w:rsidR="00F36400" w:rsidRPr="006E6B66">
        <w:rPr>
          <w:spacing w:val="-2"/>
          <w:lang w:val="en-US"/>
        </w:rPr>
        <w:t xml:space="preserve"> of </w:t>
      </w:r>
      <w:r w:rsidR="00B67AC5" w:rsidRPr="006E6B66">
        <w:rPr>
          <w:spacing w:val="-2"/>
          <w:lang w:val="en-US"/>
        </w:rPr>
        <w:t xml:space="preserve">the </w:t>
      </w:r>
      <w:r w:rsidR="001E7113" w:rsidRPr="006E6B66">
        <w:rPr>
          <w:spacing w:val="-2"/>
          <w:lang w:val="en-US"/>
        </w:rPr>
        <w:t>Supreme Court of Justice</w:t>
      </w:r>
      <w:r w:rsidR="00FE32A6" w:rsidRPr="006E6B66">
        <w:rPr>
          <w:spacing w:val="-2"/>
          <w:lang w:val="en-US"/>
        </w:rPr>
        <w:t xml:space="preserve"> “</w:t>
      </w:r>
      <w:r w:rsidRPr="006E6B66">
        <w:rPr>
          <w:spacing w:val="-2"/>
          <w:lang w:val="en-US"/>
        </w:rPr>
        <w:t>based on the certain and imminent threat of violation of the right</w:t>
      </w:r>
      <w:r w:rsidR="00152E77">
        <w:rPr>
          <w:spacing w:val="-2"/>
          <w:lang w:val="en-US"/>
        </w:rPr>
        <w:t>s</w:t>
      </w:r>
      <w:r w:rsidRPr="006E6B66">
        <w:rPr>
          <w:spacing w:val="-2"/>
          <w:lang w:val="en-US"/>
        </w:rPr>
        <w:t xml:space="preserve"> to life and </w:t>
      </w:r>
      <w:r w:rsidR="00776D24" w:rsidRPr="006E6B66">
        <w:rPr>
          <w:spacing w:val="-2"/>
          <w:lang w:val="en-US"/>
        </w:rPr>
        <w:t>personal integrity</w:t>
      </w:r>
      <w:r w:rsidR="00FE32A6" w:rsidRPr="008A1DB4">
        <w:rPr>
          <w:spacing w:val="-2"/>
          <w:lang w:val="en-US"/>
        </w:rPr>
        <w:t xml:space="preserve"> </w:t>
      </w:r>
      <w:r w:rsidRPr="008A1DB4">
        <w:rPr>
          <w:spacing w:val="-2"/>
          <w:lang w:val="en-US"/>
        </w:rPr>
        <w:t xml:space="preserve">that subsists against </w:t>
      </w:r>
      <w:r w:rsidR="00FE32A6" w:rsidRPr="008A1DB4">
        <w:rPr>
          <w:spacing w:val="-2"/>
          <w:lang w:val="en-US"/>
        </w:rPr>
        <w:t>[…] Wong Ho Wing</w:t>
      </w:r>
      <w:r w:rsidRPr="008A1DB4">
        <w:rPr>
          <w:spacing w:val="-2"/>
          <w:lang w:val="en-US"/>
        </w:rPr>
        <w:t>.</w:t>
      </w:r>
      <w:r w:rsidR="00FE32A6" w:rsidRPr="008A1DB4">
        <w:rPr>
          <w:spacing w:val="-2"/>
          <w:lang w:val="en-US"/>
        </w:rPr>
        <w:t>”</w:t>
      </w:r>
      <w:r w:rsidR="00FE32A6" w:rsidRPr="008A1DB4">
        <w:rPr>
          <w:rStyle w:val="FootnoteReference"/>
          <w:spacing w:val="-2"/>
          <w:lang w:val="en-US"/>
        </w:rPr>
        <w:footnoteReference w:id="74"/>
      </w:r>
      <w:bookmarkEnd w:id="498"/>
      <w:r w:rsidR="00FE32A6" w:rsidRPr="008A1DB4">
        <w:rPr>
          <w:spacing w:val="-2"/>
          <w:lang w:val="en-US"/>
        </w:rPr>
        <w:t xml:space="preserve"> </w:t>
      </w:r>
      <w:r w:rsidRPr="008A1DB4">
        <w:rPr>
          <w:spacing w:val="-2"/>
          <w:lang w:val="en-US"/>
        </w:rPr>
        <w:t>On January 5,</w:t>
      </w:r>
      <w:r w:rsidR="00FE32A6" w:rsidRPr="008A1DB4">
        <w:rPr>
          <w:spacing w:val="-2"/>
          <w:lang w:val="en-US"/>
        </w:rPr>
        <w:t xml:space="preserve"> 2010</w:t>
      </w:r>
      <w:r w:rsidRPr="008A1DB4">
        <w:rPr>
          <w:spacing w:val="-2"/>
          <w:lang w:val="en-US"/>
        </w:rPr>
        <w:t>,</w:t>
      </w:r>
      <w:r w:rsidR="00FE32A6" w:rsidRPr="008A1DB4">
        <w:rPr>
          <w:spacing w:val="-2"/>
          <w:lang w:val="en-US"/>
        </w:rPr>
        <w:t xml:space="preserve"> </w:t>
      </w:r>
      <w:r w:rsidRPr="008A1DB4">
        <w:rPr>
          <w:spacing w:val="-2"/>
          <w:lang w:val="en-US"/>
        </w:rPr>
        <w:t xml:space="preserve">the 53rd Criminal Court of the Province of Lima considered that this application was </w:t>
      </w:r>
      <w:r w:rsidR="00947926" w:rsidRPr="008A1DB4">
        <w:rPr>
          <w:spacing w:val="-2"/>
          <w:lang w:val="en-US"/>
        </w:rPr>
        <w:t>inadmissible</w:t>
      </w:r>
      <w:r w:rsidRPr="008A1DB4">
        <w:rPr>
          <w:spacing w:val="-2"/>
          <w:lang w:val="en-US"/>
        </w:rPr>
        <w:t xml:space="preserve">, finding that what was sought was the inadmissibility of </w:t>
      </w:r>
      <w:r w:rsidR="002D1CFC" w:rsidRPr="008A1DB4">
        <w:rPr>
          <w:spacing w:val="-2"/>
          <w:lang w:val="en-US"/>
        </w:rPr>
        <w:t>extradition</w:t>
      </w:r>
      <w:r w:rsidR="00F36400" w:rsidRPr="008A1DB4">
        <w:rPr>
          <w:spacing w:val="-2"/>
          <w:lang w:val="en-US"/>
        </w:rPr>
        <w:t xml:space="preserve"> and </w:t>
      </w:r>
      <w:r w:rsidRPr="008A1DB4">
        <w:rPr>
          <w:spacing w:val="-2"/>
          <w:lang w:val="en-US"/>
        </w:rPr>
        <w:t xml:space="preserve">that the arguments had already been analyzed in the decision of </w:t>
      </w:r>
      <w:r w:rsidR="00E022F9" w:rsidRPr="008A1DB4">
        <w:rPr>
          <w:spacing w:val="-2"/>
          <w:lang w:val="en-US"/>
        </w:rPr>
        <w:t>April 24,</w:t>
      </w:r>
      <w:r w:rsidR="00FE32A6" w:rsidRPr="008A1DB4">
        <w:rPr>
          <w:spacing w:val="-2"/>
          <w:lang w:val="en-US"/>
        </w:rPr>
        <w:t xml:space="preserve"> 2009 (</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_Ref402273545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70</w:t>
      </w:r>
      <w:r w:rsidR="00FE32A6" w:rsidRPr="008A1DB4">
        <w:rPr>
          <w:spacing w:val="-2"/>
          <w:lang w:val="en-US"/>
        </w:rPr>
        <w:fldChar w:fldCharType="end"/>
      </w:r>
      <w:r w:rsidR="00FE32A6" w:rsidRPr="008A1DB4">
        <w:rPr>
          <w:spacing w:val="-2"/>
          <w:lang w:val="en-US"/>
        </w:rPr>
        <w:t>)</w:t>
      </w:r>
      <w:r w:rsidRPr="008A1DB4">
        <w:rPr>
          <w:spacing w:val="-2"/>
          <w:lang w:val="en-US"/>
        </w:rPr>
        <w:t>.</w:t>
      </w:r>
      <w:r w:rsidR="00FE32A6" w:rsidRPr="008A1DB4">
        <w:rPr>
          <w:rStyle w:val="FootnoteReference"/>
          <w:spacing w:val="-2"/>
          <w:lang w:val="en-US"/>
        </w:rPr>
        <w:footnoteReference w:id="75"/>
      </w:r>
      <w:r w:rsidR="00FE32A6" w:rsidRPr="008A1DB4">
        <w:rPr>
          <w:spacing w:val="-2"/>
          <w:lang w:val="en-US"/>
        </w:rPr>
        <w:t xml:space="preserve"> </w:t>
      </w:r>
      <w:r w:rsidRPr="008A1DB4">
        <w:rPr>
          <w:spacing w:val="-2"/>
          <w:lang w:val="en-US"/>
        </w:rPr>
        <w:t>On February 4,</w:t>
      </w:r>
      <w:r w:rsidR="00FE32A6" w:rsidRPr="008A1DB4">
        <w:rPr>
          <w:spacing w:val="-2"/>
          <w:lang w:val="en-US"/>
        </w:rPr>
        <w:t xml:space="preserve"> 2010</w:t>
      </w:r>
      <w:r w:rsidRPr="008A1DB4">
        <w:rPr>
          <w:spacing w:val="-2"/>
          <w:lang w:val="en-US"/>
        </w:rPr>
        <w:t>,</w:t>
      </w:r>
      <w:r w:rsidR="00FE32A6" w:rsidRPr="008A1DB4">
        <w:rPr>
          <w:spacing w:val="-2"/>
          <w:lang w:val="en-US"/>
        </w:rPr>
        <w:t xml:space="preserve"> </w:t>
      </w:r>
      <w:r w:rsidR="00C45946" w:rsidRPr="008A1DB4">
        <w:rPr>
          <w:spacing w:val="-2"/>
          <w:lang w:val="en-US"/>
        </w:rPr>
        <w:t>the representative</w:t>
      </w:r>
      <w:r w:rsidRPr="008A1DB4">
        <w:rPr>
          <w:spacing w:val="-2"/>
          <w:lang w:val="en-US"/>
        </w:rPr>
        <w:t xml:space="preserve"> filed an appeal against this decision,</w:t>
      </w:r>
      <w:r w:rsidR="00FE32A6" w:rsidRPr="008A1DB4">
        <w:rPr>
          <w:rStyle w:val="FootnoteReference"/>
          <w:spacing w:val="-2"/>
          <w:lang w:val="en-US"/>
        </w:rPr>
        <w:footnoteReference w:id="76"/>
      </w:r>
      <w:r w:rsidRPr="008A1DB4">
        <w:rPr>
          <w:spacing w:val="-2"/>
          <w:lang w:val="en-US"/>
        </w:rPr>
        <w:t xml:space="preserve"> which was confirmed on June 30,</w:t>
      </w:r>
      <w:r w:rsidR="00FE32A6" w:rsidRPr="008A1DB4">
        <w:rPr>
          <w:spacing w:val="-2"/>
          <w:lang w:val="en-US"/>
        </w:rPr>
        <w:t xml:space="preserve"> 2010</w:t>
      </w:r>
      <w:r w:rsidRPr="008A1DB4">
        <w:rPr>
          <w:spacing w:val="-2"/>
          <w:lang w:val="en-US"/>
        </w:rPr>
        <w:t>.</w:t>
      </w:r>
      <w:r w:rsidR="00FE32A6" w:rsidRPr="008A1DB4">
        <w:rPr>
          <w:rStyle w:val="FootnoteReference"/>
          <w:spacing w:val="-2"/>
          <w:lang w:val="en-US"/>
        </w:rPr>
        <w:footnoteReference w:id="77"/>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6E6B66">
        <w:rPr>
          <w:spacing w:val="-2"/>
          <w:lang w:val="en-US"/>
        </w:rPr>
        <w:t xml:space="preserve">filed an appeal based on </w:t>
      </w:r>
      <w:r w:rsidRPr="008A1DB4">
        <w:rPr>
          <w:spacing w:val="-2"/>
          <w:lang w:val="en-US"/>
        </w:rPr>
        <w:t xml:space="preserve">constitutional </w:t>
      </w:r>
      <w:r w:rsidR="006E6B66">
        <w:rPr>
          <w:spacing w:val="-2"/>
          <w:lang w:val="en-US"/>
        </w:rPr>
        <w:t>injury</w:t>
      </w:r>
      <w:r w:rsidRPr="008A1DB4">
        <w:rPr>
          <w:spacing w:val="-2"/>
          <w:lang w:val="en-US"/>
        </w:rPr>
        <w:t xml:space="preserve"> which was declared inadmissible on August 5,</w:t>
      </w:r>
      <w:r w:rsidR="00FE32A6" w:rsidRPr="008A1DB4">
        <w:rPr>
          <w:spacing w:val="-2"/>
          <w:lang w:val="en-US"/>
        </w:rPr>
        <w:t xml:space="preserve"> 2011, </w:t>
      </w:r>
      <w:r w:rsidRPr="008A1DB4">
        <w:rPr>
          <w:spacing w:val="-2"/>
          <w:lang w:val="en-US"/>
        </w:rPr>
        <w:t>because</w:t>
      </w:r>
      <w:r w:rsidR="00FE32A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Pr="008A1DB4">
        <w:rPr>
          <w:spacing w:val="-2"/>
          <w:lang w:val="en-US"/>
        </w:rPr>
        <w:t>had already ruled on another constitutional remedy</w:t>
      </w:r>
      <w:r w:rsidR="00FE32A6" w:rsidRPr="008A1DB4">
        <w:rPr>
          <w:spacing w:val="-2"/>
          <w:lang w:val="en-US"/>
        </w:rPr>
        <w:t xml:space="preserve"> (</w:t>
      </w:r>
      <w:r w:rsidR="00FE32A6" w:rsidRPr="008A1DB4">
        <w:rPr>
          <w:i/>
          <w:spacing w:val="-2"/>
          <w:lang w:val="en-US"/>
        </w:rPr>
        <w:t xml:space="preserve">infra </w:t>
      </w:r>
      <w:r w:rsidR="00631F9C" w:rsidRPr="008A1DB4">
        <w:rPr>
          <w:spacing w:val="-2"/>
          <w:lang w:val="en-US"/>
        </w:rPr>
        <w:t>paras.</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_Ref402187094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81</w:t>
      </w:r>
      <w:r w:rsidR="00FE32A6" w:rsidRPr="008A1DB4">
        <w:rPr>
          <w:spacing w:val="-2"/>
          <w:lang w:val="en-US"/>
        </w:rPr>
        <w:fldChar w:fldCharType="end"/>
      </w:r>
      <w:r w:rsidR="00D72F7F" w:rsidRPr="008A1DB4">
        <w:rPr>
          <w:spacing w:val="-2"/>
          <w:lang w:val="en-US"/>
        </w:rPr>
        <w:t xml:space="preserve"> </w:t>
      </w:r>
      <w:r w:rsidRPr="008A1DB4">
        <w:rPr>
          <w:spacing w:val="-2"/>
          <w:lang w:val="en-US"/>
        </w:rPr>
        <w:t>to</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_Ref402186809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83</w:t>
      </w:r>
      <w:r w:rsidR="00FE32A6" w:rsidRPr="008A1DB4">
        <w:rPr>
          <w:spacing w:val="-2"/>
          <w:lang w:val="en-US"/>
        </w:rPr>
        <w:fldChar w:fldCharType="end"/>
      </w:r>
      <w:r w:rsidR="00FE32A6" w:rsidRPr="008A1DB4">
        <w:rPr>
          <w:spacing w:val="-2"/>
          <w:lang w:val="en-US"/>
        </w:rPr>
        <w:t>)</w:t>
      </w:r>
      <w:r w:rsidRPr="008A1DB4">
        <w:rPr>
          <w:spacing w:val="-2"/>
          <w:lang w:val="en-US"/>
        </w:rPr>
        <w:t>.</w:t>
      </w:r>
      <w:r w:rsidR="00FE32A6" w:rsidRPr="008A1DB4">
        <w:rPr>
          <w:rStyle w:val="FootnoteReference"/>
          <w:spacing w:val="-2"/>
          <w:lang w:val="en-US"/>
        </w:rPr>
        <w:footnoteReference w:id="78"/>
      </w:r>
      <w:bookmarkEnd w:id="499"/>
    </w:p>
    <w:p w14:paraId="288E9FBF" w14:textId="77777777" w:rsidR="00FE32A6" w:rsidRPr="008A1DB4" w:rsidRDefault="00FE32A6" w:rsidP="00956E97">
      <w:pPr>
        <w:pStyle w:val="ListParagraph"/>
        <w:rPr>
          <w:spacing w:val="-2"/>
          <w:lang w:val="en-US"/>
        </w:rPr>
      </w:pPr>
    </w:p>
    <w:p w14:paraId="02933317" w14:textId="6C121FBC" w:rsidR="00FE32A6" w:rsidRPr="008A1DB4" w:rsidRDefault="00C168D8" w:rsidP="00956E97">
      <w:pPr>
        <w:pStyle w:val="PrrafodeSentencia"/>
        <w:rPr>
          <w:spacing w:val="-2"/>
          <w:lang w:val="en-US"/>
        </w:rPr>
      </w:pPr>
      <w:bookmarkStart w:id="500" w:name="_Ref430095208"/>
      <w:bookmarkStart w:id="501" w:name="_Ref398212908"/>
      <w:r w:rsidRPr="008A1DB4">
        <w:rPr>
          <w:spacing w:val="-2"/>
          <w:lang w:val="en-US"/>
        </w:rPr>
        <w:t>On December 9,</w:t>
      </w:r>
      <w:r w:rsidR="00FE32A6" w:rsidRPr="008A1DB4">
        <w:rPr>
          <w:spacing w:val="-2"/>
          <w:lang w:val="en-US"/>
        </w:rPr>
        <w:t xml:space="preserve"> 2009</w:t>
      </w:r>
      <w:r w:rsidRPr="008A1DB4">
        <w:rPr>
          <w:spacing w:val="-2"/>
          <w:lang w:val="en-US"/>
        </w:rPr>
        <w:t xml:space="preserve">, a passive extradition hearing </w:t>
      </w:r>
      <w:r w:rsidR="00906A35" w:rsidRPr="008A1DB4">
        <w:rPr>
          <w:spacing w:val="-2"/>
          <w:lang w:val="en-US"/>
        </w:rPr>
        <w:t xml:space="preserve">was held before </w:t>
      </w:r>
      <w:r w:rsidR="002D1CFC" w:rsidRPr="008A1DB4">
        <w:rPr>
          <w:spacing w:val="-2"/>
          <w:lang w:val="en-US"/>
        </w:rPr>
        <w:t xml:space="preserve">the </w:t>
      </w:r>
      <w:r w:rsidR="00FC5891" w:rsidRPr="008A1DB4">
        <w:rPr>
          <w:spacing w:val="-2"/>
          <w:lang w:val="en-US"/>
        </w:rPr>
        <w:t>Permanent Criminal Chamber</w:t>
      </w:r>
      <w:r w:rsidR="00906A35" w:rsidRPr="008A1DB4">
        <w:rPr>
          <w:spacing w:val="-2"/>
          <w:lang w:val="en-US"/>
        </w:rPr>
        <w:t>.</w:t>
      </w:r>
      <w:r w:rsidR="00FE32A6" w:rsidRPr="008A1DB4">
        <w:rPr>
          <w:rStyle w:val="FootnoteReference"/>
          <w:spacing w:val="-2"/>
          <w:lang w:val="en-US"/>
        </w:rPr>
        <w:footnoteReference w:id="79"/>
      </w:r>
      <w:r w:rsidRPr="008A1DB4">
        <w:rPr>
          <w:spacing w:val="-2"/>
          <w:lang w:val="en-US"/>
        </w:rPr>
        <w:t xml:space="preserve"> On </w:t>
      </w:r>
      <w:r w:rsidR="00BB336A" w:rsidRPr="008A1DB4">
        <w:rPr>
          <w:spacing w:val="-2"/>
          <w:lang w:val="en-US"/>
        </w:rPr>
        <w:t xml:space="preserve">December </w:t>
      </w:r>
      <w:r w:rsidRPr="008A1DB4">
        <w:rPr>
          <w:spacing w:val="-2"/>
          <w:lang w:val="en-US"/>
        </w:rPr>
        <w:t>1</w:t>
      </w:r>
      <w:r w:rsidR="00BB336A" w:rsidRPr="008A1DB4">
        <w:rPr>
          <w:spacing w:val="-2"/>
          <w:lang w:val="en-US"/>
        </w:rPr>
        <w:t>1,</w:t>
      </w:r>
      <w:r w:rsidR="00FE32A6" w:rsidRPr="008A1DB4">
        <w:rPr>
          <w:spacing w:val="-2"/>
          <w:lang w:val="en-US"/>
        </w:rPr>
        <w:t xml:space="preserve"> 2009</w:t>
      </w:r>
      <w:r w:rsidR="00906A35" w:rsidRPr="008A1DB4">
        <w:rPr>
          <w:spacing w:val="-2"/>
          <w:lang w:val="en-US"/>
        </w:rPr>
        <w:t>,</w:t>
      </w:r>
      <w:r w:rsidR="00FE32A6" w:rsidRPr="008A1DB4">
        <w:rPr>
          <w:spacing w:val="-2"/>
          <w:lang w:val="en-US"/>
        </w:rPr>
        <w:t xml:space="preserve"> </w:t>
      </w:r>
      <w:r w:rsidR="00E022F9" w:rsidRPr="008A1DB4">
        <w:rPr>
          <w:spacing w:val="-2"/>
          <w:lang w:val="en-US"/>
        </w:rPr>
        <w:t>the Embassy</w:t>
      </w:r>
      <w:r w:rsidR="002D1CFC" w:rsidRPr="008A1DB4">
        <w:rPr>
          <w:spacing w:val="-2"/>
          <w:lang w:val="en-US"/>
        </w:rPr>
        <w:t xml:space="preserve"> of the </w:t>
      </w:r>
      <w:r w:rsidR="00FE5E87" w:rsidRPr="008A1DB4">
        <w:rPr>
          <w:spacing w:val="-2"/>
          <w:lang w:val="en-US"/>
        </w:rPr>
        <w:t>People’s Republic of China</w:t>
      </w:r>
      <w:r w:rsidR="00906A35" w:rsidRPr="008A1DB4">
        <w:rPr>
          <w:spacing w:val="-2"/>
          <w:lang w:val="en-US"/>
        </w:rPr>
        <w:t xml:space="preserve"> i</w:t>
      </w:r>
      <w:r w:rsidR="00FE32A6" w:rsidRPr="008A1DB4">
        <w:rPr>
          <w:spacing w:val="-2"/>
          <w:lang w:val="en-US"/>
        </w:rPr>
        <w:t xml:space="preserve">n </w:t>
      </w:r>
      <w:r w:rsidR="00FE5E87" w:rsidRPr="008A1DB4">
        <w:rPr>
          <w:spacing w:val="-2"/>
          <w:lang w:val="en-US"/>
        </w:rPr>
        <w:t>Peru</w:t>
      </w:r>
      <w:r w:rsidR="00FE32A6" w:rsidRPr="008A1DB4">
        <w:rPr>
          <w:spacing w:val="-2"/>
          <w:lang w:val="en-US"/>
        </w:rPr>
        <w:t xml:space="preserve"> </w:t>
      </w:r>
      <w:r w:rsidR="00906A35" w:rsidRPr="008A1DB4">
        <w:rPr>
          <w:spacing w:val="-2"/>
          <w:lang w:val="en-US"/>
        </w:rPr>
        <w:t xml:space="preserve">advised </w:t>
      </w:r>
      <w:r w:rsidR="002D1CFC" w:rsidRPr="008A1DB4">
        <w:rPr>
          <w:spacing w:val="-2"/>
          <w:lang w:val="en-US"/>
        </w:rPr>
        <w:t xml:space="preserve">the </w:t>
      </w:r>
      <w:r w:rsidR="00FC5891" w:rsidRPr="008A1DB4">
        <w:rPr>
          <w:spacing w:val="-2"/>
          <w:lang w:val="en-US"/>
        </w:rPr>
        <w:t>Permanent Criminal Chamber</w:t>
      </w:r>
      <w:r w:rsidR="00906A35" w:rsidRPr="008A1DB4">
        <w:rPr>
          <w:spacing w:val="-2"/>
          <w:lang w:val="en-US"/>
        </w:rPr>
        <w:t xml:space="preserve"> that </w:t>
      </w:r>
      <w:r w:rsidR="00F36400" w:rsidRPr="008A1DB4">
        <w:rPr>
          <w:spacing w:val="-2"/>
          <w:lang w:val="en-US"/>
        </w:rPr>
        <w:t xml:space="preserve">the </w:t>
      </w:r>
      <w:r w:rsidR="008065B7" w:rsidRPr="008A1DB4">
        <w:rPr>
          <w:spacing w:val="-2"/>
          <w:lang w:val="en-US"/>
        </w:rPr>
        <w:t>People’s Supreme Court</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ha</w:t>
      </w:r>
      <w:r w:rsidR="008065B7" w:rsidRPr="008A1DB4">
        <w:rPr>
          <w:spacing w:val="-2"/>
          <w:lang w:val="en-US"/>
        </w:rPr>
        <w:t xml:space="preserve">d decided not to impose the death penalty on </w:t>
      </w:r>
      <w:r w:rsidR="00B43F84" w:rsidRPr="008A1DB4">
        <w:rPr>
          <w:spacing w:val="-2"/>
          <w:lang w:val="en-US"/>
        </w:rPr>
        <w:t>Wong</w:t>
      </w:r>
      <w:r w:rsidR="008065B7" w:rsidRPr="008A1DB4">
        <w:rPr>
          <w:spacing w:val="-2"/>
          <w:lang w:val="en-US"/>
        </w:rPr>
        <w:t xml:space="preserve"> Ho Wing, if he was extradited and then convicted, “even if his offense is legally subject to the death penalty</w:t>
      </w:r>
      <w:r w:rsidR="00FE32A6" w:rsidRPr="008A1DB4">
        <w:rPr>
          <w:spacing w:val="-2"/>
          <w:lang w:val="en-US"/>
        </w:rPr>
        <w:t>”</w:t>
      </w:r>
      <w:r w:rsidR="00984445" w:rsidRPr="008A1DB4">
        <w:rPr>
          <w:rStyle w:val="FootnoteReference"/>
          <w:spacing w:val="-2"/>
          <w:lang w:val="en-US"/>
        </w:rPr>
        <w:footnoteReference w:id="80"/>
      </w:r>
      <w:r w:rsidR="00FE32A6" w:rsidRPr="008A1DB4">
        <w:rPr>
          <w:spacing w:val="-2"/>
          <w:lang w:val="en-US"/>
        </w:rPr>
        <w:t xml:space="preserve"> (</w:t>
      </w:r>
      <w:r w:rsidR="00FE32A6" w:rsidRPr="008A1DB4">
        <w:rPr>
          <w:i/>
          <w:spacing w:val="-2"/>
          <w:lang w:val="en-US"/>
        </w:rPr>
        <w:t xml:space="preserve">infra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_Ref418755874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92</w:t>
      </w:r>
      <w:r w:rsidR="00FE32A6" w:rsidRPr="008A1DB4">
        <w:rPr>
          <w:spacing w:val="-2"/>
          <w:lang w:val="en-US"/>
        </w:rPr>
        <w:fldChar w:fldCharType="end"/>
      </w:r>
      <w:r w:rsidR="00FE32A6" w:rsidRPr="008A1DB4">
        <w:rPr>
          <w:spacing w:val="-2"/>
          <w:lang w:val="en-US"/>
        </w:rPr>
        <w:t>.c).</w:t>
      </w:r>
      <w:bookmarkEnd w:id="500"/>
    </w:p>
    <w:p w14:paraId="641B9E85" w14:textId="77777777" w:rsidR="00FE32A6" w:rsidRPr="008A1DB4" w:rsidRDefault="00FE32A6" w:rsidP="00956E97">
      <w:pPr>
        <w:pStyle w:val="ListParagraph"/>
        <w:rPr>
          <w:spacing w:val="-2"/>
          <w:lang w:val="en-US"/>
        </w:rPr>
      </w:pPr>
    </w:p>
    <w:p w14:paraId="129D31C2" w14:textId="343C273D" w:rsidR="00FE32A6" w:rsidRPr="008A1DB4" w:rsidRDefault="00C168D8" w:rsidP="00956E97">
      <w:pPr>
        <w:pStyle w:val="PrrafodeSentencia"/>
        <w:rPr>
          <w:spacing w:val="-2"/>
          <w:lang w:val="en-US"/>
        </w:rPr>
      </w:pPr>
      <w:r w:rsidRPr="008A1DB4">
        <w:rPr>
          <w:spacing w:val="-2"/>
          <w:lang w:val="en-US"/>
        </w:rPr>
        <w:t>On December 15,</w:t>
      </w:r>
      <w:r w:rsidR="008065B7" w:rsidRPr="008A1DB4">
        <w:rPr>
          <w:spacing w:val="-2"/>
          <w:lang w:val="en-US"/>
        </w:rPr>
        <w:t xml:space="preserve"> </w:t>
      </w:r>
      <w:r w:rsidR="002D1CFC" w:rsidRPr="008A1DB4">
        <w:rPr>
          <w:spacing w:val="-2"/>
          <w:lang w:val="en-US"/>
        </w:rPr>
        <w:t xml:space="preserve">the </w:t>
      </w:r>
      <w:r w:rsidR="00FC5891" w:rsidRPr="008A1DB4">
        <w:rPr>
          <w:spacing w:val="-2"/>
          <w:lang w:val="en-US"/>
        </w:rPr>
        <w:t>Permanent Criminal Chamber</w:t>
      </w:r>
      <w:r w:rsidR="00FE32A6" w:rsidRPr="008A1DB4">
        <w:rPr>
          <w:spacing w:val="-2"/>
          <w:lang w:val="en-US"/>
        </w:rPr>
        <w:t xml:space="preserve"> orde</w:t>
      </w:r>
      <w:r w:rsidR="008065B7" w:rsidRPr="008A1DB4">
        <w:rPr>
          <w:spacing w:val="-2"/>
          <w:lang w:val="en-US"/>
        </w:rPr>
        <w:t xml:space="preserve">red the hearing of </w:t>
      </w:r>
      <w:r w:rsidR="00FC5891" w:rsidRPr="008A1DB4">
        <w:rPr>
          <w:spacing w:val="-2"/>
          <w:lang w:val="en-US"/>
        </w:rPr>
        <w:t>October 5,</w:t>
      </w:r>
      <w:r w:rsidR="00FE32A6" w:rsidRPr="008A1DB4">
        <w:rPr>
          <w:spacing w:val="-2"/>
          <w:lang w:val="en-US"/>
        </w:rPr>
        <w:t xml:space="preserve"> 2009</w:t>
      </w:r>
      <w:r w:rsidR="008065B7" w:rsidRPr="008A1DB4">
        <w:rPr>
          <w:spacing w:val="-2"/>
          <w:lang w:val="en-US"/>
        </w:rPr>
        <w:t xml:space="preserve">, to be nullified so that the parties could present their </w:t>
      </w:r>
      <w:r w:rsidR="0058668C" w:rsidRPr="008A1DB4">
        <w:rPr>
          <w:spacing w:val="-2"/>
          <w:lang w:val="en-US"/>
        </w:rPr>
        <w:t>arguments</w:t>
      </w:r>
      <w:r w:rsidR="00FE32A6" w:rsidRPr="008A1DB4">
        <w:rPr>
          <w:spacing w:val="-2"/>
          <w:lang w:val="en-US"/>
        </w:rPr>
        <w:t xml:space="preserve"> </w:t>
      </w:r>
      <w:r w:rsidR="008065B7" w:rsidRPr="008A1DB4">
        <w:rPr>
          <w:spacing w:val="-2"/>
          <w:lang w:val="en-US"/>
        </w:rPr>
        <w:t xml:space="preserve">concerning the note from </w:t>
      </w:r>
      <w:r w:rsidR="00E022F9" w:rsidRPr="008A1DB4">
        <w:rPr>
          <w:spacing w:val="-2"/>
          <w:lang w:val="en-US"/>
        </w:rPr>
        <w:t>the Embassy</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00FE32A6" w:rsidRPr="008A1DB4">
        <w:rPr>
          <w:i/>
          <w:spacing w:val="-2"/>
          <w:lang w:val="en-US"/>
        </w:rPr>
        <w:t xml:space="preserve">supra </w:t>
      </w:r>
      <w:r w:rsidR="00C45946" w:rsidRPr="008A1DB4">
        <w:rPr>
          <w:spacing w:val="-2"/>
          <w:lang w:val="en-US"/>
        </w:rPr>
        <w:t xml:space="preserve">para. </w:t>
      </w:r>
      <w:r w:rsidR="002A70C7" w:rsidRPr="008A1DB4">
        <w:rPr>
          <w:spacing w:val="-2"/>
          <w:lang w:val="en-US"/>
        </w:rPr>
        <w:fldChar w:fldCharType="begin"/>
      </w:r>
      <w:r w:rsidR="002A70C7" w:rsidRPr="008A1DB4">
        <w:rPr>
          <w:spacing w:val="-2"/>
          <w:lang w:val="en-US"/>
        </w:rPr>
        <w:instrText xml:space="preserve"> REF _Ref430095208 \r \h </w:instrText>
      </w:r>
      <w:r w:rsidR="00EB3BAE" w:rsidRPr="008A1DB4">
        <w:rPr>
          <w:spacing w:val="-2"/>
          <w:lang w:val="en-US"/>
        </w:rPr>
        <w:instrText xml:space="preserve"> \* MERGEFORMAT </w:instrText>
      </w:r>
      <w:r w:rsidR="002A70C7" w:rsidRPr="008A1DB4">
        <w:rPr>
          <w:spacing w:val="-2"/>
          <w:lang w:val="en-US"/>
        </w:rPr>
      </w:r>
      <w:r w:rsidR="002A70C7" w:rsidRPr="008A1DB4">
        <w:rPr>
          <w:spacing w:val="-2"/>
          <w:lang w:val="en-US"/>
        </w:rPr>
        <w:fldChar w:fldCharType="separate"/>
      </w:r>
      <w:r w:rsidR="00E961FA" w:rsidRPr="008A1DB4">
        <w:rPr>
          <w:spacing w:val="-2"/>
          <w:lang w:val="en-US"/>
        </w:rPr>
        <w:t>75</w:t>
      </w:r>
      <w:r w:rsidR="002A70C7" w:rsidRPr="008A1DB4">
        <w:rPr>
          <w:spacing w:val="-2"/>
          <w:lang w:val="en-US"/>
        </w:rPr>
        <w:fldChar w:fldCharType="end"/>
      </w:r>
      <w:r w:rsidR="00FE32A6" w:rsidRPr="008A1DB4">
        <w:rPr>
          <w:spacing w:val="-2"/>
          <w:lang w:val="en-US"/>
        </w:rPr>
        <w:t>)</w:t>
      </w:r>
      <w:r w:rsidR="00FE32A6" w:rsidRPr="008A1DB4">
        <w:rPr>
          <w:rStyle w:val="FootnoteReference"/>
          <w:spacing w:val="-2"/>
          <w:lang w:val="en-US"/>
        </w:rPr>
        <w:footnoteReference w:id="81"/>
      </w:r>
      <w:bookmarkEnd w:id="501"/>
    </w:p>
    <w:p w14:paraId="338A9700" w14:textId="77777777" w:rsidR="00FE32A6" w:rsidRPr="008A1DB4" w:rsidRDefault="00FE32A6" w:rsidP="00956E97">
      <w:pPr>
        <w:pStyle w:val="ListParagraph"/>
        <w:rPr>
          <w:spacing w:val="-2"/>
          <w:lang w:val="en-US"/>
        </w:rPr>
      </w:pPr>
    </w:p>
    <w:p w14:paraId="66CFA554" w14:textId="1EBBCCDC" w:rsidR="00FE32A6" w:rsidRPr="008A1DB4" w:rsidRDefault="00C168D8" w:rsidP="00956E97">
      <w:pPr>
        <w:pStyle w:val="PrrafodeSentencia"/>
        <w:rPr>
          <w:spacing w:val="-2"/>
          <w:lang w:val="en-US"/>
        </w:rPr>
      </w:pPr>
      <w:r w:rsidRPr="008A1DB4">
        <w:rPr>
          <w:spacing w:val="-2"/>
          <w:lang w:val="en-US"/>
        </w:rPr>
        <w:t xml:space="preserve">On </w:t>
      </w:r>
      <w:r w:rsidR="00BB336A" w:rsidRPr="008A1DB4">
        <w:rPr>
          <w:spacing w:val="-2"/>
          <w:lang w:val="en-US"/>
        </w:rPr>
        <w:t xml:space="preserve">December </w:t>
      </w:r>
      <w:r w:rsidRPr="008A1DB4">
        <w:rPr>
          <w:spacing w:val="-2"/>
          <w:lang w:val="en-US"/>
        </w:rPr>
        <w:t>2</w:t>
      </w:r>
      <w:r w:rsidR="00BB336A" w:rsidRPr="008A1DB4">
        <w:rPr>
          <w:spacing w:val="-2"/>
          <w:lang w:val="en-US"/>
        </w:rPr>
        <w:t>1,</w:t>
      </w:r>
      <w:r w:rsidR="00FE32A6" w:rsidRPr="008A1DB4">
        <w:rPr>
          <w:spacing w:val="-2"/>
          <w:lang w:val="en-US"/>
        </w:rPr>
        <w:t xml:space="preserve"> 2009</w:t>
      </w:r>
      <w:r w:rsidR="008065B7" w:rsidRPr="008A1DB4">
        <w:rPr>
          <w:spacing w:val="-2"/>
          <w:lang w:val="en-US"/>
        </w:rPr>
        <w:t xml:space="preserve">, a new passive extradition hearing was held before </w:t>
      </w:r>
      <w:r w:rsidR="002D1CFC" w:rsidRPr="008A1DB4">
        <w:rPr>
          <w:spacing w:val="-2"/>
          <w:lang w:val="en-US"/>
        </w:rPr>
        <w:t xml:space="preserve">the </w:t>
      </w:r>
      <w:r w:rsidR="00FC5891" w:rsidRPr="008A1DB4">
        <w:rPr>
          <w:spacing w:val="-2"/>
          <w:lang w:val="en-US"/>
        </w:rPr>
        <w:t>Permanent Criminal Chambe</w:t>
      </w:r>
      <w:r w:rsidR="008065B7" w:rsidRPr="008A1DB4">
        <w:rPr>
          <w:spacing w:val="-2"/>
          <w:lang w:val="en-US"/>
        </w:rPr>
        <w:t>r.</w:t>
      </w:r>
      <w:r w:rsidR="00FE32A6" w:rsidRPr="008A1DB4">
        <w:rPr>
          <w:rStyle w:val="FootnoteReference"/>
          <w:spacing w:val="-2"/>
          <w:lang w:val="en-US"/>
        </w:rPr>
        <w:footnoteReference w:id="82"/>
      </w:r>
      <w:r w:rsidR="008065B7" w:rsidRPr="008A1DB4">
        <w:rPr>
          <w:spacing w:val="-2"/>
          <w:lang w:val="en-US"/>
        </w:rPr>
        <w:t xml:space="preserve"> On that date, the Chamber ordered that the translation</w:t>
      </w:r>
      <w:r w:rsidR="00FE32A6" w:rsidRPr="008A1DB4">
        <w:rPr>
          <w:spacing w:val="-2"/>
          <w:lang w:val="en-US"/>
        </w:rPr>
        <w:t xml:space="preserve"> </w:t>
      </w:r>
      <w:r w:rsidR="0058668C" w:rsidRPr="008A1DB4">
        <w:rPr>
          <w:spacing w:val="-2"/>
          <w:lang w:val="en-US"/>
        </w:rPr>
        <w:t xml:space="preserve">of </w:t>
      </w:r>
      <w:r w:rsidR="00E022F9" w:rsidRPr="008A1DB4">
        <w:rPr>
          <w:spacing w:val="-2"/>
          <w:lang w:val="en-US"/>
        </w:rPr>
        <w:t>article 151</w:t>
      </w:r>
      <w:r w:rsidR="00FE32A6" w:rsidRPr="008A1DB4">
        <w:rPr>
          <w:spacing w:val="-2"/>
          <w:lang w:val="en-US"/>
        </w:rPr>
        <w:t xml:space="preserve"> </w:t>
      </w:r>
      <w:r w:rsidR="001E7113"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008065B7" w:rsidRPr="008A1DB4">
        <w:rPr>
          <w:spacing w:val="-2"/>
          <w:lang w:val="en-US"/>
        </w:rPr>
        <w:t xml:space="preserve"> should be requested and added to the case file</w:t>
      </w:r>
      <w:r w:rsidR="00FE32A6" w:rsidRPr="008A1DB4">
        <w:rPr>
          <w:spacing w:val="-2"/>
          <w:lang w:val="en-US"/>
        </w:rPr>
        <w:t xml:space="preserve">, </w:t>
      </w:r>
      <w:r w:rsidR="008065B7" w:rsidRPr="008A1DB4">
        <w:rPr>
          <w:spacing w:val="-2"/>
          <w:lang w:val="en-US"/>
        </w:rPr>
        <w:t xml:space="preserve">together with the undertaking </w:t>
      </w:r>
      <w:r w:rsidR="00C45946" w:rsidRPr="008A1DB4">
        <w:rPr>
          <w:spacing w:val="-2"/>
          <w:lang w:val="en-US"/>
        </w:rPr>
        <w:t xml:space="preserve">of the </w:t>
      </w:r>
      <w:r w:rsidR="008065B7" w:rsidRPr="008A1DB4">
        <w:rPr>
          <w:spacing w:val="-2"/>
          <w:lang w:val="en-US"/>
        </w:rPr>
        <w:t>People’s Supreme Court</w:t>
      </w:r>
      <w:r w:rsidR="003971D2" w:rsidRPr="008A1DB4">
        <w:rPr>
          <w:spacing w:val="-2"/>
          <w:lang w:val="en-US"/>
        </w:rPr>
        <w:t xml:space="preserve"> men</w:t>
      </w:r>
      <w:r w:rsidR="008065B7" w:rsidRPr="008A1DB4">
        <w:rPr>
          <w:spacing w:val="-2"/>
          <w:lang w:val="en-US"/>
        </w:rPr>
        <w:t xml:space="preserve">tioned in the Embassy’s note </w:t>
      </w:r>
      <w:r w:rsidRPr="008A1DB4">
        <w:rPr>
          <w:spacing w:val="-2"/>
          <w:lang w:val="en-US"/>
        </w:rPr>
        <w:t xml:space="preserve">of </w:t>
      </w:r>
      <w:r w:rsidR="00BB336A" w:rsidRPr="008A1DB4">
        <w:rPr>
          <w:spacing w:val="-2"/>
          <w:lang w:val="en-US"/>
        </w:rPr>
        <w:t xml:space="preserve">December </w:t>
      </w:r>
      <w:r w:rsidRPr="008A1DB4">
        <w:rPr>
          <w:spacing w:val="-2"/>
          <w:lang w:val="en-US"/>
        </w:rPr>
        <w:t>1</w:t>
      </w:r>
      <w:r w:rsidR="00BB336A" w:rsidRPr="008A1DB4">
        <w:rPr>
          <w:spacing w:val="-2"/>
          <w:lang w:val="en-US"/>
        </w:rPr>
        <w:t>1,</w:t>
      </w:r>
      <w:r w:rsidR="00FE32A6" w:rsidRPr="008A1DB4">
        <w:rPr>
          <w:spacing w:val="-2"/>
          <w:lang w:val="en-US"/>
        </w:rPr>
        <w:t xml:space="preserve"> 2009</w:t>
      </w:r>
      <w:r w:rsidR="00FE32A6" w:rsidRPr="008A1DB4">
        <w:rPr>
          <w:rStyle w:val="FootnoteReference"/>
          <w:spacing w:val="-2"/>
          <w:lang w:val="en-US"/>
        </w:rPr>
        <w:footnoteReference w:id="83"/>
      </w:r>
      <w:r w:rsidR="00FE32A6" w:rsidRPr="008A1DB4">
        <w:rPr>
          <w:spacing w:val="-2"/>
          <w:lang w:val="en-US"/>
        </w:rPr>
        <w:t xml:space="preserve"> (</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_Ref398212908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75</w:t>
      </w:r>
      <w:r w:rsidR="00FE32A6" w:rsidRPr="008A1DB4">
        <w:rPr>
          <w:spacing w:val="-2"/>
          <w:lang w:val="en-US"/>
        </w:rPr>
        <w:fldChar w:fldCharType="end"/>
      </w:r>
      <w:r w:rsidRPr="008A1DB4">
        <w:rPr>
          <w:spacing w:val="-2"/>
          <w:lang w:val="en-US"/>
        </w:rPr>
        <w:t>). On December 29,</w:t>
      </w:r>
      <w:r w:rsidR="00FE32A6" w:rsidRPr="008A1DB4">
        <w:rPr>
          <w:spacing w:val="-2"/>
          <w:lang w:val="en-US"/>
        </w:rPr>
        <w:t xml:space="preserve"> 2009, </w:t>
      </w:r>
      <w:r w:rsidR="00FE5E87" w:rsidRPr="008A1DB4">
        <w:rPr>
          <w:spacing w:val="-2"/>
          <w:lang w:val="en-US"/>
        </w:rPr>
        <w:t>the People’s Republic of China</w:t>
      </w:r>
      <w:r w:rsidR="00FE32A6" w:rsidRPr="008A1DB4">
        <w:rPr>
          <w:spacing w:val="-2"/>
          <w:lang w:val="en-US"/>
        </w:rPr>
        <w:t xml:space="preserve"> </w:t>
      </w:r>
      <w:r w:rsidR="008065B7" w:rsidRPr="008A1DB4">
        <w:rPr>
          <w:spacing w:val="-2"/>
          <w:lang w:val="en-US"/>
        </w:rPr>
        <w:t xml:space="preserve">again sent the translation </w:t>
      </w:r>
      <w:r w:rsidR="0058668C" w:rsidRPr="008A1DB4">
        <w:rPr>
          <w:spacing w:val="-2"/>
          <w:lang w:val="en-US"/>
        </w:rPr>
        <w:t xml:space="preserve">of </w:t>
      </w:r>
      <w:r w:rsidR="00E022F9" w:rsidRPr="008A1DB4">
        <w:rPr>
          <w:spacing w:val="-2"/>
          <w:lang w:val="en-US"/>
        </w:rPr>
        <w:t>article 151</w:t>
      </w:r>
      <w:r w:rsidR="00FE32A6" w:rsidRPr="008A1DB4">
        <w:rPr>
          <w:spacing w:val="-2"/>
          <w:lang w:val="en-US"/>
        </w:rPr>
        <w:t xml:space="preserve"> </w:t>
      </w:r>
      <w:r w:rsidR="008065B7" w:rsidRPr="008A1DB4">
        <w:rPr>
          <w:spacing w:val="-2"/>
          <w:lang w:val="en-US"/>
        </w:rPr>
        <w:t>of the</w:t>
      </w:r>
      <w:r w:rsidR="00FE32A6" w:rsidRPr="008A1DB4">
        <w:rPr>
          <w:spacing w:val="-2"/>
          <w:lang w:val="en-US"/>
        </w:rPr>
        <w:t xml:space="preserve"> </w:t>
      </w:r>
      <w:r w:rsidR="001E7113" w:rsidRPr="008A1DB4">
        <w:rPr>
          <w:spacing w:val="-2"/>
          <w:lang w:val="en-US"/>
        </w:rPr>
        <w:t>Criminal Code</w:t>
      </w:r>
      <w:r w:rsidR="00FE32A6" w:rsidRPr="008A1DB4">
        <w:rPr>
          <w:spacing w:val="-2"/>
          <w:lang w:val="en-US"/>
        </w:rPr>
        <w:t xml:space="preserve"> (</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_Ref402183188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69</w:t>
      </w:r>
      <w:r w:rsidR="00FE32A6" w:rsidRPr="008A1DB4">
        <w:rPr>
          <w:spacing w:val="-2"/>
          <w:lang w:val="en-US"/>
        </w:rPr>
        <w:fldChar w:fldCharType="end"/>
      </w:r>
      <w:r w:rsidR="00FE32A6" w:rsidRPr="008A1DB4">
        <w:rPr>
          <w:spacing w:val="-2"/>
          <w:lang w:val="en-US"/>
        </w:rPr>
        <w:t>)</w:t>
      </w:r>
      <w:r w:rsidR="008065B7" w:rsidRPr="008A1DB4">
        <w:rPr>
          <w:spacing w:val="-2"/>
          <w:lang w:val="en-US"/>
        </w:rPr>
        <w:t>.</w:t>
      </w:r>
      <w:r w:rsidR="00FE32A6" w:rsidRPr="008A1DB4">
        <w:rPr>
          <w:rStyle w:val="FootnoteReference"/>
          <w:spacing w:val="-2"/>
          <w:lang w:val="en-US"/>
        </w:rPr>
        <w:footnoteReference w:id="84"/>
      </w:r>
    </w:p>
    <w:p w14:paraId="4706688C" w14:textId="77777777" w:rsidR="00FE32A6" w:rsidRPr="008A1DB4" w:rsidRDefault="00FE32A6" w:rsidP="00956E97">
      <w:pPr>
        <w:pStyle w:val="PrrafodeSentencia"/>
        <w:numPr>
          <w:ilvl w:val="0"/>
          <w:numId w:val="0"/>
        </w:numPr>
        <w:rPr>
          <w:spacing w:val="-2"/>
          <w:lang w:val="en-US"/>
        </w:rPr>
      </w:pPr>
    </w:p>
    <w:p w14:paraId="5BE5A550" w14:textId="2B3E7989" w:rsidR="00FE32A6" w:rsidRPr="008A1DB4" w:rsidRDefault="00FE32A6" w:rsidP="00956E97">
      <w:pPr>
        <w:pStyle w:val="Heading2"/>
        <w:ind w:left="1440" w:firstLine="0"/>
        <w:rPr>
          <w:spacing w:val="-2"/>
          <w:lang w:val="en-US"/>
        </w:rPr>
      </w:pPr>
      <w:bookmarkStart w:id="502" w:name="_Toc418912608"/>
      <w:bookmarkStart w:id="503" w:name="_Toc419394392"/>
      <w:bookmarkStart w:id="504" w:name="_Toc419470158"/>
      <w:bookmarkStart w:id="505" w:name="_Toc429490258"/>
      <w:bookmarkStart w:id="506" w:name="_Toc429503770"/>
      <w:bookmarkStart w:id="507" w:name="_Toc429504276"/>
      <w:bookmarkStart w:id="508" w:name="_Toc429677989"/>
      <w:bookmarkStart w:id="509" w:name="_Toc430017152"/>
      <w:bookmarkStart w:id="510" w:name="_Toc430017381"/>
      <w:bookmarkStart w:id="511" w:name="_Toc430018663"/>
      <w:bookmarkStart w:id="512" w:name="_Toc430125261"/>
      <w:bookmarkStart w:id="513" w:name="_Toc430125369"/>
      <w:r w:rsidRPr="008A1DB4">
        <w:rPr>
          <w:spacing w:val="-2"/>
          <w:lang w:val="en-US"/>
        </w:rPr>
        <w:t xml:space="preserve">C.2) </w:t>
      </w:r>
      <w:r w:rsidR="003C49A4" w:rsidRPr="008A1DB4">
        <w:rPr>
          <w:spacing w:val="-2"/>
          <w:lang w:val="en-US"/>
        </w:rPr>
        <w:t>Second stage of the process</w:t>
      </w:r>
      <w:r w:rsidRPr="008A1DB4">
        <w:rPr>
          <w:spacing w:val="-2"/>
          <w:lang w:val="en-US"/>
        </w:rPr>
        <w:t xml:space="preserve"> (</w:t>
      </w:r>
      <w:r w:rsidR="003C49A4" w:rsidRPr="008A1DB4">
        <w:rPr>
          <w:spacing w:val="-2"/>
          <w:lang w:val="en-US"/>
        </w:rPr>
        <w:t>from the second advisory</w:t>
      </w:r>
      <w:r w:rsidR="002D1CFC" w:rsidRPr="008A1DB4">
        <w:rPr>
          <w:spacing w:val="-2"/>
          <w:lang w:val="en-US"/>
        </w:rPr>
        <w:t xml:space="preserve"> decision</w:t>
      </w:r>
      <w:r w:rsidRPr="008A1DB4">
        <w:rPr>
          <w:spacing w:val="-2"/>
          <w:lang w:val="en-US"/>
        </w:rPr>
        <w:t xml:space="preserve"> </w:t>
      </w:r>
      <w:r w:rsidR="003C49A4" w:rsidRPr="008A1DB4">
        <w:rPr>
          <w:spacing w:val="-2"/>
          <w:lang w:val="en-US"/>
        </w:rPr>
        <w:t>to date</w:t>
      </w:r>
      <w:r w:rsidRPr="008A1DB4">
        <w:rPr>
          <w:spacing w:val="-2"/>
          <w:lang w:val="en-US"/>
        </w:rPr>
        <w:t>)</w:t>
      </w:r>
      <w:bookmarkEnd w:id="502"/>
      <w:bookmarkEnd w:id="503"/>
      <w:bookmarkEnd w:id="504"/>
      <w:bookmarkEnd w:id="505"/>
      <w:bookmarkEnd w:id="506"/>
      <w:bookmarkEnd w:id="507"/>
      <w:bookmarkEnd w:id="508"/>
      <w:bookmarkEnd w:id="509"/>
      <w:bookmarkEnd w:id="510"/>
      <w:bookmarkEnd w:id="511"/>
      <w:bookmarkEnd w:id="512"/>
      <w:bookmarkEnd w:id="513"/>
    </w:p>
    <w:p w14:paraId="1403E1D4" w14:textId="77777777" w:rsidR="00FE32A6" w:rsidRPr="008A1DB4" w:rsidRDefault="00FE32A6" w:rsidP="00956E97">
      <w:pPr>
        <w:pStyle w:val="ListParagraph"/>
        <w:rPr>
          <w:spacing w:val="-2"/>
          <w:szCs w:val="20"/>
          <w:lang w:val="en-US"/>
        </w:rPr>
      </w:pPr>
    </w:p>
    <w:p w14:paraId="73FB4DD7" w14:textId="11E6608D" w:rsidR="00FE32A6" w:rsidRPr="008A1DB4" w:rsidRDefault="00FC2087" w:rsidP="00D46A18">
      <w:pPr>
        <w:pStyle w:val="PrrafodeSentencia"/>
        <w:rPr>
          <w:b/>
          <w:color w:val="00B050"/>
          <w:spacing w:val="-2"/>
          <w:lang w:val="en-US"/>
        </w:rPr>
      </w:pPr>
      <w:bookmarkStart w:id="514" w:name="_Ref402186805"/>
      <w:r w:rsidRPr="00152E77">
        <w:rPr>
          <w:spacing w:val="-2"/>
          <w:lang w:val="en-US"/>
        </w:rPr>
        <w:t>On</w:t>
      </w:r>
      <w:r w:rsidR="00FE32A6" w:rsidRPr="00152E77">
        <w:rPr>
          <w:spacing w:val="-2"/>
          <w:lang w:val="en-US"/>
        </w:rPr>
        <w:t xml:space="preserve"> </w:t>
      </w:r>
      <w:r w:rsidR="00671326" w:rsidRPr="00152E77">
        <w:rPr>
          <w:spacing w:val="-2"/>
          <w:lang w:val="en-US"/>
        </w:rPr>
        <w:t>January 27,</w:t>
      </w:r>
      <w:r w:rsidR="00FE32A6" w:rsidRPr="00152E77">
        <w:rPr>
          <w:spacing w:val="-2"/>
          <w:lang w:val="en-US"/>
        </w:rPr>
        <w:t xml:space="preserve"> 2010</w:t>
      </w:r>
      <w:r w:rsidR="003C49A4" w:rsidRPr="00152E77">
        <w:rPr>
          <w:spacing w:val="-2"/>
          <w:lang w:val="en-US"/>
        </w:rPr>
        <w:t xml:space="preserve">, </w:t>
      </w:r>
      <w:r w:rsidR="002D1CFC" w:rsidRPr="00152E77">
        <w:rPr>
          <w:spacing w:val="-2"/>
          <w:lang w:val="en-US"/>
        </w:rPr>
        <w:t xml:space="preserve">the </w:t>
      </w:r>
      <w:r w:rsidR="00FC5891" w:rsidRPr="00152E77">
        <w:rPr>
          <w:spacing w:val="-2"/>
          <w:lang w:val="en-US"/>
        </w:rPr>
        <w:t>Permanent Criminal Chamber</w:t>
      </w:r>
      <w:r w:rsidR="00FE32A6" w:rsidRPr="00152E77">
        <w:rPr>
          <w:spacing w:val="-2"/>
          <w:lang w:val="en-US"/>
        </w:rPr>
        <w:t xml:space="preserve"> </w:t>
      </w:r>
      <w:r w:rsidRPr="00152E77">
        <w:rPr>
          <w:spacing w:val="-2"/>
          <w:lang w:val="en-US"/>
        </w:rPr>
        <w:t>issued the</w:t>
      </w:r>
      <w:r w:rsidR="00FE32A6" w:rsidRPr="00152E77">
        <w:rPr>
          <w:spacing w:val="-2"/>
          <w:lang w:val="en-US"/>
        </w:rPr>
        <w:t xml:space="preserve"> </w:t>
      </w:r>
      <w:r w:rsidR="002D1CFC" w:rsidRPr="00152E77">
        <w:rPr>
          <w:spacing w:val="-2"/>
          <w:lang w:val="en-US"/>
        </w:rPr>
        <w:t>advisory decision</w:t>
      </w:r>
      <w:r w:rsidR="00FE32A6" w:rsidRPr="00152E77">
        <w:rPr>
          <w:spacing w:val="-2"/>
          <w:lang w:val="en-US"/>
        </w:rPr>
        <w:t xml:space="preserve"> </w:t>
      </w:r>
      <w:r w:rsidRPr="00152E77">
        <w:rPr>
          <w:spacing w:val="-2"/>
          <w:lang w:val="en-US"/>
        </w:rPr>
        <w:t>in which</w:t>
      </w:r>
      <w:r w:rsidRPr="008A1DB4">
        <w:rPr>
          <w:spacing w:val="-2"/>
          <w:lang w:val="en-US"/>
        </w:rPr>
        <w:t xml:space="preserve"> it decided</w:t>
      </w:r>
      <w:r w:rsidR="00152E77">
        <w:rPr>
          <w:spacing w:val="-2"/>
          <w:lang w:val="en-US"/>
        </w:rPr>
        <w:t>,</w:t>
      </w:r>
      <w:r w:rsidRPr="008A1DB4">
        <w:rPr>
          <w:spacing w:val="-2"/>
          <w:lang w:val="en-US"/>
        </w:rPr>
        <w:t xml:space="preserve"> by the legal majority</w:t>
      </w:r>
      <w:r w:rsidR="00152E77">
        <w:rPr>
          <w:spacing w:val="-2"/>
          <w:lang w:val="en-US"/>
        </w:rPr>
        <w:t>,</w:t>
      </w:r>
      <w:r w:rsidRPr="008A1DB4">
        <w:rPr>
          <w:spacing w:val="-2"/>
          <w:lang w:val="en-US"/>
        </w:rPr>
        <w:t xml:space="preserve"> </w:t>
      </w:r>
      <w:r w:rsidR="00FE32A6" w:rsidRPr="008A1DB4">
        <w:rPr>
          <w:spacing w:val="-2"/>
          <w:lang w:val="en-US"/>
        </w:rPr>
        <w:t>“</w:t>
      </w:r>
      <w:r w:rsidR="00087CF8" w:rsidRPr="008A1DB4">
        <w:rPr>
          <w:spacing w:val="-2"/>
          <w:lang w:val="en-US"/>
        </w:rPr>
        <w:t xml:space="preserve">the </w:t>
      </w:r>
      <w:r w:rsidRPr="008A1DB4">
        <w:rPr>
          <w:spacing w:val="-2"/>
          <w:lang w:val="en-US"/>
        </w:rPr>
        <w:t xml:space="preserve">passive </w:t>
      </w:r>
      <w:r w:rsidR="00087CF8" w:rsidRPr="008A1DB4">
        <w:rPr>
          <w:spacing w:val="-2"/>
          <w:lang w:val="en-US"/>
        </w:rPr>
        <w:t>extradition request</w:t>
      </w:r>
      <w:r w:rsidR="00FE32A6" w:rsidRPr="008A1DB4">
        <w:rPr>
          <w:spacing w:val="-2"/>
          <w:lang w:val="en-US"/>
        </w:rPr>
        <w:t xml:space="preserve"> […] </w:t>
      </w:r>
      <w:r w:rsidRPr="008A1DB4">
        <w:rPr>
          <w:spacing w:val="-2"/>
          <w:lang w:val="en-US"/>
        </w:rPr>
        <w:t xml:space="preserve">in relation to the offenses of evasion of customs duty </w:t>
      </w:r>
      <w:r w:rsidR="00D46A18" w:rsidRPr="008A1DB4">
        <w:rPr>
          <w:spacing w:val="-2"/>
          <w:lang w:val="en-US"/>
        </w:rPr>
        <w:t xml:space="preserve">and bribery against </w:t>
      </w:r>
      <w:r w:rsidR="002D1CFC" w:rsidRPr="008A1DB4">
        <w:rPr>
          <w:spacing w:val="-2"/>
          <w:lang w:val="en-US"/>
        </w:rPr>
        <w:t xml:space="preserve">the </w:t>
      </w:r>
      <w:r w:rsidR="00FE5E87" w:rsidRPr="008A1DB4">
        <w:rPr>
          <w:spacing w:val="-2"/>
          <w:lang w:val="en-US"/>
        </w:rPr>
        <w:t>People’s Republic of China</w:t>
      </w:r>
      <w:r w:rsidR="00D46A18" w:rsidRPr="008A1DB4">
        <w:rPr>
          <w:spacing w:val="-2"/>
          <w:lang w:val="en-US"/>
        </w:rPr>
        <w:t>,” established in a</w:t>
      </w:r>
      <w:r w:rsidR="00F36400" w:rsidRPr="008A1DB4">
        <w:rPr>
          <w:spacing w:val="-2"/>
          <w:lang w:val="en-US"/>
        </w:rPr>
        <w:t>rticle</w:t>
      </w:r>
      <w:r w:rsidR="00FE32A6" w:rsidRPr="008A1DB4">
        <w:rPr>
          <w:spacing w:val="-2"/>
          <w:lang w:val="en-US"/>
        </w:rPr>
        <w:t>s 153, 154, 389</w:t>
      </w:r>
      <w:r w:rsidR="00F36400" w:rsidRPr="008A1DB4">
        <w:rPr>
          <w:spacing w:val="-2"/>
          <w:lang w:val="en-US"/>
        </w:rPr>
        <w:t xml:space="preserve"> and </w:t>
      </w:r>
      <w:r w:rsidR="00FE32A6" w:rsidRPr="008A1DB4">
        <w:rPr>
          <w:spacing w:val="-2"/>
          <w:lang w:val="en-US"/>
        </w:rPr>
        <w:t xml:space="preserve">390 </w:t>
      </w:r>
      <w:r w:rsidR="001E7113" w:rsidRPr="008A1DB4">
        <w:rPr>
          <w:spacing w:val="-2"/>
          <w:lang w:val="en-US"/>
        </w:rPr>
        <w:t xml:space="preserve">of the </w:t>
      </w:r>
      <w:r w:rsidR="00D46A18" w:rsidRPr="008A1DB4">
        <w:rPr>
          <w:spacing w:val="-2"/>
          <w:lang w:val="en-US"/>
        </w:rPr>
        <w:t xml:space="preserve">Chinese </w:t>
      </w:r>
      <w:r w:rsidR="001E7113" w:rsidRPr="008A1DB4">
        <w:rPr>
          <w:spacing w:val="-2"/>
          <w:lang w:val="en-US"/>
        </w:rPr>
        <w:t>Criminal Code</w:t>
      </w:r>
      <w:r w:rsidR="00D46A18" w:rsidRPr="008A1DB4">
        <w:rPr>
          <w:spacing w:val="-2"/>
          <w:lang w:val="en-US"/>
        </w:rPr>
        <w:t>.</w:t>
      </w:r>
      <w:r w:rsidR="00FE32A6" w:rsidRPr="008A1DB4">
        <w:rPr>
          <w:rStyle w:val="FootnoteReference"/>
          <w:spacing w:val="-2"/>
          <w:lang w:val="en-US"/>
        </w:rPr>
        <w:footnoteReference w:id="85"/>
      </w:r>
      <w:r w:rsidR="00D46A18" w:rsidRPr="008A1DB4">
        <w:rPr>
          <w:spacing w:val="-2"/>
          <w:lang w:val="en-US"/>
        </w:rPr>
        <w:t xml:space="preserve"> Regarding the punishment for the offense of evasion, the Chamber noted the possibility that the death penalty could be applied to this offense. However, it </w:t>
      </w:r>
      <w:r w:rsidR="00947926" w:rsidRPr="008A1DB4">
        <w:rPr>
          <w:spacing w:val="-2"/>
          <w:lang w:val="en-US"/>
        </w:rPr>
        <w:t>considered</w:t>
      </w:r>
      <w:r w:rsidR="00D46A18" w:rsidRPr="008A1DB4">
        <w:rPr>
          <w:spacing w:val="-2"/>
          <w:lang w:val="en-US"/>
        </w:rPr>
        <w:t xml:space="preserve"> that the decision </w:t>
      </w:r>
      <w:r w:rsidR="00C45946" w:rsidRPr="008A1DB4">
        <w:rPr>
          <w:spacing w:val="-2"/>
          <w:lang w:val="en-US"/>
        </w:rPr>
        <w:t xml:space="preserve">of the </w:t>
      </w:r>
      <w:r w:rsidR="008065B7" w:rsidRPr="008A1DB4">
        <w:rPr>
          <w:spacing w:val="-2"/>
          <w:lang w:val="en-US"/>
        </w:rPr>
        <w:t>People’s Supreme Court</w:t>
      </w:r>
      <w:r w:rsidR="00152E77" w:rsidRPr="00152E77">
        <w:rPr>
          <w:spacing w:val="-2"/>
          <w:lang w:val="en-US"/>
        </w:rPr>
        <w:t xml:space="preserve"> </w:t>
      </w:r>
      <w:r w:rsidR="00152E77">
        <w:rPr>
          <w:spacing w:val="-2"/>
          <w:lang w:val="en-US"/>
        </w:rPr>
        <w:t>of December 8, 2009,</w:t>
      </w:r>
      <w:r w:rsidR="00FE32A6" w:rsidRPr="008A1DB4">
        <w:rPr>
          <w:spacing w:val="-2"/>
          <w:lang w:val="en-US"/>
        </w:rPr>
        <w:t xml:space="preserve"> “reve</w:t>
      </w:r>
      <w:r w:rsidR="00D46A18" w:rsidRPr="008A1DB4">
        <w:rPr>
          <w:spacing w:val="-2"/>
          <w:lang w:val="en-US"/>
        </w:rPr>
        <w:t xml:space="preserve">als an evident undertaking by the judicial authorities </w:t>
      </w:r>
      <w:r w:rsidR="002D1CFC" w:rsidRPr="008A1DB4">
        <w:rPr>
          <w:spacing w:val="-2"/>
          <w:lang w:val="en-US"/>
        </w:rPr>
        <w:t xml:space="preserve">of the </w:t>
      </w:r>
      <w:r w:rsidR="00FE5E87" w:rsidRPr="008A1DB4">
        <w:rPr>
          <w:spacing w:val="-2"/>
          <w:lang w:val="en-US"/>
        </w:rPr>
        <w:t>People’s Republic of China</w:t>
      </w:r>
      <w:r w:rsidR="00FE32A6" w:rsidRPr="008A1DB4">
        <w:rPr>
          <w:spacing w:val="-2"/>
          <w:lang w:val="en-US"/>
        </w:rPr>
        <w:t xml:space="preserve"> </w:t>
      </w:r>
      <w:r w:rsidR="00D46A18" w:rsidRPr="008A1DB4">
        <w:rPr>
          <w:spacing w:val="-2"/>
          <w:lang w:val="en-US"/>
        </w:rPr>
        <w:t xml:space="preserve">not to impose the death penalty on the individual whose extradition is requested if he is found criminally responsible. Therefore, it should be considered that there is no real risk of the application of the death </w:t>
      </w:r>
      <w:r w:rsidR="00152E77">
        <w:rPr>
          <w:spacing w:val="-2"/>
          <w:lang w:val="en-US"/>
        </w:rPr>
        <w:t>penalty or a similar sanction to</w:t>
      </w:r>
      <w:r w:rsidR="00D46A18" w:rsidRPr="008A1DB4">
        <w:rPr>
          <w:spacing w:val="-2"/>
          <w:lang w:val="en-US"/>
        </w:rPr>
        <w:t xml:space="preserve"> this individual in the requesting State.</w:t>
      </w:r>
      <w:r w:rsidR="00FE32A6" w:rsidRPr="008A1DB4">
        <w:rPr>
          <w:spacing w:val="-2"/>
          <w:lang w:val="en-US"/>
        </w:rPr>
        <w:t>”</w:t>
      </w:r>
      <w:r w:rsidR="00FE32A6" w:rsidRPr="008A1DB4">
        <w:rPr>
          <w:rStyle w:val="FootnoteReference"/>
          <w:spacing w:val="-2"/>
          <w:lang w:val="en-US"/>
        </w:rPr>
        <w:footnoteReference w:id="86"/>
      </w:r>
      <w:r w:rsidR="00D46A18" w:rsidRPr="008A1DB4">
        <w:rPr>
          <w:spacing w:val="-2"/>
          <w:lang w:val="en-US"/>
        </w:rPr>
        <w:t xml:space="preserve"> It also declared, unanimously, the inadmissibility </w:t>
      </w:r>
      <w:r w:rsidR="00671326" w:rsidRPr="008A1DB4">
        <w:rPr>
          <w:spacing w:val="-2"/>
          <w:lang w:val="en-US"/>
        </w:rPr>
        <w:t xml:space="preserve">of the </w:t>
      </w:r>
      <w:r w:rsidR="00087CF8" w:rsidRPr="008A1DB4">
        <w:rPr>
          <w:spacing w:val="-2"/>
          <w:lang w:val="en-US"/>
        </w:rPr>
        <w:t>extradition request</w:t>
      </w:r>
      <w:r w:rsidR="00FE32A6" w:rsidRPr="008A1DB4">
        <w:rPr>
          <w:spacing w:val="-2"/>
          <w:lang w:val="en-US"/>
        </w:rPr>
        <w:t xml:space="preserve"> </w:t>
      </w:r>
      <w:r w:rsidR="00D46A18" w:rsidRPr="008A1DB4">
        <w:rPr>
          <w:spacing w:val="-2"/>
          <w:lang w:val="en-US"/>
        </w:rPr>
        <w:t>in relation to money-laundering, because it ran counter to the principle of double jeopardy.</w:t>
      </w:r>
      <w:r w:rsidR="00FE32A6" w:rsidRPr="008A1DB4">
        <w:rPr>
          <w:rStyle w:val="FootnoteReference"/>
          <w:spacing w:val="-2"/>
          <w:lang w:val="en-US"/>
        </w:rPr>
        <w:footnoteReference w:id="87"/>
      </w:r>
      <w:r w:rsidR="00D46A18" w:rsidRPr="008A1DB4">
        <w:rPr>
          <w:spacing w:val="-2"/>
          <w:lang w:val="en-US"/>
        </w:rPr>
        <w:t xml:space="preserve"> The Chamber conditioned the return </w:t>
      </w:r>
      <w:r w:rsidR="00B43F84" w:rsidRPr="008A1DB4">
        <w:rPr>
          <w:spacing w:val="-2"/>
          <w:lang w:val="en-US"/>
        </w:rPr>
        <w:t>of Wong</w:t>
      </w:r>
      <w:r w:rsidR="00FE32A6" w:rsidRPr="008A1DB4">
        <w:rPr>
          <w:spacing w:val="-2"/>
          <w:lang w:val="en-US"/>
        </w:rPr>
        <w:t xml:space="preserve"> Ho Wing:</w:t>
      </w:r>
      <w:bookmarkEnd w:id="514"/>
    </w:p>
    <w:p w14:paraId="0AE62A6B" w14:textId="54700D5E" w:rsidR="00FE32A6" w:rsidRPr="008A1DB4" w:rsidRDefault="00FE32A6" w:rsidP="00956E97">
      <w:pPr>
        <w:pStyle w:val="ListParagraph"/>
        <w:tabs>
          <w:tab w:val="left" w:pos="567"/>
        </w:tabs>
        <w:ind w:left="0"/>
        <w:rPr>
          <w:spacing w:val="-2"/>
          <w:lang w:val="en-US"/>
        </w:rPr>
      </w:pPr>
    </w:p>
    <w:p w14:paraId="3AF60158" w14:textId="63E64468" w:rsidR="00FE32A6" w:rsidRPr="008A1DB4" w:rsidRDefault="00D46A18" w:rsidP="00956E97">
      <w:pPr>
        <w:pStyle w:val="ListParagraph"/>
        <w:tabs>
          <w:tab w:val="left" w:pos="567"/>
        </w:tabs>
        <w:ind w:left="567" w:right="615"/>
        <w:rPr>
          <w:spacing w:val="-2"/>
          <w:sz w:val="18"/>
          <w:szCs w:val="18"/>
          <w:lang w:val="en-US"/>
        </w:rPr>
      </w:pPr>
      <w:r w:rsidRPr="008A1DB4">
        <w:rPr>
          <w:spacing w:val="-2"/>
          <w:sz w:val="18"/>
          <w:szCs w:val="18"/>
          <w:lang w:val="en-US"/>
        </w:rPr>
        <w:t>[T</w:t>
      </w:r>
      <w:r w:rsidR="00FE32A6" w:rsidRPr="008A1DB4">
        <w:rPr>
          <w:spacing w:val="-2"/>
          <w:sz w:val="18"/>
          <w:szCs w:val="18"/>
          <w:lang w:val="en-US"/>
        </w:rPr>
        <w:t>]</w:t>
      </w:r>
      <w:r w:rsidRPr="008A1DB4">
        <w:rPr>
          <w:spacing w:val="-2"/>
          <w:sz w:val="18"/>
          <w:szCs w:val="18"/>
          <w:lang w:val="en-US"/>
        </w:rPr>
        <w:t>o the undertaking made by the competent authorities</w:t>
      </w:r>
      <w:r w:rsidR="002D1CFC" w:rsidRPr="008A1DB4">
        <w:rPr>
          <w:spacing w:val="-2"/>
          <w:sz w:val="18"/>
          <w:szCs w:val="18"/>
          <w:lang w:val="en-US"/>
        </w:rPr>
        <w:t xml:space="preserve"> of the </w:t>
      </w:r>
      <w:r w:rsidR="00FE5E87" w:rsidRPr="008A1DB4">
        <w:rPr>
          <w:spacing w:val="-2"/>
          <w:sz w:val="18"/>
          <w:szCs w:val="18"/>
          <w:lang w:val="en-US"/>
        </w:rPr>
        <w:t>People’s Republic of China</w:t>
      </w:r>
      <w:r w:rsidRPr="008A1DB4">
        <w:rPr>
          <w:spacing w:val="-2"/>
          <w:sz w:val="18"/>
          <w:szCs w:val="18"/>
          <w:lang w:val="en-US"/>
        </w:rPr>
        <w:t xml:space="preserve"> not to impose the death </w:t>
      </w:r>
      <w:r w:rsidR="00947926" w:rsidRPr="008A1DB4">
        <w:rPr>
          <w:spacing w:val="-2"/>
          <w:sz w:val="18"/>
          <w:szCs w:val="18"/>
          <w:lang w:val="en-US"/>
        </w:rPr>
        <w:t>penalty</w:t>
      </w:r>
      <w:r w:rsidRPr="008A1DB4">
        <w:rPr>
          <w:spacing w:val="-2"/>
          <w:sz w:val="18"/>
          <w:szCs w:val="18"/>
          <w:lang w:val="en-US"/>
        </w:rPr>
        <w:t>, if he should be convicted; in addition, it should advise the Peruvian State of the sentence handed down to the [individual extradited] when this is delivered.</w:t>
      </w:r>
      <w:r w:rsidR="00FE32A6" w:rsidRPr="008A1DB4">
        <w:rPr>
          <w:rStyle w:val="FootnoteReference"/>
          <w:spacing w:val="-2"/>
          <w:sz w:val="18"/>
          <w:szCs w:val="18"/>
          <w:lang w:val="en-US"/>
        </w:rPr>
        <w:footnoteReference w:id="88"/>
      </w:r>
    </w:p>
    <w:p w14:paraId="0A9E68D6" w14:textId="77777777" w:rsidR="00FE32A6" w:rsidRPr="008A1DB4" w:rsidRDefault="00FE32A6" w:rsidP="00956E97">
      <w:pPr>
        <w:pStyle w:val="PrrafodeSentencia"/>
        <w:numPr>
          <w:ilvl w:val="0"/>
          <w:numId w:val="0"/>
        </w:numPr>
        <w:rPr>
          <w:spacing w:val="-2"/>
          <w:lang w:val="en-US"/>
        </w:rPr>
      </w:pPr>
    </w:p>
    <w:p w14:paraId="7A288160" w14:textId="4C20A74D" w:rsidR="00FE32A6" w:rsidRPr="008A1DB4" w:rsidRDefault="00D46A18" w:rsidP="00956E97">
      <w:pPr>
        <w:pStyle w:val="PrrafodeSentencia"/>
        <w:rPr>
          <w:spacing w:val="-2"/>
          <w:lang w:val="en-US"/>
        </w:rPr>
      </w:pPr>
      <w:bookmarkStart w:id="515" w:name="_Ref418911268"/>
      <w:r w:rsidRPr="008A1DB4">
        <w:rPr>
          <w:spacing w:val="-2"/>
          <w:lang w:val="en-US"/>
        </w:rPr>
        <w:t xml:space="preserve">Following the second </w:t>
      </w:r>
      <w:r w:rsidR="002D1CFC" w:rsidRPr="008A1DB4">
        <w:rPr>
          <w:spacing w:val="-2"/>
          <w:lang w:val="en-US"/>
        </w:rPr>
        <w:t>advisory decision</w:t>
      </w:r>
      <w:r w:rsidR="00FE32A6" w:rsidRPr="008A1DB4">
        <w:rPr>
          <w:spacing w:val="-2"/>
          <w:lang w:val="en-US"/>
        </w:rPr>
        <w:t xml:space="preserve">, </w:t>
      </w:r>
      <w:r w:rsidRPr="008A1DB4">
        <w:rPr>
          <w:spacing w:val="-2"/>
          <w:lang w:val="en-US"/>
        </w:rPr>
        <w:t xml:space="preserve">on February 9, </w:t>
      </w:r>
      <w:r w:rsidR="00C45946" w:rsidRPr="008A1DB4">
        <w:rPr>
          <w:spacing w:val="-2"/>
          <w:lang w:val="en-US"/>
        </w:rPr>
        <w:t>the representative</w:t>
      </w:r>
      <w:r w:rsidR="00FE32A6" w:rsidRPr="008A1DB4">
        <w:rPr>
          <w:spacing w:val="-2"/>
          <w:lang w:val="en-US"/>
        </w:rPr>
        <w:t xml:space="preserve"> </w:t>
      </w:r>
      <w:r w:rsidRPr="008A1DB4">
        <w:rPr>
          <w:spacing w:val="-2"/>
          <w:lang w:val="en-US"/>
        </w:rPr>
        <w:t>filed a</w:t>
      </w:r>
      <w:r w:rsidR="00FE32A6" w:rsidRPr="008A1DB4">
        <w:rPr>
          <w:spacing w:val="-2"/>
          <w:lang w:val="en-US"/>
        </w:rPr>
        <w:t xml:space="preserve"> </w:t>
      </w:r>
      <w:r w:rsidR="00FE32A6" w:rsidRPr="008A1DB4">
        <w:rPr>
          <w:b/>
          <w:spacing w:val="-2"/>
          <w:lang w:val="en-US"/>
        </w:rPr>
        <w:t>t</w:t>
      </w:r>
      <w:r w:rsidRPr="008A1DB4">
        <w:rPr>
          <w:b/>
          <w:spacing w:val="-2"/>
          <w:lang w:val="en-US"/>
        </w:rPr>
        <w:t>hird application for</w:t>
      </w:r>
      <w:r w:rsidR="00FE32A6" w:rsidRPr="008A1DB4">
        <w:rPr>
          <w:b/>
          <w:spacing w:val="-2"/>
          <w:lang w:val="en-US"/>
        </w:rPr>
        <w:t xml:space="preserve"> </w:t>
      </w:r>
      <w:r w:rsidR="00E022F9" w:rsidRPr="008A1DB4">
        <w:rPr>
          <w:b/>
          <w:i/>
          <w:spacing w:val="-2"/>
          <w:lang w:val="en-US"/>
        </w:rPr>
        <w:t>habeas corpus</w:t>
      </w:r>
      <w:r w:rsidR="00FE32A6" w:rsidRPr="008A1DB4">
        <w:rPr>
          <w:spacing w:val="-2"/>
          <w:lang w:val="en-US"/>
        </w:rPr>
        <w:t xml:space="preserve"> “</w:t>
      </w:r>
      <w:r w:rsidRPr="008A1DB4">
        <w:rPr>
          <w:spacing w:val="-2"/>
          <w:lang w:val="en-US"/>
        </w:rPr>
        <w:t>against the certain and imminent threat of violation of the right</w:t>
      </w:r>
      <w:r w:rsidR="00152E77">
        <w:rPr>
          <w:spacing w:val="-2"/>
          <w:lang w:val="en-US"/>
        </w:rPr>
        <w:t>s</w:t>
      </w:r>
      <w:r w:rsidRPr="008A1DB4">
        <w:rPr>
          <w:spacing w:val="-2"/>
          <w:lang w:val="en-US"/>
        </w:rPr>
        <w:t xml:space="preserve"> to life and </w:t>
      </w:r>
      <w:r w:rsidR="00776D24" w:rsidRPr="008A1DB4">
        <w:rPr>
          <w:spacing w:val="-2"/>
          <w:lang w:val="en-US"/>
        </w:rPr>
        <w:t>personal integrity</w:t>
      </w:r>
      <w:r w:rsidR="00FE32A6" w:rsidRPr="008A1DB4">
        <w:rPr>
          <w:spacing w:val="-2"/>
          <w:lang w:val="en-US"/>
        </w:rPr>
        <w:t xml:space="preserve"> [</w:t>
      </w:r>
      <w:r w:rsidR="00B43F84" w:rsidRPr="008A1DB4">
        <w:rPr>
          <w:spacing w:val="-2"/>
          <w:lang w:val="en-US"/>
        </w:rPr>
        <w:t>of Wong</w:t>
      </w:r>
      <w:r w:rsidR="00FE32A6" w:rsidRPr="008A1DB4">
        <w:rPr>
          <w:spacing w:val="-2"/>
          <w:lang w:val="en-US"/>
        </w:rPr>
        <w:t xml:space="preserve"> Ho Wing], </w:t>
      </w:r>
      <w:r w:rsidRPr="008A1DB4">
        <w:rPr>
          <w:spacing w:val="-2"/>
          <w:lang w:val="en-US"/>
        </w:rPr>
        <w:t xml:space="preserve">against </w:t>
      </w:r>
      <w:r w:rsidR="00776D24" w:rsidRPr="008A1DB4">
        <w:rPr>
          <w:spacing w:val="-2"/>
          <w:lang w:val="en-US"/>
        </w:rPr>
        <w:t xml:space="preserve">the </w:t>
      </w:r>
      <w:r w:rsidR="008C4EFC" w:rsidRPr="008A1DB4">
        <w:rPr>
          <w:spacing w:val="-2"/>
          <w:lang w:val="en-US"/>
        </w:rPr>
        <w:t>President</w:t>
      </w:r>
      <w:r w:rsidR="00FE32A6" w:rsidRPr="008A1DB4">
        <w:rPr>
          <w:spacing w:val="-2"/>
          <w:lang w:val="en-US"/>
        </w:rPr>
        <w:t xml:space="preserve"> </w:t>
      </w:r>
      <w:r w:rsidR="00671326" w:rsidRPr="008A1DB4">
        <w:rPr>
          <w:spacing w:val="-2"/>
          <w:lang w:val="en-US"/>
        </w:rPr>
        <w:t xml:space="preserve">of the </w:t>
      </w:r>
      <w:r w:rsidR="00FC5891" w:rsidRPr="008A1DB4">
        <w:rPr>
          <w:spacing w:val="-2"/>
          <w:lang w:val="en-US"/>
        </w:rPr>
        <w:t>Republic of Peru</w:t>
      </w:r>
      <w:r w:rsidR="00FE32A6" w:rsidRPr="008A1DB4">
        <w:rPr>
          <w:spacing w:val="-2"/>
          <w:lang w:val="en-US"/>
        </w:rPr>
        <w:t xml:space="preserve">, </w:t>
      </w:r>
      <w:r w:rsidRPr="008A1DB4">
        <w:rPr>
          <w:spacing w:val="-2"/>
          <w:lang w:val="en-US"/>
        </w:rPr>
        <w:t>the Ministry of Justice, and the Ministry of Foreign Affairs.</w:t>
      </w:r>
      <w:r w:rsidR="00FE32A6" w:rsidRPr="008A1DB4">
        <w:rPr>
          <w:spacing w:val="-2"/>
          <w:lang w:val="en-US"/>
        </w:rPr>
        <w:t>”</w:t>
      </w:r>
      <w:r w:rsidR="00FE32A6" w:rsidRPr="008A1DB4">
        <w:rPr>
          <w:rStyle w:val="FootnoteReference"/>
          <w:spacing w:val="-2"/>
          <w:lang w:val="en-US"/>
        </w:rPr>
        <w:footnoteReference w:id="89"/>
      </w:r>
      <w:r w:rsidR="00FE32A6" w:rsidRPr="008A1DB4">
        <w:rPr>
          <w:spacing w:val="-2"/>
          <w:lang w:val="en-US"/>
        </w:rPr>
        <w:t xml:space="preserve"> </w:t>
      </w:r>
      <w:bookmarkStart w:id="516" w:name="_Ref398303974"/>
      <w:r w:rsidRPr="008A1DB4">
        <w:rPr>
          <w:spacing w:val="-2"/>
          <w:lang w:val="en-US"/>
        </w:rPr>
        <w:t xml:space="preserve">On </w:t>
      </w:r>
      <w:r w:rsidR="00BB336A" w:rsidRPr="008A1DB4">
        <w:rPr>
          <w:spacing w:val="-2"/>
          <w:lang w:val="en-US"/>
        </w:rPr>
        <w:t xml:space="preserve">February </w:t>
      </w:r>
      <w:r w:rsidRPr="008A1DB4">
        <w:rPr>
          <w:spacing w:val="-2"/>
          <w:lang w:val="en-US"/>
        </w:rPr>
        <w:t>2</w:t>
      </w:r>
      <w:r w:rsidR="00BB336A" w:rsidRPr="008A1DB4">
        <w:rPr>
          <w:spacing w:val="-2"/>
          <w:lang w:val="en-US"/>
        </w:rPr>
        <w:t>5,</w:t>
      </w:r>
      <w:r w:rsidR="00FE32A6" w:rsidRPr="008A1DB4">
        <w:rPr>
          <w:spacing w:val="-2"/>
          <w:lang w:val="en-US"/>
        </w:rPr>
        <w:t xml:space="preserve"> 2010</w:t>
      </w:r>
      <w:r w:rsidRPr="008A1DB4">
        <w:rPr>
          <w:spacing w:val="-2"/>
          <w:lang w:val="en-US"/>
        </w:rPr>
        <w:t xml:space="preserve">, the 42nd Special </w:t>
      </w:r>
      <w:r w:rsidRPr="008A1DB4">
        <w:rPr>
          <w:spacing w:val="-2"/>
          <w:lang w:val="en-US"/>
        </w:rPr>
        <w:lastRenderedPageBreak/>
        <w:t xml:space="preserve">Criminal Court of Lima declared the application for </w:t>
      </w:r>
      <w:r w:rsidR="00E022F9" w:rsidRPr="008A1DB4">
        <w:rPr>
          <w:i/>
          <w:spacing w:val="-2"/>
          <w:lang w:val="en-US"/>
        </w:rPr>
        <w:t>habeas corpus</w:t>
      </w:r>
      <w:r w:rsidRPr="008A1DB4">
        <w:rPr>
          <w:i/>
          <w:spacing w:val="-2"/>
          <w:lang w:val="en-US"/>
        </w:rPr>
        <w:t xml:space="preserve"> </w:t>
      </w:r>
      <w:r w:rsidRPr="008A1DB4">
        <w:rPr>
          <w:spacing w:val="-2"/>
          <w:lang w:val="en-US"/>
        </w:rPr>
        <w:t>inadmissible.</w:t>
      </w:r>
      <w:r w:rsidR="00FE32A6" w:rsidRPr="008A1DB4">
        <w:rPr>
          <w:rStyle w:val="FootnoteReference"/>
          <w:spacing w:val="-2"/>
          <w:lang w:val="en-US"/>
        </w:rPr>
        <w:footnoteReference w:id="90"/>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a</w:t>
      </w:r>
      <w:r w:rsidRPr="008A1DB4">
        <w:rPr>
          <w:spacing w:val="-2"/>
          <w:lang w:val="en-US"/>
        </w:rPr>
        <w:t xml:space="preserve">ppealed this decision and, on April 14, </w:t>
      </w:r>
      <w:r w:rsidR="00FE32A6" w:rsidRPr="008A1DB4">
        <w:rPr>
          <w:spacing w:val="-2"/>
          <w:lang w:val="en-US"/>
        </w:rPr>
        <w:t>2010</w:t>
      </w:r>
      <w:r w:rsidRPr="008A1DB4">
        <w:rPr>
          <w:spacing w:val="-2"/>
          <w:lang w:val="en-US"/>
        </w:rPr>
        <w:t xml:space="preserve">, the declaration of inadmissibility was confirmed, because there </w:t>
      </w:r>
      <w:r w:rsidR="00152E77">
        <w:rPr>
          <w:spacing w:val="-2"/>
          <w:lang w:val="en-US"/>
        </w:rPr>
        <w:t>had been</w:t>
      </w:r>
      <w:r w:rsidRPr="008A1DB4">
        <w:rPr>
          <w:spacing w:val="-2"/>
          <w:lang w:val="en-US"/>
        </w:rPr>
        <w:t xml:space="preserve"> no “violation or threat by [the President, Minister of Justice and </w:t>
      </w:r>
      <w:r w:rsidR="00152E77">
        <w:rPr>
          <w:spacing w:val="-2"/>
          <w:lang w:val="en-US"/>
        </w:rPr>
        <w:t>Minister for Foreign Affairs] during</w:t>
      </w:r>
      <w:r w:rsidRPr="008A1DB4">
        <w:rPr>
          <w:spacing w:val="-2"/>
          <w:lang w:val="en-US"/>
        </w:rPr>
        <w:t xml:space="preserve"> </w:t>
      </w:r>
      <w:r w:rsidR="00152E77">
        <w:rPr>
          <w:spacing w:val="-2"/>
          <w:lang w:val="en-US"/>
        </w:rPr>
        <w:t xml:space="preserve">the </w:t>
      </w:r>
      <w:r w:rsidRPr="008A1DB4">
        <w:rPr>
          <w:spacing w:val="-2"/>
          <w:lang w:val="en-US"/>
        </w:rPr>
        <w:t>passive extradition,” or any “objective and specific harm to</w:t>
      </w:r>
      <w:r w:rsidR="00152E77">
        <w:rPr>
          <w:spacing w:val="-2"/>
          <w:lang w:val="en-US"/>
        </w:rPr>
        <w:t xml:space="preserve"> the rights cited,” because these persons</w:t>
      </w:r>
      <w:r w:rsidRPr="008A1DB4">
        <w:rPr>
          <w:spacing w:val="-2"/>
          <w:lang w:val="en-US"/>
        </w:rPr>
        <w:t xml:space="preserve"> had not issued the contested decision.</w:t>
      </w:r>
      <w:r w:rsidR="00FE32A6" w:rsidRPr="008A1DB4">
        <w:rPr>
          <w:rStyle w:val="FootnoteReference"/>
          <w:spacing w:val="-2"/>
          <w:lang w:val="en-US"/>
        </w:rPr>
        <w:footnoteReference w:id="91"/>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152E77">
        <w:rPr>
          <w:spacing w:val="-2"/>
          <w:lang w:val="en-US"/>
        </w:rPr>
        <w:t xml:space="preserve">filed an appeal based on </w:t>
      </w:r>
      <w:r w:rsidRPr="008A1DB4">
        <w:rPr>
          <w:spacing w:val="-2"/>
          <w:lang w:val="en-US"/>
        </w:rPr>
        <w:t xml:space="preserve">constitutional </w:t>
      </w:r>
      <w:r w:rsidR="00152E77">
        <w:rPr>
          <w:spacing w:val="-2"/>
          <w:lang w:val="en-US"/>
        </w:rPr>
        <w:t>injury</w:t>
      </w:r>
      <w:r w:rsidRPr="008A1DB4">
        <w:rPr>
          <w:spacing w:val="-2"/>
          <w:lang w:val="en-US"/>
        </w:rPr>
        <w:t xml:space="preserve">, which was considered </w:t>
      </w:r>
      <w:r w:rsidR="00947926" w:rsidRPr="008A1DB4">
        <w:rPr>
          <w:spacing w:val="-2"/>
          <w:lang w:val="en-US"/>
        </w:rPr>
        <w:t>admissible</w:t>
      </w:r>
      <w:r w:rsidRPr="008A1DB4">
        <w:rPr>
          <w:spacing w:val="-2"/>
          <w:lang w:val="en-US"/>
        </w:rPr>
        <w:t xml:space="preserve"> on </w:t>
      </w:r>
      <w:r w:rsidR="00B43F84" w:rsidRPr="008A1DB4">
        <w:rPr>
          <w:spacing w:val="-2"/>
          <w:lang w:val="en-US"/>
        </w:rPr>
        <w:t>May 24,</w:t>
      </w:r>
      <w:r w:rsidR="00FE32A6" w:rsidRPr="008A1DB4">
        <w:rPr>
          <w:spacing w:val="-2"/>
          <w:lang w:val="en-US"/>
        </w:rPr>
        <w:t xml:space="preserve"> 2011 (</w:t>
      </w:r>
      <w:r w:rsidR="00FE32A6" w:rsidRPr="008A1DB4">
        <w:rPr>
          <w:i/>
          <w:spacing w:val="-2"/>
          <w:lang w:val="en-US"/>
        </w:rPr>
        <w:t xml:space="preserve">infra </w:t>
      </w:r>
      <w:r w:rsidR="00631F9C" w:rsidRPr="008A1DB4">
        <w:rPr>
          <w:spacing w:val="-2"/>
          <w:lang w:val="en-US"/>
        </w:rPr>
        <w:t>paras.</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_Ref402187094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81</w:t>
      </w:r>
      <w:r w:rsidR="00FE32A6" w:rsidRPr="008A1DB4">
        <w:rPr>
          <w:spacing w:val="-2"/>
          <w:lang w:val="en-US"/>
        </w:rPr>
        <w:fldChar w:fldCharType="end"/>
      </w:r>
      <w:r w:rsidRPr="008A1DB4">
        <w:rPr>
          <w:spacing w:val="-2"/>
          <w:lang w:val="en-US"/>
        </w:rPr>
        <w:t xml:space="preserve"> to</w:t>
      </w:r>
      <w:r w:rsidR="00FE32A6" w:rsidRPr="008A1DB4">
        <w:rPr>
          <w:spacing w:val="-2"/>
          <w:lang w:val="en-US"/>
        </w:rPr>
        <w:t xml:space="preserve"> </w:t>
      </w:r>
      <w:r w:rsidR="00FE32A6" w:rsidRPr="008A1DB4">
        <w:rPr>
          <w:spacing w:val="-2"/>
          <w:lang w:val="en-US"/>
        </w:rPr>
        <w:fldChar w:fldCharType="begin"/>
      </w:r>
      <w:r w:rsidR="00FE32A6" w:rsidRPr="008A1DB4">
        <w:rPr>
          <w:spacing w:val="-2"/>
          <w:lang w:val="en-US"/>
        </w:rPr>
        <w:instrText xml:space="preserve"> REF _Ref402186809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83</w:t>
      </w:r>
      <w:r w:rsidR="00FE32A6" w:rsidRPr="008A1DB4">
        <w:rPr>
          <w:spacing w:val="-2"/>
          <w:lang w:val="en-US"/>
        </w:rPr>
        <w:fldChar w:fldCharType="end"/>
      </w:r>
      <w:r w:rsidR="00FE32A6" w:rsidRPr="008A1DB4">
        <w:rPr>
          <w:spacing w:val="-2"/>
          <w:lang w:val="en-US"/>
        </w:rPr>
        <w:t>)</w:t>
      </w:r>
      <w:bookmarkEnd w:id="516"/>
      <w:r w:rsidRPr="008A1DB4">
        <w:rPr>
          <w:spacing w:val="-2"/>
          <w:lang w:val="en-US"/>
        </w:rPr>
        <w:t>.</w:t>
      </w:r>
      <w:r w:rsidR="00FE32A6" w:rsidRPr="008A1DB4">
        <w:rPr>
          <w:rStyle w:val="FootnoteReference"/>
          <w:spacing w:val="-2"/>
          <w:lang w:val="en-US"/>
        </w:rPr>
        <w:footnoteReference w:id="92"/>
      </w:r>
      <w:bookmarkEnd w:id="515"/>
    </w:p>
    <w:p w14:paraId="7EF84372" w14:textId="77777777" w:rsidR="00FE32A6" w:rsidRPr="008A1DB4" w:rsidRDefault="00FE32A6" w:rsidP="00956E97">
      <w:pPr>
        <w:pStyle w:val="ListParagraph"/>
        <w:tabs>
          <w:tab w:val="left" w:pos="567"/>
        </w:tabs>
        <w:ind w:left="0"/>
        <w:rPr>
          <w:spacing w:val="-2"/>
          <w:lang w:val="en-US"/>
        </w:rPr>
      </w:pPr>
    </w:p>
    <w:p w14:paraId="15406B1F" w14:textId="00A9F58D" w:rsidR="00FE32A6" w:rsidRPr="008A1DB4" w:rsidRDefault="00D46A18" w:rsidP="00D46A18">
      <w:pPr>
        <w:pStyle w:val="PrrafodeSentencia"/>
        <w:rPr>
          <w:spacing w:val="-2"/>
          <w:lang w:val="en-US"/>
        </w:rPr>
      </w:pPr>
      <w:bookmarkStart w:id="517" w:name="_Ref401825110"/>
      <w:bookmarkStart w:id="518" w:name="_Ref398303980"/>
      <w:r w:rsidRPr="008A1DB4">
        <w:rPr>
          <w:spacing w:val="-2"/>
          <w:lang w:val="en-US"/>
        </w:rPr>
        <w:t>On May 1,</w:t>
      </w:r>
      <w:r w:rsidR="00FE32A6" w:rsidRPr="008A1DB4">
        <w:rPr>
          <w:spacing w:val="-2"/>
          <w:lang w:val="en-US"/>
        </w:rPr>
        <w:t xml:space="preserve"> 2011</w:t>
      </w:r>
      <w:r w:rsidRPr="008A1DB4">
        <w:rPr>
          <w:spacing w:val="-2"/>
          <w:lang w:val="en-US"/>
        </w:rPr>
        <w:t xml:space="preserve">, the eighth amendment to </w:t>
      </w:r>
      <w:r w:rsidR="001E7113" w:rsidRPr="008A1DB4">
        <w:rPr>
          <w:spacing w:val="-2"/>
          <w:lang w:val="en-US"/>
        </w:rPr>
        <w:t xml:space="preserve">the </w:t>
      </w:r>
      <w:r w:rsidR="00087CF8" w:rsidRPr="008A1DB4">
        <w:rPr>
          <w:spacing w:val="-2"/>
          <w:lang w:val="en-US"/>
        </w:rPr>
        <w:t>Chinese Criminal Code</w:t>
      </w:r>
      <w:r w:rsidR="00FE32A6" w:rsidRPr="008A1DB4">
        <w:rPr>
          <w:spacing w:val="-2"/>
          <w:lang w:val="en-US"/>
        </w:rPr>
        <w:t xml:space="preserve"> </w:t>
      </w:r>
      <w:r w:rsidRPr="008A1DB4">
        <w:rPr>
          <w:spacing w:val="-2"/>
          <w:lang w:val="en-US"/>
        </w:rPr>
        <w:t xml:space="preserve">entered into force annulling the death penalty for the offense of smuggling for which the </w:t>
      </w:r>
      <w:r w:rsidR="002D1CFC" w:rsidRPr="008A1DB4">
        <w:rPr>
          <w:spacing w:val="-2"/>
          <w:lang w:val="en-US"/>
        </w:rPr>
        <w:t>extradition</w:t>
      </w:r>
      <w:r w:rsidR="00FE32A6" w:rsidRPr="008A1DB4">
        <w:rPr>
          <w:spacing w:val="-2"/>
          <w:lang w:val="en-US"/>
        </w:rPr>
        <w:t xml:space="preserve"> </w:t>
      </w:r>
      <w:r w:rsidR="00B43F84" w:rsidRPr="008A1DB4">
        <w:rPr>
          <w:spacing w:val="-2"/>
          <w:lang w:val="en-US"/>
        </w:rPr>
        <w:t>of Wong</w:t>
      </w:r>
      <w:r w:rsidR="00FE32A6" w:rsidRPr="008A1DB4">
        <w:rPr>
          <w:spacing w:val="-2"/>
          <w:lang w:val="en-US"/>
        </w:rPr>
        <w:t xml:space="preserve"> Ho Wing</w:t>
      </w:r>
      <w:r w:rsidRPr="008A1DB4">
        <w:rPr>
          <w:spacing w:val="-2"/>
          <w:lang w:val="en-US"/>
        </w:rPr>
        <w:t xml:space="preserve"> was being requested.</w:t>
      </w:r>
      <w:r w:rsidR="00FE32A6" w:rsidRPr="008A1DB4">
        <w:rPr>
          <w:rStyle w:val="FootnoteReference"/>
          <w:spacing w:val="-2"/>
          <w:lang w:val="en-US"/>
        </w:rPr>
        <w:footnoteReference w:id="93"/>
      </w:r>
      <w:r w:rsidRPr="008A1DB4">
        <w:rPr>
          <w:spacing w:val="-2"/>
          <w:lang w:val="en-US"/>
        </w:rPr>
        <w:t xml:space="preserve"> The Chargé </w:t>
      </w:r>
      <w:proofErr w:type="spellStart"/>
      <w:r w:rsidRPr="008A1DB4">
        <w:rPr>
          <w:spacing w:val="-2"/>
          <w:lang w:val="en-US"/>
        </w:rPr>
        <w:t>d’Affaires</w:t>
      </w:r>
      <w:proofErr w:type="spellEnd"/>
      <w:r w:rsidRPr="008A1DB4">
        <w:rPr>
          <w:spacing w:val="-2"/>
          <w:lang w:val="en-US"/>
        </w:rPr>
        <w:t xml:space="preserve"> of the People’s Republic of China advised the Constitutional Court of the adoption of this amendment on April 6,</w:t>
      </w:r>
      <w:r w:rsidR="00FE32A6" w:rsidRPr="008A1DB4">
        <w:rPr>
          <w:spacing w:val="-2"/>
          <w:lang w:val="en-US"/>
        </w:rPr>
        <w:t xml:space="preserve"> 2011</w:t>
      </w:r>
      <w:r w:rsidRPr="008A1DB4">
        <w:rPr>
          <w:spacing w:val="-2"/>
          <w:lang w:val="en-US"/>
        </w:rPr>
        <w:t>.</w:t>
      </w:r>
      <w:r w:rsidR="00FE32A6" w:rsidRPr="008A1DB4">
        <w:rPr>
          <w:rStyle w:val="FootnoteReference"/>
          <w:spacing w:val="-2"/>
          <w:lang w:val="en-US"/>
        </w:rPr>
        <w:footnoteReference w:id="94"/>
      </w:r>
      <w:bookmarkEnd w:id="517"/>
    </w:p>
    <w:p w14:paraId="635A3DBB" w14:textId="77777777" w:rsidR="00FE32A6" w:rsidRPr="008A1DB4" w:rsidRDefault="00FE32A6" w:rsidP="00956E97">
      <w:pPr>
        <w:pStyle w:val="ListParagraph"/>
        <w:rPr>
          <w:spacing w:val="-2"/>
          <w:lang w:val="en-US"/>
        </w:rPr>
      </w:pPr>
    </w:p>
    <w:p w14:paraId="17FF14FD" w14:textId="5296E239" w:rsidR="00FE32A6" w:rsidRPr="008A1DB4" w:rsidRDefault="00D46A18" w:rsidP="00956E97">
      <w:pPr>
        <w:pStyle w:val="PrrafodeSentencia"/>
        <w:rPr>
          <w:spacing w:val="-2"/>
          <w:lang w:val="en-US"/>
        </w:rPr>
      </w:pPr>
      <w:bookmarkStart w:id="519" w:name="_Ref402187094"/>
      <w:r w:rsidRPr="008A1DB4">
        <w:rPr>
          <w:spacing w:val="-2"/>
          <w:lang w:val="en-US"/>
        </w:rPr>
        <w:t>On</w:t>
      </w:r>
      <w:r w:rsidR="00FE32A6" w:rsidRPr="008A1DB4">
        <w:rPr>
          <w:spacing w:val="-2"/>
          <w:lang w:val="en-US"/>
        </w:rPr>
        <w:t xml:space="preserve"> </w:t>
      </w:r>
      <w:r w:rsidR="00B43F84" w:rsidRPr="008A1DB4">
        <w:rPr>
          <w:spacing w:val="-2"/>
          <w:lang w:val="en-US"/>
        </w:rPr>
        <w:t>May 24,</w:t>
      </w:r>
      <w:r w:rsidR="00FE32A6" w:rsidRPr="008A1DB4">
        <w:rPr>
          <w:spacing w:val="-2"/>
          <w:lang w:val="en-US"/>
        </w:rPr>
        <w:t xml:space="preserve"> 2011</w:t>
      </w:r>
      <w:bookmarkEnd w:id="518"/>
      <w:r w:rsidRPr="008A1DB4">
        <w:rPr>
          <w:spacing w:val="-2"/>
          <w:lang w:val="en-US"/>
        </w:rPr>
        <w:t>,</w:t>
      </w:r>
      <w:r w:rsidR="00FE32A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Pr="008A1DB4">
        <w:rPr>
          <w:spacing w:val="-2"/>
          <w:lang w:val="en-US"/>
        </w:rPr>
        <w:t xml:space="preserve">decided the </w:t>
      </w:r>
      <w:r w:rsidR="00152E77">
        <w:rPr>
          <w:spacing w:val="-2"/>
          <w:lang w:val="en-US"/>
        </w:rPr>
        <w:t xml:space="preserve">appeal </w:t>
      </w:r>
      <w:r w:rsidR="00883217">
        <w:rPr>
          <w:spacing w:val="-2"/>
          <w:lang w:val="en-US"/>
        </w:rPr>
        <w:t xml:space="preserve">filed </w:t>
      </w:r>
      <w:r w:rsidR="00152E77">
        <w:rPr>
          <w:spacing w:val="-2"/>
          <w:lang w:val="en-US"/>
        </w:rPr>
        <w:t xml:space="preserve">based on </w:t>
      </w:r>
      <w:r w:rsidRPr="008A1DB4">
        <w:rPr>
          <w:spacing w:val="-2"/>
          <w:lang w:val="en-US"/>
        </w:rPr>
        <w:t xml:space="preserve">constitutional </w:t>
      </w:r>
      <w:r w:rsidR="00152E77">
        <w:rPr>
          <w:spacing w:val="-2"/>
          <w:lang w:val="en-US"/>
        </w:rPr>
        <w:t>injury</w:t>
      </w:r>
      <w:r w:rsidRPr="008A1DB4">
        <w:rPr>
          <w:spacing w:val="-2"/>
          <w:lang w:val="en-US"/>
        </w:rPr>
        <w:t xml:space="preserve"> </w:t>
      </w:r>
      <w:r w:rsidR="00FE32A6" w:rsidRPr="008A1DB4">
        <w:rPr>
          <w:spacing w:val="-2"/>
          <w:lang w:val="en-US"/>
        </w:rPr>
        <w:t>(</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_Ref398303974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79</w:t>
      </w:r>
      <w:r w:rsidR="00FE32A6" w:rsidRPr="008A1DB4">
        <w:rPr>
          <w:spacing w:val="-2"/>
          <w:lang w:val="en-US"/>
        </w:rPr>
        <w:fldChar w:fldCharType="end"/>
      </w:r>
      <w:r w:rsidR="00FE32A6" w:rsidRPr="008A1DB4">
        <w:rPr>
          <w:spacing w:val="-2"/>
          <w:lang w:val="en-US"/>
        </w:rPr>
        <w:t xml:space="preserve">) </w:t>
      </w:r>
      <w:r w:rsidRPr="008A1DB4">
        <w:rPr>
          <w:spacing w:val="-2"/>
          <w:lang w:val="en-US"/>
        </w:rPr>
        <w:t>indicating that</w:t>
      </w:r>
      <w:r w:rsidR="00FE32A6" w:rsidRPr="008A1DB4">
        <w:rPr>
          <w:spacing w:val="-2"/>
          <w:lang w:val="en-US"/>
        </w:rPr>
        <w:t>:</w:t>
      </w:r>
      <w:bookmarkEnd w:id="519"/>
    </w:p>
    <w:p w14:paraId="2FD4F086" w14:textId="77777777" w:rsidR="00FE32A6" w:rsidRPr="008A1DB4" w:rsidRDefault="00FE32A6" w:rsidP="00956E97">
      <w:pPr>
        <w:pStyle w:val="ListParagraph"/>
        <w:rPr>
          <w:spacing w:val="-2"/>
          <w:lang w:val="en-US"/>
        </w:rPr>
      </w:pPr>
    </w:p>
    <w:p w14:paraId="171C0A84" w14:textId="0D2FD9AC" w:rsidR="00FE32A6" w:rsidRPr="008A1DB4" w:rsidRDefault="00D46A18" w:rsidP="00956E97">
      <w:pPr>
        <w:pStyle w:val="ListParagraph"/>
        <w:tabs>
          <w:tab w:val="left" w:pos="567"/>
        </w:tabs>
        <w:ind w:left="567" w:right="615"/>
        <w:rPr>
          <w:spacing w:val="-2"/>
          <w:sz w:val="18"/>
          <w:szCs w:val="18"/>
          <w:lang w:val="en-US"/>
        </w:rPr>
      </w:pPr>
      <w:r w:rsidRPr="008A1DB4">
        <w:rPr>
          <w:spacing w:val="-2"/>
          <w:sz w:val="18"/>
          <w:szCs w:val="18"/>
          <w:lang w:val="en-US"/>
        </w:rPr>
        <w:t>[T</w:t>
      </w:r>
      <w:r w:rsidR="00FE32A6" w:rsidRPr="008A1DB4">
        <w:rPr>
          <w:spacing w:val="-2"/>
          <w:sz w:val="18"/>
          <w:szCs w:val="18"/>
          <w:lang w:val="en-US"/>
        </w:rPr>
        <w:t>]</w:t>
      </w:r>
      <w:r w:rsidRPr="008A1DB4">
        <w:rPr>
          <w:spacing w:val="-2"/>
          <w:sz w:val="18"/>
          <w:szCs w:val="18"/>
          <w:lang w:val="en-US"/>
        </w:rPr>
        <w:t xml:space="preserve">he </w:t>
      </w:r>
      <w:r w:rsidR="00945E57" w:rsidRPr="008A1DB4">
        <w:rPr>
          <w:spacing w:val="-2"/>
          <w:sz w:val="18"/>
          <w:szCs w:val="18"/>
          <w:lang w:val="en-US"/>
        </w:rPr>
        <w:t>diplomatic assurances</w:t>
      </w:r>
      <w:r w:rsidRPr="008A1DB4">
        <w:rPr>
          <w:spacing w:val="-2"/>
          <w:sz w:val="18"/>
          <w:szCs w:val="18"/>
          <w:lang w:val="en-US"/>
        </w:rPr>
        <w:t xml:space="preserve"> offered by </w:t>
      </w:r>
      <w:r w:rsidR="00FE5E87" w:rsidRPr="008A1DB4">
        <w:rPr>
          <w:spacing w:val="-2"/>
          <w:sz w:val="18"/>
          <w:szCs w:val="18"/>
          <w:lang w:val="en-US"/>
        </w:rPr>
        <w:t>the People’s Republic of China</w:t>
      </w:r>
      <w:r w:rsidR="00FE32A6" w:rsidRPr="008A1DB4">
        <w:rPr>
          <w:spacing w:val="-2"/>
          <w:sz w:val="18"/>
          <w:szCs w:val="18"/>
          <w:lang w:val="en-US"/>
        </w:rPr>
        <w:t xml:space="preserve"> </w:t>
      </w:r>
      <w:r w:rsidRPr="008A1DB4">
        <w:rPr>
          <w:spacing w:val="-2"/>
          <w:sz w:val="18"/>
          <w:szCs w:val="18"/>
          <w:lang w:val="en-US"/>
        </w:rPr>
        <w:t xml:space="preserve">are insufficient to ensure that the death penalty will not be imposed on </w:t>
      </w:r>
      <w:r w:rsidR="00B43F84" w:rsidRPr="008A1DB4">
        <w:rPr>
          <w:spacing w:val="-2"/>
          <w:sz w:val="18"/>
          <w:szCs w:val="18"/>
          <w:lang w:val="en-US"/>
        </w:rPr>
        <w:t>Wong</w:t>
      </w:r>
      <w:r w:rsidRPr="008A1DB4">
        <w:rPr>
          <w:spacing w:val="-2"/>
          <w:sz w:val="18"/>
          <w:szCs w:val="18"/>
          <w:lang w:val="en-US"/>
        </w:rPr>
        <w:t xml:space="preserve"> Ho Wing</w:t>
      </w:r>
      <w:r w:rsidR="00FE32A6" w:rsidRPr="008A1DB4">
        <w:rPr>
          <w:spacing w:val="-2"/>
          <w:sz w:val="18"/>
          <w:szCs w:val="18"/>
          <w:lang w:val="en-US"/>
        </w:rPr>
        <w:t xml:space="preserve">. </w:t>
      </w:r>
      <w:r w:rsidRPr="008A1DB4">
        <w:rPr>
          <w:spacing w:val="-2"/>
          <w:sz w:val="18"/>
          <w:szCs w:val="18"/>
          <w:lang w:val="en-US"/>
        </w:rPr>
        <w:t>This is because, in the United Nations, the requesting State has not demonstrated that it guarantees the real protection of the right to life, because it a</w:t>
      </w:r>
      <w:r w:rsidR="00AB4E6D" w:rsidRPr="008A1DB4">
        <w:rPr>
          <w:spacing w:val="-2"/>
          <w:sz w:val="18"/>
          <w:szCs w:val="18"/>
          <w:lang w:val="en-US"/>
        </w:rPr>
        <w:t>llows extrajudicial, summary or</w:t>
      </w:r>
      <w:r w:rsidRPr="008A1DB4">
        <w:rPr>
          <w:spacing w:val="-2"/>
          <w:sz w:val="18"/>
          <w:szCs w:val="18"/>
          <w:lang w:val="en-US"/>
        </w:rPr>
        <w:t xml:space="preserve"> arbitrary executions. Also, it is known in international circles that the death penalty is not imposed objectively, but is influenced by public opinion.</w:t>
      </w:r>
      <w:r w:rsidR="00FE32A6" w:rsidRPr="008A1DB4">
        <w:rPr>
          <w:rStyle w:val="FootnoteReference"/>
          <w:spacing w:val="-2"/>
          <w:sz w:val="18"/>
          <w:szCs w:val="18"/>
          <w:lang w:val="en-US"/>
        </w:rPr>
        <w:footnoteReference w:id="95"/>
      </w:r>
    </w:p>
    <w:p w14:paraId="29CC2885" w14:textId="77777777" w:rsidR="00FE32A6" w:rsidRPr="008A1DB4" w:rsidRDefault="00FE32A6" w:rsidP="00956E97">
      <w:pPr>
        <w:pStyle w:val="ListParagraph"/>
        <w:rPr>
          <w:spacing w:val="-2"/>
          <w:lang w:val="en-US"/>
        </w:rPr>
      </w:pPr>
    </w:p>
    <w:p w14:paraId="183B437F" w14:textId="4217919C" w:rsidR="00FE32A6" w:rsidRPr="008A1DB4" w:rsidRDefault="00FE32A6" w:rsidP="00956E97">
      <w:pPr>
        <w:pStyle w:val="PrrafodeSentencia"/>
        <w:rPr>
          <w:spacing w:val="-2"/>
          <w:lang w:val="en-US"/>
        </w:rPr>
      </w:pPr>
      <w:r w:rsidRPr="008A1DB4">
        <w:rPr>
          <w:spacing w:val="-2"/>
          <w:lang w:val="en-US"/>
        </w:rPr>
        <w:t>Re</w:t>
      </w:r>
      <w:r w:rsidR="00D46A18" w:rsidRPr="008A1DB4">
        <w:rPr>
          <w:spacing w:val="-2"/>
          <w:lang w:val="en-US"/>
        </w:rPr>
        <w:t xml:space="preserve">garding the information received about the eighth amendment </w:t>
      </w:r>
      <w:r w:rsidRPr="008A1DB4">
        <w:rPr>
          <w:spacing w:val="-2"/>
          <w:lang w:val="en-US"/>
        </w:rPr>
        <w:t>(</w:t>
      </w:r>
      <w:r w:rsidRPr="008A1DB4">
        <w:rPr>
          <w:i/>
          <w:spacing w:val="-2"/>
          <w:lang w:val="en-US"/>
        </w:rPr>
        <w:t xml:space="preserve">supra </w:t>
      </w:r>
      <w:r w:rsidR="00C45946" w:rsidRPr="008A1DB4">
        <w:rPr>
          <w:spacing w:val="-2"/>
          <w:lang w:val="en-US"/>
        </w:rPr>
        <w:t xml:space="preserve">para. </w:t>
      </w:r>
      <w:r w:rsidRPr="008A1DB4">
        <w:rPr>
          <w:spacing w:val="-2"/>
          <w:lang w:val="en-US"/>
        </w:rPr>
        <w:fldChar w:fldCharType="begin"/>
      </w:r>
      <w:r w:rsidRPr="008A1DB4">
        <w:rPr>
          <w:spacing w:val="-2"/>
          <w:lang w:val="en-US"/>
        </w:rPr>
        <w:instrText xml:space="preserve"> REF _Ref401825110 \r \h  \* MERGEFORMAT </w:instrText>
      </w:r>
      <w:r w:rsidRPr="008A1DB4">
        <w:rPr>
          <w:spacing w:val="-2"/>
          <w:lang w:val="en-US"/>
        </w:rPr>
      </w:r>
      <w:r w:rsidRPr="008A1DB4">
        <w:rPr>
          <w:spacing w:val="-2"/>
          <w:lang w:val="en-US"/>
        </w:rPr>
        <w:fldChar w:fldCharType="separate"/>
      </w:r>
      <w:r w:rsidR="00E961FA" w:rsidRPr="008A1DB4">
        <w:rPr>
          <w:spacing w:val="-2"/>
          <w:lang w:val="en-US"/>
        </w:rPr>
        <w:t>80</w:t>
      </w:r>
      <w:r w:rsidRPr="008A1DB4">
        <w:rPr>
          <w:spacing w:val="-2"/>
          <w:lang w:val="en-US"/>
        </w:rPr>
        <w:fldChar w:fldCharType="end"/>
      </w:r>
      <w:r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Pr="008A1DB4">
        <w:rPr>
          <w:spacing w:val="-2"/>
          <w:lang w:val="en-US"/>
        </w:rPr>
        <w:t xml:space="preserve"> </w:t>
      </w:r>
      <w:r w:rsidR="003D6FDF" w:rsidRPr="008A1DB4">
        <w:rPr>
          <w:spacing w:val="-2"/>
          <w:lang w:val="en-US"/>
        </w:rPr>
        <w:t xml:space="preserve">clarified that this amendment, </w:t>
      </w:r>
      <w:r w:rsidRPr="008A1DB4">
        <w:rPr>
          <w:spacing w:val="-2"/>
          <w:lang w:val="en-US"/>
        </w:rPr>
        <w:t>“</w:t>
      </w:r>
      <w:r w:rsidR="003D6FDF" w:rsidRPr="008A1DB4">
        <w:rPr>
          <w:spacing w:val="-2"/>
          <w:lang w:val="en-US"/>
        </w:rPr>
        <w:t xml:space="preserve">to a great extent, ha[d] modified </w:t>
      </w:r>
      <w:r w:rsidR="001E7113" w:rsidRPr="008A1DB4">
        <w:rPr>
          <w:spacing w:val="-2"/>
          <w:lang w:val="en-US"/>
        </w:rPr>
        <w:t>the Criminal Code</w:t>
      </w:r>
      <w:r w:rsidR="002D1CFC" w:rsidRPr="008A1DB4">
        <w:rPr>
          <w:spacing w:val="-2"/>
          <w:lang w:val="en-US"/>
        </w:rPr>
        <w:t xml:space="preserve"> of the </w:t>
      </w:r>
      <w:r w:rsidR="00FE5E87" w:rsidRPr="008A1DB4">
        <w:rPr>
          <w:spacing w:val="-2"/>
          <w:lang w:val="en-US"/>
        </w:rPr>
        <w:t>People’s Republic of China</w:t>
      </w:r>
      <w:r w:rsidRPr="008A1DB4">
        <w:rPr>
          <w:spacing w:val="-2"/>
          <w:lang w:val="en-US"/>
        </w:rPr>
        <w:t xml:space="preserve"> </w:t>
      </w:r>
      <w:r w:rsidR="003D6FDF" w:rsidRPr="008A1DB4">
        <w:rPr>
          <w:spacing w:val="-2"/>
          <w:lang w:val="en-US"/>
        </w:rPr>
        <w:t>for the offense of smuggling ordinary merchandise.” However, it specified that</w:t>
      </w:r>
      <w:r w:rsidRPr="008A1DB4">
        <w:rPr>
          <w:spacing w:val="-2"/>
          <w:lang w:val="en-US"/>
        </w:rPr>
        <w:t xml:space="preserve">: </w:t>
      </w:r>
    </w:p>
    <w:p w14:paraId="3499160F" w14:textId="77777777" w:rsidR="00FE32A6" w:rsidRPr="008A1DB4" w:rsidRDefault="00FE32A6" w:rsidP="00956E97">
      <w:pPr>
        <w:pStyle w:val="ListParagraph"/>
        <w:tabs>
          <w:tab w:val="left" w:pos="567"/>
        </w:tabs>
        <w:ind w:left="0"/>
        <w:rPr>
          <w:spacing w:val="-2"/>
          <w:szCs w:val="20"/>
          <w:lang w:val="en-US"/>
        </w:rPr>
      </w:pPr>
    </w:p>
    <w:p w14:paraId="6FF01CC1" w14:textId="08AABB35" w:rsidR="00FE32A6" w:rsidRPr="008A1DB4" w:rsidRDefault="003D6FDF" w:rsidP="003D6FDF">
      <w:pPr>
        <w:pStyle w:val="ListParagraph"/>
        <w:tabs>
          <w:tab w:val="left" w:pos="567"/>
        </w:tabs>
        <w:ind w:left="567" w:right="615"/>
        <w:rPr>
          <w:spacing w:val="-2"/>
          <w:sz w:val="18"/>
          <w:szCs w:val="18"/>
          <w:lang w:val="en-US"/>
        </w:rPr>
      </w:pPr>
      <w:r w:rsidRPr="008A1DB4">
        <w:rPr>
          <w:spacing w:val="-2"/>
          <w:sz w:val="18"/>
          <w:szCs w:val="18"/>
          <w:lang w:val="en-US"/>
        </w:rPr>
        <w:t>[T</w:t>
      </w:r>
      <w:r w:rsidR="00FE32A6" w:rsidRPr="008A1DB4">
        <w:rPr>
          <w:spacing w:val="-2"/>
          <w:sz w:val="18"/>
          <w:szCs w:val="18"/>
          <w:lang w:val="en-US"/>
        </w:rPr>
        <w:t>]</w:t>
      </w:r>
      <w:r w:rsidRPr="008A1DB4">
        <w:rPr>
          <w:spacing w:val="-2"/>
          <w:sz w:val="18"/>
          <w:szCs w:val="18"/>
          <w:lang w:val="en-US"/>
        </w:rPr>
        <w:t xml:space="preserve">he case file does not reveal […] that this </w:t>
      </w:r>
      <w:r w:rsidR="00947926" w:rsidRPr="008A1DB4">
        <w:rPr>
          <w:spacing w:val="-2"/>
          <w:sz w:val="18"/>
          <w:szCs w:val="18"/>
          <w:lang w:val="en-US"/>
        </w:rPr>
        <w:t>amendment</w:t>
      </w:r>
      <w:r w:rsidRPr="008A1DB4">
        <w:rPr>
          <w:spacing w:val="-2"/>
          <w:sz w:val="18"/>
          <w:szCs w:val="18"/>
          <w:lang w:val="en-US"/>
        </w:rPr>
        <w:t xml:space="preserve"> […] has been communicated </w:t>
      </w:r>
      <w:r w:rsidR="00947926" w:rsidRPr="008A1DB4">
        <w:rPr>
          <w:spacing w:val="-2"/>
          <w:sz w:val="18"/>
          <w:szCs w:val="18"/>
          <w:lang w:val="en-US"/>
        </w:rPr>
        <w:t>officially</w:t>
      </w:r>
      <w:r w:rsidR="00883217">
        <w:rPr>
          <w:spacing w:val="-2"/>
          <w:sz w:val="18"/>
          <w:szCs w:val="18"/>
          <w:lang w:val="en-US"/>
        </w:rPr>
        <w:t xml:space="preserve"> using</w:t>
      </w:r>
      <w:r w:rsidRPr="008A1DB4">
        <w:rPr>
          <w:spacing w:val="-2"/>
          <w:sz w:val="18"/>
          <w:szCs w:val="18"/>
          <w:lang w:val="en-US"/>
        </w:rPr>
        <w:t xml:space="preserve"> the diplomatic procedures of the Peruvian State. Moreover, there is no mention of whether the Constitution of the People’s Republic of China recognizes the favorable retroactivity of criminal law. Consequently, the Court </w:t>
      </w:r>
      <w:proofErr w:type="gramStart"/>
      <w:r w:rsidRPr="008A1DB4">
        <w:rPr>
          <w:spacing w:val="-2"/>
          <w:sz w:val="18"/>
          <w:szCs w:val="18"/>
          <w:lang w:val="en-US"/>
        </w:rPr>
        <w:t>f[</w:t>
      </w:r>
      <w:proofErr w:type="spellStart"/>
      <w:proofErr w:type="gramEnd"/>
      <w:r w:rsidRPr="008A1DB4">
        <w:rPr>
          <w:spacing w:val="-2"/>
          <w:sz w:val="18"/>
          <w:szCs w:val="18"/>
          <w:lang w:val="en-US"/>
        </w:rPr>
        <w:t>ound</w:t>
      </w:r>
      <w:proofErr w:type="spellEnd"/>
      <w:r w:rsidRPr="008A1DB4">
        <w:rPr>
          <w:spacing w:val="-2"/>
          <w:sz w:val="18"/>
          <w:szCs w:val="18"/>
          <w:lang w:val="en-US"/>
        </w:rPr>
        <w:t>] that the said letter c[</w:t>
      </w:r>
      <w:proofErr w:type="spellStart"/>
      <w:r w:rsidRPr="008A1DB4">
        <w:rPr>
          <w:spacing w:val="-2"/>
          <w:sz w:val="18"/>
          <w:szCs w:val="18"/>
          <w:lang w:val="en-US"/>
        </w:rPr>
        <w:t>ould</w:t>
      </w:r>
      <w:proofErr w:type="spellEnd"/>
      <w:r w:rsidRPr="008A1DB4">
        <w:rPr>
          <w:spacing w:val="-2"/>
          <w:sz w:val="18"/>
          <w:szCs w:val="18"/>
          <w:lang w:val="en-US"/>
        </w:rPr>
        <w:t>] not be understood and interpreted as a guarantee of the non-app</w:t>
      </w:r>
      <w:r w:rsidR="00883217">
        <w:rPr>
          <w:spacing w:val="-2"/>
          <w:sz w:val="18"/>
          <w:szCs w:val="18"/>
          <w:lang w:val="en-US"/>
        </w:rPr>
        <w:t>lication of the death penalty to</w:t>
      </w:r>
      <w:r w:rsidRPr="008A1DB4">
        <w:rPr>
          <w:spacing w:val="-2"/>
          <w:sz w:val="18"/>
          <w:szCs w:val="18"/>
          <w:lang w:val="en-US"/>
        </w:rPr>
        <w:t xml:space="preserve"> the beneficiary of the application.</w:t>
      </w:r>
      <w:r w:rsidR="00FE32A6" w:rsidRPr="008A1DB4">
        <w:rPr>
          <w:rStyle w:val="FootnoteReference"/>
          <w:spacing w:val="-2"/>
          <w:sz w:val="18"/>
          <w:szCs w:val="18"/>
          <w:lang w:val="en-US"/>
        </w:rPr>
        <w:footnoteReference w:id="96"/>
      </w:r>
    </w:p>
    <w:p w14:paraId="698C1A1D" w14:textId="77777777" w:rsidR="00FE32A6" w:rsidRPr="008A1DB4" w:rsidRDefault="00FE32A6" w:rsidP="00956E97">
      <w:pPr>
        <w:pStyle w:val="ListParagraph"/>
        <w:tabs>
          <w:tab w:val="left" w:pos="567"/>
        </w:tabs>
        <w:ind w:left="567" w:right="615"/>
        <w:rPr>
          <w:spacing w:val="-2"/>
          <w:sz w:val="18"/>
          <w:szCs w:val="18"/>
          <w:lang w:val="en-US"/>
        </w:rPr>
      </w:pPr>
    </w:p>
    <w:p w14:paraId="3ED2AA12" w14:textId="5ECEF91E" w:rsidR="00FE32A6" w:rsidRPr="008A1DB4" w:rsidRDefault="000145AD" w:rsidP="00956E97">
      <w:pPr>
        <w:pStyle w:val="PrrafodeSentencia"/>
        <w:rPr>
          <w:spacing w:val="-2"/>
          <w:lang w:val="en-US"/>
        </w:rPr>
      </w:pPr>
      <w:bookmarkStart w:id="520" w:name="_Ref402186809"/>
      <w:r w:rsidRPr="008A1DB4">
        <w:rPr>
          <w:spacing w:val="-2"/>
          <w:lang w:val="en-US"/>
        </w:rPr>
        <w:t xml:space="preserve">Based on the foregoing </w:t>
      </w:r>
      <w:r w:rsidR="00A836C4" w:rsidRPr="008A1DB4">
        <w:rPr>
          <w:spacing w:val="-2"/>
          <w:lang w:val="en-US"/>
        </w:rPr>
        <w:t>con</w:t>
      </w:r>
      <w:r w:rsidR="00883217">
        <w:rPr>
          <w:spacing w:val="-2"/>
          <w:lang w:val="en-US"/>
        </w:rPr>
        <w:t>clusion</w:t>
      </w:r>
      <w:r w:rsidR="00A836C4" w:rsidRPr="008A1DB4">
        <w:rPr>
          <w:spacing w:val="-2"/>
          <w:lang w:val="en-US"/>
        </w:rPr>
        <w:t>s</w:t>
      </w:r>
      <w:r w:rsidR="00FE32A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declar</w:t>
      </w:r>
      <w:r w:rsidRPr="008A1DB4">
        <w:rPr>
          <w:spacing w:val="-2"/>
          <w:lang w:val="en-US"/>
        </w:rPr>
        <w:t xml:space="preserve">ed that the application was admissible </w:t>
      </w:r>
      <w:r w:rsidR="00F36400" w:rsidRPr="008A1DB4">
        <w:rPr>
          <w:spacing w:val="-2"/>
          <w:lang w:val="en-US"/>
        </w:rPr>
        <w:t xml:space="preserve">and </w:t>
      </w:r>
      <w:r w:rsidR="00FE32A6" w:rsidRPr="008A1DB4">
        <w:rPr>
          <w:spacing w:val="-2"/>
          <w:lang w:val="en-US"/>
        </w:rPr>
        <w:t>“orde</w:t>
      </w:r>
      <w:r w:rsidRPr="008A1DB4">
        <w:rPr>
          <w:spacing w:val="-2"/>
          <w:lang w:val="en-US"/>
        </w:rPr>
        <w:t>r[</w:t>
      </w:r>
      <w:proofErr w:type="spellStart"/>
      <w:r w:rsidRPr="008A1DB4">
        <w:rPr>
          <w:spacing w:val="-2"/>
          <w:lang w:val="en-US"/>
        </w:rPr>
        <w:t>ed</w:t>
      </w:r>
      <w:proofErr w:type="spellEnd"/>
      <w:r w:rsidRPr="008A1DB4">
        <w:rPr>
          <w:spacing w:val="-2"/>
          <w:lang w:val="en-US"/>
        </w:rPr>
        <w:t xml:space="preserve">] the Peruvian State, represented by </w:t>
      </w:r>
      <w:r w:rsidR="00B43F84" w:rsidRPr="008A1DB4">
        <w:rPr>
          <w:spacing w:val="-2"/>
          <w:lang w:val="en-US"/>
        </w:rPr>
        <w:t>the Executive</w:t>
      </w:r>
      <w:r w:rsidRPr="008A1DB4">
        <w:rPr>
          <w:spacing w:val="-2"/>
          <w:lang w:val="en-US"/>
        </w:rPr>
        <w:t xml:space="preserve"> Branch</w:t>
      </w:r>
      <w:r w:rsidR="00FE32A6" w:rsidRPr="008A1DB4">
        <w:rPr>
          <w:spacing w:val="-2"/>
          <w:lang w:val="en-US"/>
        </w:rPr>
        <w:t xml:space="preserve">, </w:t>
      </w:r>
      <w:r w:rsidRPr="008A1DB4">
        <w:rPr>
          <w:spacing w:val="-2"/>
          <w:lang w:val="en-US"/>
        </w:rPr>
        <w:t xml:space="preserve">to refrain from extraditing </w:t>
      </w:r>
      <w:r w:rsidR="00B43F84" w:rsidRPr="008A1DB4">
        <w:rPr>
          <w:spacing w:val="-2"/>
          <w:lang w:val="en-US"/>
        </w:rPr>
        <w:t>Wong</w:t>
      </w:r>
      <w:r w:rsidR="00FE32A6" w:rsidRPr="008A1DB4">
        <w:rPr>
          <w:spacing w:val="-2"/>
          <w:lang w:val="en-US"/>
        </w:rPr>
        <w:t xml:space="preserve"> Ho</w:t>
      </w:r>
      <w:r w:rsidRPr="008A1DB4">
        <w:rPr>
          <w:spacing w:val="-2"/>
          <w:lang w:val="en-US"/>
        </w:rPr>
        <w:t xml:space="preserve"> Wing to</w:t>
      </w:r>
      <w:r w:rsidR="00FE32A6" w:rsidRPr="008A1DB4">
        <w:rPr>
          <w:spacing w:val="-2"/>
          <w:lang w:val="en-US"/>
        </w:rPr>
        <w:t xml:space="preserve"> </w:t>
      </w:r>
      <w:r w:rsidR="00FE5E87" w:rsidRPr="008A1DB4">
        <w:rPr>
          <w:spacing w:val="-2"/>
          <w:lang w:val="en-US"/>
        </w:rPr>
        <w:t>the People’s Republic of China</w:t>
      </w:r>
      <w:r w:rsidRPr="008A1DB4">
        <w:rPr>
          <w:spacing w:val="-2"/>
          <w:lang w:val="en-US"/>
        </w:rPr>
        <w:t>.” In addition, it “</w:t>
      </w:r>
      <w:proofErr w:type="gramStart"/>
      <w:r w:rsidRPr="008A1DB4">
        <w:rPr>
          <w:spacing w:val="-2"/>
          <w:lang w:val="en-US"/>
        </w:rPr>
        <w:t>urge[</w:t>
      </w:r>
      <w:proofErr w:type="gramEnd"/>
      <w:r w:rsidRPr="008A1DB4">
        <w:rPr>
          <w:spacing w:val="-2"/>
          <w:lang w:val="en-US"/>
        </w:rPr>
        <w:t>d] the Peruvian State, represented by the Executive Branch, to proceed in accordance with the provisions of a</w:t>
      </w:r>
      <w:r w:rsidR="00F36400" w:rsidRPr="008A1DB4">
        <w:rPr>
          <w:spacing w:val="-2"/>
          <w:lang w:val="en-US"/>
        </w:rPr>
        <w:t>rticle</w:t>
      </w:r>
      <w:r w:rsidR="00FE32A6" w:rsidRPr="008A1DB4">
        <w:rPr>
          <w:spacing w:val="-2"/>
          <w:lang w:val="en-US"/>
        </w:rPr>
        <w:t xml:space="preserve"> 4(a) </w:t>
      </w:r>
      <w:r w:rsidRPr="008A1DB4">
        <w:rPr>
          <w:spacing w:val="-2"/>
          <w:lang w:val="en-US"/>
        </w:rPr>
        <w:t>of the</w:t>
      </w:r>
      <w:r w:rsidR="00FE32A6" w:rsidRPr="008A1DB4">
        <w:rPr>
          <w:spacing w:val="-2"/>
          <w:lang w:val="en-US"/>
        </w:rPr>
        <w:t xml:space="preserve"> </w:t>
      </w:r>
      <w:r w:rsidRPr="008A1DB4">
        <w:rPr>
          <w:spacing w:val="-2"/>
          <w:lang w:val="en-US"/>
        </w:rPr>
        <w:t>Extradition T</w:t>
      </w:r>
      <w:r w:rsidR="00FE5E87" w:rsidRPr="008A1DB4">
        <w:rPr>
          <w:spacing w:val="-2"/>
          <w:lang w:val="en-US"/>
        </w:rPr>
        <w:t>reaty between</w:t>
      </w:r>
      <w:r w:rsidR="00FE32A6" w:rsidRPr="008A1DB4">
        <w:rPr>
          <w:spacing w:val="-2"/>
          <w:lang w:val="en-US"/>
        </w:rPr>
        <w:t xml:space="preserve"> </w:t>
      </w:r>
      <w:r w:rsidR="00FC5891" w:rsidRPr="008A1DB4">
        <w:rPr>
          <w:spacing w:val="-2"/>
          <w:lang w:val="en-US"/>
        </w:rPr>
        <w:t>the Republic of Peru</w:t>
      </w:r>
      <w:r w:rsidR="00F36400" w:rsidRPr="008A1DB4">
        <w:rPr>
          <w:spacing w:val="-2"/>
          <w:lang w:val="en-US"/>
        </w:rPr>
        <w:t xml:space="preserve"> and </w:t>
      </w:r>
      <w:r w:rsidR="00FE5E87" w:rsidRPr="008A1DB4">
        <w:rPr>
          <w:spacing w:val="-2"/>
          <w:lang w:val="en-US"/>
        </w:rPr>
        <w:t>the People’s Republic of China</w:t>
      </w:r>
      <w:r w:rsidRPr="008A1DB4">
        <w:rPr>
          <w:spacing w:val="-2"/>
          <w:lang w:val="en-US"/>
        </w:rPr>
        <w:t>.</w:t>
      </w:r>
      <w:r w:rsidR="00FE32A6" w:rsidRPr="008A1DB4">
        <w:rPr>
          <w:rStyle w:val="FootnoteReference"/>
          <w:spacing w:val="-2"/>
          <w:lang w:val="en-US"/>
        </w:rPr>
        <w:footnoteReference w:id="97"/>
      </w:r>
      <w:bookmarkEnd w:id="520"/>
    </w:p>
    <w:p w14:paraId="32D33EB8" w14:textId="77777777" w:rsidR="00FE32A6" w:rsidRPr="008A1DB4" w:rsidRDefault="00FE32A6" w:rsidP="00956E97">
      <w:pPr>
        <w:pStyle w:val="ListParagraph"/>
        <w:tabs>
          <w:tab w:val="left" w:pos="567"/>
        </w:tabs>
        <w:ind w:left="0"/>
        <w:rPr>
          <w:spacing w:val="-2"/>
          <w:lang w:val="en-US"/>
        </w:rPr>
      </w:pPr>
    </w:p>
    <w:p w14:paraId="6D19EBF0" w14:textId="077A8C2B" w:rsidR="00FE32A6" w:rsidRPr="008A1DB4" w:rsidRDefault="000145AD" w:rsidP="00956E97">
      <w:pPr>
        <w:pStyle w:val="PrrafodeSentencia"/>
        <w:rPr>
          <w:spacing w:val="-2"/>
          <w:lang w:val="en-US"/>
        </w:rPr>
      </w:pPr>
      <w:r w:rsidRPr="008A1DB4">
        <w:rPr>
          <w:spacing w:val="-2"/>
          <w:lang w:val="en-US"/>
        </w:rPr>
        <w:t xml:space="preserve">The public attorneys of the Ministries of Justice and Foreign Affairs, and the Presidency </w:t>
      </w:r>
      <w:r w:rsidR="002D1CFC" w:rsidRPr="008A1DB4">
        <w:rPr>
          <w:spacing w:val="-2"/>
          <w:lang w:val="en-US"/>
        </w:rPr>
        <w:t>of the Council of Ministers</w:t>
      </w:r>
      <w:r w:rsidR="00F36400" w:rsidRPr="008A1DB4">
        <w:rPr>
          <w:spacing w:val="-2"/>
          <w:lang w:val="en-US"/>
        </w:rPr>
        <w:t xml:space="preserve"> </w:t>
      </w:r>
      <w:r w:rsidRPr="008A1DB4">
        <w:rPr>
          <w:spacing w:val="-2"/>
          <w:lang w:val="en-US"/>
        </w:rPr>
        <w:t xml:space="preserve">submitted requests to clarify the judgment </w:t>
      </w:r>
      <w:r w:rsidR="00C45946" w:rsidRPr="008A1DB4">
        <w:rPr>
          <w:spacing w:val="-2"/>
          <w:lang w:val="en-US"/>
        </w:rPr>
        <w:t xml:space="preserve">of the </w:t>
      </w:r>
      <w:r w:rsidR="00B43F84" w:rsidRPr="008A1DB4">
        <w:rPr>
          <w:spacing w:val="-2"/>
          <w:lang w:val="en-US"/>
        </w:rPr>
        <w:t>Constitutional Court</w:t>
      </w:r>
      <w:r w:rsidRPr="008A1DB4">
        <w:rPr>
          <w:spacing w:val="-2"/>
          <w:lang w:val="en-US"/>
        </w:rPr>
        <w:t>.</w:t>
      </w:r>
      <w:r w:rsidR="00FE32A6" w:rsidRPr="008A1DB4">
        <w:rPr>
          <w:rStyle w:val="FootnoteReference"/>
          <w:spacing w:val="-2"/>
          <w:lang w:val="en-US"/>
        </w:rPr>
        <w:footnoteReference w:id="98"/>
      </w:r>
      <w:r w:rsidR="00FE32A6" w:rsidRPr="008A1DB4">
        <w:rPr>
          <w:spacing w:val="-2"/>
          <w:lang w:val="en-US"/>
        </w:rPr>
        <w:t xml:space="preserve"> </w:t>
      </w:r>
      <w:r w:rsidR="00AB4E6D" w:rsidRPr="008A1DB4">
        <w:rPr>
          <w:spacing w:val="-2"/>
          <w:lang w:val="en-US"/>
        </w:rPr>
        <w:t>On June 9,</w:t>
      </w:r>
      <w:r w:rsidR="00FE32A6" w:rsidRPr="008A1DB4">
        <w:rPr>
          <w:spacing w:val="-2"/>
          <w:lang w:val="en-US"/>
        </w:rPr>
        <w:t xml:space="preserve"> 2011</w:t>
      </w:r>
      <w:r w:rsidRPr="008A1DB4">
        <w:rPr>
          <w:spacing w:val="-2"/>
          <w:lang w:val="en-US"/>
        </w:rPr>
        <w:t>,</w:t>
      </w:r>
      <w:r w:rsidR="00FE32A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Pr="008A1DB4">
        <w:rPr>
          <w:spacing w:val="-2"/>
          <w:lang w:val="en-US"/>
        </w:rPr>
        <w:t xml:space="preserve">issued a </w:t>
      </w:r>
      <w:r w:rsidR="00947926" w:rsidRPr="008A1DB4">
        <w:rPr>
          <w:spacing w:val="-2"/>
          <w:lang w:val="en-US"/>
        </w:rPr>
        <w:t>decision</w:t>
      </w:r>
      <w:r w:rsidRPr="008A1DB4">
        <w:rPr>
          <w:spacing w:val="-2"/>
          <w:lang w:val="en-US"/>
        </w:rPr>
        <w:t xml:space="preserve"> in which it indicated that, “regarding the request to clarify the reasons why it had considered that the </w:t>
      </w:r>
      <w:r w:rsidR="00945E57" w:rsidRPr="008A1DB4">
        <w:rPr>
          <w:spacing w:val="-2"/>
          <w:lang w:val="en-US"/>
        </w:rPr>
        <w:t>diplomatic assurances</w:t>
      </w:r>
      <w:r w:rsidRPr="008A1DB4">
        <w:rPr>
          <w:spacing w:val="-2"/>
          <w:lang w:val="en-US"/>
        </w:rPr>
        <w:t xml:space="preserve"> offered by the People’s Republic of China were insufficient, [it recalled] that at the time the [judgment] was delivered, the case file did not contain any of the </w:t>
      </w:r>
      <w:r w:rsidR="00945E57" w:rsidRPr="008A1DB4">
        <w:rPr>
          <w:spacing w:val="-2"/>
          <w:lang w:val="en-US"/>
        </w:rPr>
        <w:t>diplomatic assurances</w:t>
      </w:r>
      <w:r w:rsidRPr="008A1DB4">
        <w:rPr>
          <w:spacing w:val="-2"/>
          <w:lang w:val="en-US"/>
        </w:rPr>
        <w:t xml:space="preserve"> referred to by the public attorneys who were requesting the clarification”; rather, it only included information on the promulgation of </w:t>
      </w:r>
      <w:r w:rsidR="00AB4E6D" w:rsidRPr="008A1DB4">
        <w:rPr>
          <w:spacing w:val="-2"/>
          <w:lang w:val="en-US"/>
        </w:rPr>
        <w:t>the eighth amendment</w:t>
      </w:r>
      <w:r w:rsidR="00DE2D90" w:rsidRPr="008A1DB4">
        <w:rPr>
          <w:spacing w:val="-2"/>
          <w:lang w:val="en-US"/>
        </w:rPr>
        <w:t xml:space="preserve"> that</w:t>
      </w:r>
      <w:r w:rsidRPr="008A1DB4">
        <w:rPr>
          <w:spacing w:val="-2"/>
          <w:lang w:val="en-US"/>
        </w:rPr>
        <w:t xml:space="preserve"> annulled </w:t>
      </w:r>
      <w:r w:rsidR="00A3310A" w:rsidRPr="008A1DB4">
        <w:rPr>
          <w:spacing w:val="-2"/>
          <w:lang w:val="en-US"/>
        </w:rPr>
        <w:t>the death penalty</w:t>
      </w:r>
      <w:r w:rsidR="00FE32A6" w:rsidRPr="008A1DB4">
        <w:rPr>
          <w:spacing w:val="-2"/>
          <w:lang w:val="en-US"/>
        </w:rPr>
        <w:t xml:space="preserve"> </w:t>
      </w:r>
      <w:r w:rsidRPr="008A1DB4">
        <w:rPr>
          <w:spacing w:val="-2"/>
          <w:lang w:val="en-US"/>
        </w:rPr>
        <w:t>for the offense of smuggling ordinary m</w:t>
      </w:r>
      <w:r w:rsidR="00DE2D90" w:rsidRPr="008A1DB4">
        <w:rPr>
          <w:spacing w:val="-2"/>
          <w:lang w:val="en-US"/>
        </w:rPr>
        <w:t>erchandise, which d</w:t>
      </w:r>
      <w:r w:rsidR="003708EA">
        <w:rPr>
          <w:spacing w:val="-2"/>
          <w:lang w:val="en-US"/>
        </w:rPr>
        <w:t>id “not constitute diplomatic assurances</w:t>
      </w:r>
      <w:r w:rsidR="00DE2D90" w:rsidRPr="008A1DB4">
        <w:rPr>
          <w:spacing w:val="-2"/>
          <w:lang w:val="en-US"/>
        </w:rPr>
        <w:t>.</w:t>
      </w:r>
      <w:r w:rsidR="00FE32A6" w:rsidRPr="008A1DB4">
        <w:rPr>
          <w:spacing w:val="-2"/>
          <w:lang w:val="en-US"/>
        </w:rPr>
        <w:t>”</w:t>
      </w:r>
      <w:r w:rsidR="00FE32A6" w:rsidRPr="008A1DB4">
        <w:rPr>
          <w:rStyle w:val="FootnoteReference"/>
          <w:spacing w:val="-2"/>
          <w:lang w:val="en-US"/>
        </w:rPr>
        <w:footnoteReference w:id="99"/>
      </w:r>
      <w:r w:rsidR="00DE2D90" w:rsidRPr="008A1DB4">
        <w:rPr>
          <w:spacing w:val="-2"/>
          <w:lang w:val="en-US"/>
        </w:rPr>
        <w:t xml:space="preserve"> The </w:t>
      </w:r>
      <w:r w:rsidR="00945E57" w:rsidRPr="008A1DB4">
        <w:rPr>
          <w:spacing w:val="-2"/>
          <w:lang w:val="en-US"/>
        </w:rPr>
        <w:t>diplomatic assurances</w:t>
      </w:r>
      <w:r w:rsidR="00DE2D90" w:rsidRPr="008A1DB4">
        <w:rPr>
          <w:spacing w:val="-2"/>
          <w:lang w:val="en-US"/>
        </w:rPr>
        <w:t xml:space="preserve"> were incorporated into the case file following the delivery of this judgment on July 7, 2011.</w:t>
      </w:r>
      <w:r w:rsidR="00DE2D90" w:rsidRPr="008A1DB4">
        <w:rPr>
          <w:rStyle w:val="FootnoteReference"/>
          <w:spacing w:val="-2"/>
          <w:lang w:val="en-US"/>
        </w:rPr>
        <w:footnoteReference w:id="100"/>
      </w:r>
      <w:r w:rsidR="003708EA">
        <w:rPr>
          <w:spacing w:val="-2"/>
          <w:lang w:val="en-US"/>
        </w:rPr>
        <w:t xml:space="preserve"> On this basi</w:t>
      </w:r>
      <w:r w:rsidR="00DE2D90" w:rsidRPr="008A1DB4">
        <w:rPr>
          <w:spacing w:val="-2"/>
          <w:lang w:val="en-US"/>
        </w:rPr>
        <w:t>s, the</w:t>
      </w:r>
      <w:r w:rsidR="00F36400" w:rsidRPr="008A1DB4">
        <w:rPr>
          <w:spacing w:val="-2"/>
          <w:lang w:val="en-US"/>
        </w:rPr>
        <w:t xml:space="preserve"> </w:t>
      </w:r>
      <w:r w:rsidR="00B43F84" w:rsidRPr="008A1DB4">
        <w:rPr>
          <w:spacing w:val="-2"/>
          <w:lang w:val="en-US"/>
        </w:rPr>
        <w:t>Constitutional Court</w:t>
      </w:r>
      <w:r w:rsidR="00DE2D90" w:rsidRPr="008A1DB4">
        <w:rPr>
          <w:spacing w:val="-2"/>
          <w:lang w:val="en-US"/>
        </w:rPr>
        <w:t xml:space="preserve"> considered that conclusions </w:t>
      </w:r>
      <w:r w:rsidR="00FE32A6" w:rsidRPr="008A1DB4">
        <w:rPr>
          <w:spacing w:val="-2"/>
          <w:lang w:val="en-US"/>
        </w:rPr>
        <w:t>9</w:t>
      </w:r>
      <w:r w:rsidR="00F36400" w:rsidRPr="008A1DB4">
        <w:rPr>
          <w:spacing w:val="-2"/>
          <w:lang w:val="en-US"/>
        </w:rPr>
        <w:t xml:space="preserve"> and </w:t>
      </w:r>
      <w:r w:rsidR="00FE32A6" w:rsidRPr="008A1DB4">
        <w:rPr>
          <w:spacing w:val="-2"/>
          <w:lang w:val="en-US"/>
        </w:rPr>
        <w:t xml:space="preserve">10 </w:t>
      </w:r>
      <w:r w:rsidR="00DE2D90" w:rsidRPr="008A1DB4">
        <w:rPr>
          <w:spacing w:val="-2"/>
          <w:lang w:val="en-US"/>
        </w:rPr>
        <w:t xml:space="preserve">of the judgment constituted material errors </w:t>
      </w:r>
      <w:r w:rsidR="00FE32A6" w:rsidRPr="008A1DB4">
        <w:rPr>
          <w:spacing w:val="-2"/>
          <w:lang w:val="en-US"/>
        </w:rPr>
        <w:t>(</w:t>
      </w:r>
      <w:r w:rsidR="00FE32A6" w:rsidRPr="008A1DB4">
        <w:rPr>
          <w:i/>
          <w:spacing w:val="-2"/>
          <w:lang w:val="en-US"/>
        </w:rPr>
        <w:t>supra</w:t>
      </w:r>
      <w:r w:rsidR="00FE32A6" w:rsidRPr="008A1DB4">
        <w:rPr>
          <w:spacing w:val="-2"/>
          <w:lang w:val="en-US"/>
        </w:rPr>
        <w:t xml:space="preserve">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_Ref402187094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81</w:t>
      </w:r>
      <w:r w:rsidR="00FE32A6" w:rsidRPr="008A1DB4">
        <w:rPr>
          <w:spacing w:val="-2"/>
          <w:lang w:val="en-US"/>
        </w:rPr>
        <w:fldChar w:fldCharType="end"/>
      </w:r>
      <w:r w:rsidR="00FE32A6" w:rsidRPr="008A1DB4">
        <w:rPr>
          <w:spacing w:val="-2"/>
          <w:lang w:val="en-US"/>
        </w:rPr>
        <w:t>)</w:t>
      </w:r>
      <w:r w:rsidR="00AB4E6D" w:rsidRPr="008A1DB4">
        <w:rPr>
          <w:spacing w:val="-2"/>
          <w:lang w:val="en-US"/>
        </w:rPr>
        <w:t>,</w:t>
      </w:r>
      <w:r w:rsidR="00FE32A6" w:rsidRPr="008A1DB4">
        <w:rPr>
          <w:rStyle w:val="FootnoteReference"/>
          <w:spacing w:val="-2"/>
          <w:lang w:val="en-US"/>
        </w:rPr>
        <w:footnoteReference w:id="101"/>
      </w:r>
      <w:r w:rsidR="00FE32A6" w:rsidRPr="008A1DB4">
        <w:rPr>
          <w:spacing w:val="-2"/>
          <w:lang w:val="en-US"/>
        </w:rPr>
        <w:t xml:space="preserve"> </w:t>
      </w:r>
      <w:r w:rsidR="00DE2D90" w:rsidRPr="008A1DB4">
        <w:rPr>
          <w:spacing w:val="-2"/>
          <w:lang w:val="en-US"/>
        </w:rPr>
        <w:t>and therefore amended them as follows:</w:t>
      </w:r>
    </w:p>
    <w:p w14:paraId="167D40E3" w14:textId="77777777" w:rsidR="00FE32A6" w:rsidRPr="008A1DB4" w:rsidRDefault="00FE32A6" w:rsidP="00956E97">
      <w:pPr>
        <w:pStyle w:val="ListParagraph"/>
        <w:tabs>
          <w:tab w:val="left" w:pos="567"/>
        </w:tabs>
        <w:ind w:left="0"/>
        <w:rPr>
          <w:spacing w:val="-2"/>
          <w:szCs w:val="20"/>
          <w:lang w:val="en-US"/>
        </w:rPr>
      </w:pPr>
    </w:p>
    <w:p w14:paraId="5E2F111D" w14:textId="7334F91B" w:rsidR="00FE32A6" w:rsidRPr="008A1DB4" w:rsidRDefault="00FE32A6" w:rsidP="00DE2D90">
      <w:pPr>
        <w:pStyle w:val="ListParagraph"/>
        <w:tabs>
          <w:tab w:val="left" w:pos="284"/>
          <w:tab w:val="left" w:pos="426"/>
          <w:tab w:val="left" w:pos="9356"/>
        </w:tabs>
        <w:ind w:left="567" w:right="503"/>
        <w:rPr>
          <w:spacing w:val="-2"/>
          <w:sz w:val="18"/>
          <w:szCs w:val="18"/>
          <w:lang w:val="en-US"/>
        </w:rPr>
      </w:pPr>
      <w:r w:rsidRPr="008A1DB4">
        <w:rPr>
          <w:spacing w:val="-2"/>
          <w:sz w:val="18"/>
          <w:szCs w:val="18"/>
          <w:lang w:val="en-US"/>
        </w:rPr>
        <w:t>[</w:t>
      </w:r>
      <w:r w:rsidR="00DE2D90" w:rsidRPr="008A1DB4">
        <w:rPr>
          <w:spacing w:val="-2"/>
          <w:sz w:val="18"/>
          <w:szCs w:val="18"/>
          <w:lang w:val="en-US"/>
        </w:rPr>
        <w:t xml:space="preserve">The diplomatic </w:t>
      </w:r>
      <w:r w:rsidR="00947926">
        <w:rPr>
          <w:spacing w:val="-2"/>
          <w:sz w:val="18"/>
          <w:szCs w:val="18"/>
          <w:lang w:val="en-US"/>
        </w:rPr>
        <w:t>assurances</w:t>
      </w:r>
      <w:r w:rsidR="00DE2D90" w:rsidRPr="008A1DB4">
        <w:rPr>
          <w:spacing w:val="-2"/>
          <w:sz w:val="18"/>
          <w:szCs w:val="18"/>
          <w:lang w:val="en-US"/>
        </w:rPr>
        <w:t xml:space="preserve"> offered by </w:t>
      </w:r>
      <w:r w:rsidR="00FE5E87" w:rsidRPr="008A1DB4">
        <w:rPr>
          <w:spacing w:val="-2"/>
          <w:sz w:val="18"/>
          <w:szCs w:val="18"/>
          <w:lang w:val="en-US"/>
        </w:rPr>
        <w:t>the People’s Republic of China</w:t>
      </w:r>
      <w:r w:rsidRPr="008A1DB4">
        <w:rPr>
          <w:spacing w:val="-2"/>
          <w:sz w:val="18"/>
          <w:szCs w:val="18"/>
          <w:lang w:val="en-US"/>
        </w:rPr>
        <w:t xml:space="preserve"> </w:t>
      </w:r>
      <w:r w:rsidR="00DE2D90" w:rsidRPr="008A1DB4">
        <w:rPr>
          <w:spacing w:val="-2"/>
          <w:sz w:val="18"/>
          <w:szCs w:val="18"/>
          <w:lang w:val="en-US"/>
        </w:rPr>
        <w:t xml:space="preserve">are insufficient to ensure that the death </w:t>
      </w:r>
      <w:r w:rsidR="00947926" w:rsidRPr="008A1DB4">
        <w:rPr>
          <w:spacing w:val="-2"/>
          <w:sz w:val="18"/>
          <w:szCs w:val="18"/>
          <w:lang w:val="en-US"/>
        </w:rPr>
        <w:t>penalty</w:t>
      </w:r>
      <w:r w:rsidR="00DE2D90" w:rsidRPr="008A1DB4">
        <w:rPr>
          <w:spacing w:val="-2"/>
          <w:sz w:val="18"/>
          <w:szCs w:val="18"/>
          <w:lang w:val="en-US"/>
        </w:rPr>
        <w:t xml:space="preserve"> will not be imposed on </w:t>
      </w:r>
      <w:r w:rsidR="001E7113" w:rsidRPr="008A1DB4">
        <w:rPr>
          <w:spacing w:val="-2"/>
          <w:sz w:val="18"/>
          <w:szCs w:val="18"/>
          <w:lang w:val="en-US"/>
        </w:rPr>
        <w:t>Wong</w:t>
      </w:r>
      <w:r w:rsidR="00DE2D90" w:rsidRPr="008A1DB4">
        <w:rPr>
          <w:spacing w:val="-2"/>
          <w:sz w:val="18"/>
          <w:szCs w:val="18"/>
          <w:lang w:val="en-US"/>
        </w:rPr>
        <w:t xml:space="preserve"> Ho Wing</w:t>
      </w:r>
      <w:r w:rsidRPr="008A1DB4">
        <w:rPr>
          <w:spacing w:val="-2"/>
          <w:sz w:val="18"/>
          <w:szCs w:val="18"/>
          <w:lang w:val="en-US"/>
        </w:rPr>
        <w:t xml:space="preserve">]. </w:t>
      </w:r>
      <w:r w:rsidR="00DE2D90" w:rsidRPr="008A1DB4">
        <w:rPr>
          <w:spacing w:val="-2"/>
          <w:sz w:val="18"/>
          <w:szCs w:val="18"/>
          <w:lang w:val="en-US"/>
        </w:rPr>
        <w:t xml:space="preserve">This is because, since the case file does not contain any diplomatic </w:t>
      </w:r>
      <w:r w:rsidR="003708EA">
        <w:rPr>
          <w:spacing w:val="-2"/>
          <w:sz w:val="18"/>
          <w:szCs w:val="18"/>
          <w:lang w:val="en-US"/>
        </w:rPr>
        <w:t>assurances</w:t>
      </w:r>
      <w:r w:rsidR="00DE2D90" w:rsidRPr="008A1DB4">
        <w:rPr>
          <w:spacing w:val="-2"/>
          <w:sz w:val="18"/>
          <w:szCs w:val="18"/>
          <w:lang w:val="en-US"/>
        </w:rPr>
        <w:t xml:space="preserve"> </w:t>
      </w:r>
      <w:r w:rsidR="003708EA">
        <w:rPr>
          <w:spacing w:val="-2"/>
          <w:sz w:val="18"/>
          <w:szCs w:val="18"/>
          <w:lang w:val="en-US"/>
        </w:rPr>
        <w:t xml:space="preserve">provided </w:t>
      </w:r>
      <w:r w:rsidR="003708EA" w:rsidRPr="008A1DB4">
        <w:rPr>
          <w:spacing w:val="-2"/>
          <w:sz w:val="18"/>
          <w:szCs w:val="18"/>
          <w:lang w:val="en-US"/>
        </w:rPr>
        <w:t>to the Peruvian State</w:t>
      </w:r>
      <w:r w:rsidR="003708EA">
        <w:rPr>
          <w:spacing w:val="-2"/>
          <w:sz w:val="18"/>
          <w:szCs w:val="18"/>
          <w:lang w:val="en-US"/>
        </w:rPr>
        <w:t xml:space="preserve"> by</w:t>
      </w:r>
      <w:r w:rsidR="00DE2D90" w:rsidRPr="008A1DB4">
        <w:rPr>
          <w:spacing w:val="-2"/>
          <w:sz w:val="18"/>
          <w:szCs w:val="18"/>
          <w:lang w:val="en-US"/>
        </w:rPr>
        <w:t xml:space="preserve"> the Republic of China, </w:t>
      </w:r>
      <w:r w:rsidR="003708EA">
        <w:rPr>
          <w:spacing w:val="-2"/>
          <w:sz w:val="18"/>
          <w:szCs w:val="18"/>
          <w:lang w:val="en-US"/>
        </w:rPr>
        <w:t xml:space="preserve">it has not been proved that </w:t>
      </w:r>
      <w:r w:rsidR="00DE2D90" w:rsidRPr="008A1DB4">
        <w:rPr>
          <w:spacing w:val="-2"/>
          <w:sz w:val="18"/>
          <w:szCs w:val="18"/>
          <w:lang w:val="en-US"/>
        </w:rPr>
        <w:t xml:space="preserve">real protection of the right to life has been ensured. Also it is </w:t>
      </w:r>
      <w:proofErr w:type="spellStart"/>
      <w:r w:rsidR="00DE2D90" w:rsidRPr="008A1DB4">
        <w:rPr>
          <w:i/>
          <w:iCs/>
          <w:spacing w:val="-2"/>
          <w:sz w:val="18"/>
          <w:szCs w:val="18"/>
          <w:lang w:val="en-US"/>
        </w:rPr>
        <w:t>communis</w:t>
      </w:r>
      <w:proofErr w:type="spellEnd"/>
      <w:r w:rsidR="00DE2D90" w:rsidRPr="008A1DB4">
        <w:rPr>
          <w:i/>
          <w:iCs/>
          <w:spacing w:val="-2"/>
          <w:sz w:val="18"/>
          <w:szCs w:val="18"/>
          <w:lang w:val="en-US"/>
        </w:rPr>
        <w:t xml:space="preserve"> </w:t>
      </w:r>
      <w:proofErr w:type="spellStart"/>
      <w:r w:rsidR="00DE2D90" w:rsidRPr="008A1DB4">
        <w:rPr>
          <w:i/>
          <w:iCs/>
          <w:spacing w:val="-2"/>
          <w:sz w:val="18"/>
          <w:szCs w:val="18"/>
          <w:lang w:val="en-US"/>
        </w:rPr>
        <w:t>opinio</w:t>
      </w:r>
      <w:proofErr w:type="spellEnd"/>
      <w:r w:rsidR="00DE2D90" w:rsidRPr="008A1DB4">
        <w:rPr>
          <w:i/>
          <w:iCs/>
          <w:spacing w:val="-2"/>
          <w:sz w:val="18"/>
          <w:szCs w:val="18"/>
          <w:lang w:val="en-US"/>
        </w:rPr>
        <w:t xml:space="preserve"> </w:t>
      </w:r>
      <w:r w:rsidR="00DE2D90" w:rsidRPr="008A1DB4">
        <w:rPr>
          <w:spacing w:val="-2"/>
          <w:sz w:val="18"/>
          <w:szCs w:val="18"/>
          <w:lang w:val="en-US"/>
        </w:rPr>
        <w:t xml:space="preserve">that the mere risk that the death penalty could be applied in the requesting State prevents the requested State from authorizing extradition. </w:t>
      </w:r>
      <w:r w:rsidR="00AB4E6D" w:rsidRPr="003708EA">
        <w:rPr>
          <w:spacing w:val="-2"/>
          <w:sz w:val="18"/>
          <w:szCs w:val="18"/>
          <w:lang w:val="en-US"/>
        </w:rPr>
        <w:t>Indeed, in the case of Yin Fong</w:t>
      </w:r>
      <w:r w:rsidR="005B3500" w:rsidRPr="003708EA">
        <w:rPr>
          <w:spacing w:val="-2"/>
          <w:sz w:val="18"/>
          <w:szCs w:val="18"/>
          <w:lang w:val="en-US"/>
        </w:rPr>
        <w:t>,</w:t>
      </w:r>
      <w:r w:rsidR="00AB4E6D" w:rsidRPr="003708EA">
        <w:rPr>
          <w:spacing w:val="-2"/>
          <w:sz w:val="18"/>
          <w:szCs w:val="18"/>
          <w:lang w:val="en-US"/>
        </w:rPr>
        <w:t xml:space="preserve"> Kwok </w:t>
      </w:r>
      <w:r w:rsidR="00AB4E6D" w:rsidRPr="003708EA">
        <w:rPr>
          <w:i/>
          <w:spacing w:val="-2"/>
          <w:sz w:val="18"/>
          <w:szCs w:val="18"/>
          <w:lang w:val="en-US"/>
        </w:rPr>
        <w:t>v.</w:t>
      </w:r>
      <w:r w:rsidR="00AB4E6D" w:rsidRPr="003708EA">
        <w:rPr>
          <w:spacing w:val="-2"/>
          <w:sz w:val="18"/>
          <w:szCs w:val="18"/>
          <w:lang w:val="en-US"/>
        </w:rPr>
        <w:t xml:space="preserve"> </w:t>
      </w:r>
      <w:r w:rsidR="00DE2D90" w:rsidRPr="003708EA">
        <w:rPr>
          <w:spacing w:val="-2"/>
          <w:sz w:val="18"/>
          <w:szCs w:val="18"/>
          <w:lang w:val="en-US"/>
        </w:rPr>
        <w:t>Australia</w:t>
      </w:r>
      <w:r w:rsidRPr="003708EA">
        <w:rPr>
          <w:spacing w:val="-2"/>
          <w:sz w:val="18"/>
          <w:szCs w:val="18"/>
          <w:lang w:val="en-US"/>
        </w:rPr>
        <w:t xml:space="preserve"> </w:t>
      </w:r>
      <w:r w:rsidR="00AB4E6D" w:rsidRPr="003708EA">
        <w:rPr>
          <w:spacing w:val="-2"/>
          <w:sz w:val="18"/>
          <w:szCs w:val="18"/>
          <w:lang w:val="en-US"/>
        </w:rPr>
        <w:t>of October 23,</w:t>
      </w:r>
      <w:r w:rsidRPr="003708EA">
        <w:rPr>
          <w:spacing w:val="-2"/>
          <w:sz w:val="18"/>
          <w:szCs w:val="18"/>
          <w:lang w:val="en-US"/>
        </w:rPr>
        <w:t xml:space="preserve"> 2009, </w:t>
      </w:r>
      <w:r w:rsidR="00DE2D90" w:rsidRPr="003708EA">
        <w:rPr>
          <w:spacing w:val="-2"/>
          <w:sz w:val="18"/>
          <w:szCs w:val="18"/>
          <w:lang w:val="en-US"/>
        </w:rPr>
        <w:t xml:space="preserve">the Human Rights Committee </w:t>
      </w:r>
      <w:r w:rsidR="00AB4E6D" w:rsidRPr="003708EA">
        <w:rPr>
          <w:spacing w:val="-2"/>
          <w:sz w:val="18"/>
          <w:szCs w:val="18"/>
          <w:lang w:val="en-US"/>
        </w:rPr>
        <w:t>emphasized that</w:t>
      </w:r>
      <w:r w:rsidR="00E37EEB" w:rsidRPr="003708EA">
        <w:rPr>
          <w:spacing w:val="-2"/>
          <w:sz w:val="18"/>
          <w:szCs w:val="18"/>
          <w:lang w:val="en-US"/>
        </w:rPr>
        <w:t>: ‘</w:t>
      </w:r>
      <w:r w:rsidR="005B3500" w:rsidRPr="003708EA">
        <w:rPr>
          <w:spacing w:val="-2"/>
          <w:sz w:val="18"/>
          <w:szCs w:val="18"/>
          <w:lang w:val="en-US"/>
        </w:rPr>
        <w:t xml:space="preserve">It is not necessary to </w:t>
      </w:r>
      <w:r w:rsidR="00947926" w:rsidRPr="003708EA">
        <w:rPr>
          <w:spacing w:val="-2"/>
          <w:sz w:val="18"/>
          <w:szCs w:val="18"/>
          <w:lang w:val="en-US"/>
        </w:rPr>
        <w:t xml:space="preserve">prove […] that the author “will </w:t>
      </w:r>
      <w:r w:rsidR="005B3500" w:rsidRPr="003708EA">
        <w:rPr>
          <w:spacing w:val="-2"/>
          <w:sz w:val="18"/>
          <w:szCs w:val="18"/>
          <w:lang w:val="en-US"/>
        </w:rPr>
        <w:t>be sentenced to death, but that there is a ‘real risk’ that the death penalty will be imposed on her</w:t>
      </w:r>
      <w:r w:rsidRPr="003708EA">
        <w:rPr>
          <w:spacing w:val="-2"/>
          <w:sz w:val="18"/>
          <w:szCs w:val="18"/>
          <w:lang w:val="en-US"/>
        </w:rPr>
        <w:t>.</w:t>
      </w:r>
    </w:p>
    <w:p w14:paraId="2F70A923" w14:textId="77777777" w:rsidR="00E37EEB" w:rsidRPr="008A1DB4" w:rsidRDefault="00E37EEB" w:rsidP="00956E97">
      <w:pPr>
        <w:pStyle w:val="ListParagraph"/>
        <w:tabs>
          <w:tab w:val="left" w:pos="284"/>
          <w:tab w:val="left" w:pos="426"/>
          <w:tab w:val="left" w:pos="9356"/>
        </w:tabs>
        <w:ind w:left="567" w:right="503"/>
        <w:rPr>
          <w:spacing w:val="-2"/>
          <w:sz w:val="18"/>
          <w:szCs w:val="18"/>
          <w:lang w:val="en-US"/>
        </w:rPr>
      </w:pPr>
    </w:p>
    <w:p w14:paraId="4EB07EC5" w14:textId="1C6D6BBA" w:rsidR="00FE32A6" w:rsidRPr="008A1DB4" w:rsidRDefault="005B3500" w:rsidP="00956E97">
      <w:pPr>
        <w:pStyle w:val="ListParagraph"/>
        <w:tabs>
          <w:tab w:val="left" w:pos="284"/>
          <w:tab w:val="left" w:pos="426"/>
          <w:tab w:val="left" w:pos="9356"/>
        </w:tabs>
        <w:ind w:left="567" w:right="503"/>
        <w:rPr>
          <w:spacing w:val="-2"/>
          <w:sz w:val="18"/>
          <w:szCs w:val="18"/>
          <w:lang w:val="en-US"/>
        </w:rPr>
      </w:pPr>
      <w:r w:rsidRPr="008A1DB4">
        <w:rPr>
          <w:spacing w:val="-2"/>
          <w:sz w:val="18"/>
          <w:szCs w:val="18"/>
          <w:lang w:val="en-US"/>
        </w:rPr>
        <w:lastRenderedPageBreak/>
        <w:t xml:space="preserve">10. Bearing in mind the inexistence of </w:t>
      </w:r>
      <w:r w:rsidR="00945E57" w:rsidRPr="008A1DB4">
        <w:rPr>
          <w:spacing w:val="-2"/>
          <w:sz w:val="18"/>
          <w:szCs w:val="18"/>
          <w:lang w:val="en-US"/>
        </w:rPr>
        <w:t>diplomatic assurances</w:t>
      </w:r>
      <w:r w:rsidRPr="008A1DB4">
        <w:rPr>
          <w:spacing w:val="-2"/>
          <w:sz w:val="18"/>
          <w:szCs w:val="18"/>
          <w:lang w:val="en-US"/>
        </w:rPr>
        <w:t xml:space="preserve"> in the case file, this Court finds that it has not been proved that the People’s Republic of China has granted the necessary and sufficient </w:t>
      </w:r>
      <w:r w:rsidR="00947926" w:rsidRPr="008A1DB4">
        <w:rPr>
          <w:spacing w:val="-2"/>
          <w:sz w:val="18"/>
          <w:szCs w:val="18"/>
          <w:lang w:val="en-US"/>
        </w:rPr>
        <w:t>guarantees</w:t>
      </w:r>
      <w:r w:rsidRPr="008A1DB4">
        <w:rPr>
          <w:spacing w:val="-2"/>
          <w:sz w:val="18"/>
          <w:szCs w:val="18"/>
          <w:lang w:val="en-US"/>
        </w:rPr>
        <w:t xml:space="preserve"> to safeguard the right to life </w:t>
      </w:r>
      <w:r w:rsidR="00B43F84" w:rsidRPr="008A1DB4">
        <w:rPr>
          <w:spacing w:val="-2"/>
          <w:sz w:val="18"/>
          <w:szCs w:val="18"/>
          <w:lang w:val="en-US"/>
        </w:rPr>
        <w:t>of Wong</w:t>
      </w:r>
      <w:r w:rsidR="00FE32A6" w:rsidRPr="008A1DB4">
        <w:rPr>
          <w:spacing w:val="-2"/>
          <w:sz w:val="18"/>
          <w:szCs w:val="18"/>
          <w:lang w:val="en-US"/>
        </w:rPr>
        <w:t xml:space="preserve"> Ho Wing</w:t>
      </w:r>
      <w:r w:rsidR="00AB4E6D" w:rsidRPr="008A1DB4">
        <w:rPr>
          <w:spacing w:val="-2"/>
          <w:sz w:val="18"/>
          <w:szCs w:val="18"/>
          <w:lang w:val="en-US"/>
        </w:rPr>
        <w:t>.</w:t>
      </w:r>
      <w:r w:rsidR="00FE32A6" w:rsidRPr="008A1DB4">
        <w:rPr>
          <w:rStyle w:val="FootnoteReference"/>
          <w:spacing w:val="-2"/>
          <w:sz w:val="18"/>
          <w:szCs w:val="18"/>
          <w:lang w:val="en-US"/>
        </w:rPr>
        <w:footnoteReference w:id="102"/>
      </w:r>
    </w:p>
    <w:p w14:paraId="63FC215C" w14:textId="77777777" w:rsidR="00FE32A6" w:rsidRPr="008A1DB4" w:rsidRDefault="00FE32A6" w:rsidP="00956E97">
      <w:pPr>
        <w:pStyle w:val="ListParagraph"/>
        <w:tabs>
          <w:tab w:val="left" w:pos="567"/>
        </w:tabs>
        <w:ind w:left="0"/>
        <w:rPr>
          <w:spacing w:val="-2"/>
          <w:lang w:val="en-US"/>
        </w:rPr>
      </w:pPr>
    </w:p>
    <w:p w14:paraId="5A989F6F" w14:textId="2EEE5163" w:rsidR="00FE32A6" w:rsidRPr="008A1DB4" w:rsidRDefault="006E32CC" w:rsidP="00956E97">
      <w:pPr>
        <w:pStyle w:val="PrrafodeSentencia"/>
        <w:rPr>
          <w:spacing w:val="-2"/>
          <w:lang w:val="en-US"/>
        </w:rPr>
      </w:pPr>
      <w:bookmarkStart w:id="521" w:name="_Ref429129855"/>
      <w:r w:rsidRPr="008A1DB4">
        <w:rPr>
          <w:spacing w:val="-2"/>
          <w:lang w:val="en-US"/>
        </w:rPr>
        <w:t>The</w:t>
      </w:r>
      <w:r w:rsidR="00F36400" w:rsidRPr="008A1DB4">
        <w:rPr>
          <w:spacing w:val="-2"/>
          <w:lang w:val="en-US"/>
        </w:rPr>
        <w:t xml:space="preserve"> </w:t>
      </w:r>
      <w:r w:rsidR="00B43F84" w:rsidRPr="008A1DB4">
        <w:rPr>
          <w:spacing w:val="-2"/>
          <w:lang w:val="en-US"/>
        </w:rPr>
        <w:t>Constitutional Court</w:t>
      </w:r>
      <w:r w:rsidRPr="008A1DB4">
        <w:rPr>
          <w:spacing w:val="-2"/>
          <w:lang w:val="en-US"/>
        </w:rPr>
        <w:t xml:space="preserve"> also amended the legal grounds for</w:t>
      </w:r>
      <w:r w:rsidR="00AB4E6D" w:rsidRPr="008A1DB4">
        <w:rPr>
          <w:spacing w:val="-2"/>
          <w:lang w:val="en-US"/>
        </w:rPr>
        <w:t xml:space="preserve"> the</w:t>
      </w:r>
      <w:r w:rsidRPr="008A1DB4">
        <w:rPr>
          <w:spacing w:val="-2"/>
          <w:lang w:val="en-US"/>
        </w:rPr>
        <w:t xml:space="preserve"> </w:t>
      </w:r>
      <w:r w:rsidR="00653211" w:rsidRPr="008A1DB4">
        <w:rPr>
          <w:spacing w:val="-2"/>
          <w:lang w:val="en-US"/>
        </w:rPr>
        <w:t>recommendation that</w:t>
      </w:r>
      <w:r w:rsidR="00FE32A6" w:rsidRPr="008A1DB4">
        <w:rPr>
          <w:spacing w:val="-2"/>
          <w:lang w:val="en-US"/>
        </w:rPr>
        <w:t xml:space="preserve"> </w:t>
      </w:r>
      <w:r w:rsidR="001E7113" w:rsidRPr="008A1DB4">
        <w:rPr>
          <w:spacing w:val="-2"/>
          <w:lang w:val="en-US"/>
        </w:rPr>
        <w:t>Wong</w:t>
      </w:r>
      <w:r w:rsidR="00FE32A6" w:rsidRPr="008A1DB4">
        <w:rPr>
          <w:spacing w:val="-2"/>
          <w:lang w:val="en-US"/>
        </w:rPr>
        <w:t xml:space="preserve"> Ho Wing </w:t>
      </w:r>
      <w:r w:rsidR="00AB4E6D" w:rsidRPr="008A1DB4">
        <w:rPr>
          <w:spacing w:val="-2"/>
          <w:lang w:val="en-US"/>
        </w:rPr>
        <w:t xml:space="preserve">be tried in </w:t>
      </w:r>
      <w:r w:rsidR="00FE5E87" w:rsidRPr="008A1DB4">
        <w:rPr>
          <w:spacing w:val="-2"/>
          <w:lang w:val="en-US"/>
        </w:rPr>
        <w:t>Peru</w:t>
      </w:r>
      <w:r w:rsidR="00FE32A6" w:rsidRPr="008A1DB4">
        <w:rPr>
          <w:spacing w:val="-2"/>
          <w:lang w:val="en-US"/>
        </w:rPr>
        <w:t xml:space="preserve">, </w:t>
      </w:r>
      <w:r w:rsidR="00AB4E6D" w:rsidRPr="008A1DB4">
        <w:rPr>
          <w:spacing w:val="-2"/>
          <w:lang w:val="en-US"/>
        </w:rPr>
        <w:t>indicating that it was “pursuant to the provisions of a</w:t>
      </w:r>
      <w:r w:rsidR="00F36400" w:rsidRPr="008A1DB4">
        <w:rPr>
          <w:spacing w:val="-2"/>
          <w:lang w:val="en-US"/>
        </w:rPr>
        <w:t>rticle</w:t>
      </w:r>
      <w:r w:rsidR="00FE32A6" w:rsidRPr="008A1DB4">
        <w:rPr>
          <w:spacing w:val="-2"/>
          <w:lang w:val="en-US"/>
        </w:rPr>
        <w:t xml:space="preserve"> 3 </w:t>
      </w:r>
      <w:r w:rsidR="001E7113" w:rsidRPr="008A1DB4">
        <w:rPr>
          <w:spacing w:val="-2"/>
          <w:lang w:val="en-US"/>
        </w:rPr>
        <w:t xml:space="preserve">of the </w:t>
      </w:r>
      <w:r w:rsidR="00AB4E6D" w:rsidRPr="008A1DB4">
        <w:rPr>
          <w:spacing w:val="-2"/>
          <w:lang w:val="en-US"/>
        </w:rPr>
        <w:t xml:space="preserve">[Peruvian] </w:t>
      </w:r>
      <w:r w:rsidR="001E7113" w:rsidRPr="008A1DB4">
        <w:rPr>
          <w:spacing w:val="-2"/>
          <w:lang w:val="en-US"/>
        </w:rPr>
        <w:t>Criminal Code</w:t>
      </w:r>
      <w:r w:rsidR="00FE32A6" w:rsidRPr="008A1DB4">
        <w:rPr>
          <w:spacing w:val="-2"/>
          <w:lang w:val="en-US"/>
        </w:rPr>
        <w:t xml:space="preserve">” </w:t>
      </w:r>
      <w:r w:rsidR="00AB4E6D" w:rsidRPr="008A1DB4">
        <w:rPr>
          <w:spacing w:val="-2"/>
          <w:lang w:val="en-US"/>
        </w:rPr>
        <w:t>and not pursuant to a</w:t>
      </w:r>
      <w:r w:rsidR="00F36400" w:rsidRPr="008A1DB4">
        <w:rPr>
          <w:spacing w:val="-2"/>
          <w:lang w:val="en-US"/>
        </w:rPr>
        <w:t>rticle</w:t>
      </w:r>
      <w:r w:rsidR="00D26EB8" w:rsidRPr="008A1DB4">
        <w:rPr>
          <w:spacing w:val="-2"/>
          <w:lang w:val="en-US"/>
        </w:rPr>
        <w:t xml:space="preserve"> 4(a</w:t>
      </w:r>
      <w:r w:rsidR="00FE32A6" w:rsidRPr="008A1DB4">
        <w:rPr>
          <w:spacing w:val="-2"/>
          <w:lang w:val="en-US"/>
        </w:rPr>
        <w:t xml:space="preserve">) </w:t>
      </w:r>
      <w:r w:rsidR="00AB4E6D" w:rsidRPr="008A1DB4">
        <w:rPr>
          <w:spacing w:val="-2"/>
          <w:lang w:val="en-US"/>
        </w:rPr>
        <w:t>of the Extradition Treaty</w:t>
      </w:r>
      <w:r w:rsidR="00FE32A6" w:rsidRPr="008A1DB4">
        <w:rPr>
          <w:spacing w:val="-2"/>
          <w:lang w:val="en-US"/>
        </w:rPr>
        <w:t xml:space="preserve"> (</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_Ref402186809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83</w:t>
      </w:r>
      <w:r w:rsidR="00FE32A6" w:rsidRPr="008A1DB4">
        <w:rPr>
          <w:spacing w:val="-2"/>
          <w:lang w:val="en-US"/>
        </w:rPr>
        <w:fldChar w:fldCharType="end"/>
      </w:r>
      <w:r w:rsidR="00FE32A6" w:rsidRPr="008A1DB4">
        <w:rPr>
          <w:spacing w:val="-2"/>
          <w:lang w:val="en-US"/>
        </w:rPr>
        <w:t>)</w:t>
      </w:r>
      <w:r w:rsidR="00AB4E6D" w:rsidRPr="008A1DB4">
        <w:rPr>
          <w:spacing w:val="-2"/>
          <w:lang w:val="en-US"/>
        </w:rPr>
        <w:t>.</w:t>
      </w:r>
      <w:r w:rsidR="00FE32A6" w:rsidRPr="008A1DB4">
        <w:rPr>
          <w:rStyle w:val="FootnoteReference"/>
          <w:spacing w:val="-2"/>
          <w:lang w:val="en-US"/>
        </w:rPr>
        <w:footnoteReference w:id="103"/>
      </w:r>
      <w:bookmarkEnd w:id="521"/>
    </w:p>
    <w:p w14:paraId="2C295D70" w14:textId="77777777" w:rsidR="00FE32A6" w:rsidRPr="008A1DB4" w:rsidRDefault="00FE32A6" w:rsidP="00956E97">
      <w:pPr>
        <w:pStyle w:val="ListParagraph"/>
        <w:tabs>
          <w:tab w:val="left" w:pos="567"/>
        </w:tabs>
        <w:ind w:left="0"/>
        <w:rPr>
          <w:spacing w:val="-2"/>
          <w:lang w:val="en-US"/>
        </w:rPr>
      </w:pPr>
    </w:p>
    <w:p w14:paraId="49F24BAF" w14:textId="7D23BFBE" w:rsidR="00FE32A6" w:rsidRPr="008A1DB4" w:rsidRDefault="00FE32A6" w:rsidP="00956E97">
      <w:pPr>
        <w:pStyle w:val="Heading3"/>
        <w:rPr>
          <w:spacing w:val="-2"/>
          <w:lang w:val="en-US"/>
        </w:rPr>
      </w:pPr>
      <w:bookmarkStart w:id="522" w:name="_Toc419394393"/>
      <w:bookmarkStart w:id="523" w:name="_Toc419470159"/>
      <w:bookmarkStart w:id="524" w:name="_Toc429490259"/>
      <w:bookmarkStart w:id="525" w:name="_Toc429503771"/>
      <w:bookmarkStart w:id="526" w:name="_Toc429504277"/>
      <w:bookmarkStart w:id="527" w:name="_Toc429677990"/>
      <w:bookmarkStart w:id="528" w:name="_Toc430017153"/>
      <w:bookmarkStart w:id="529" w:name="_Toc430017382"/>
      <w:bookmarkStart w:id="530" w:name="_Toc430018664"/>
      <w:bookmarkStart w:id="531" w:name="_Toc430125262"/>
      <w:bookmarkStart w:id="532" w:name="_Toc430125370"/>
      <w:r w:rsidRPr="008A1DB4">
        <w:rPr>
          <w:spacing w:val="-2"/>
          <w:lang w:val="en-US"/>
        </w:rPr>
        <w:t xml:space="preserve">C.2.a) </w:t>
      </w:r>
      <w:r w:rsidR="00860B3A" w:rsidRPr="008A1DB4">
        <w:rPr>
          <w:spacing w:val="-2"/>
          <w:lang w:val="en-US"/>
        </w:rPr>
        <w:t>Subsequent request made by</w:t>
      </w:r>
      <w:r w:rsidR="00B43F84" w:rsidRPr="008A1DB4">
        <w:rPr>
          <w:spacing w:val="-2"/>
          <w:lang w:val="en-US"/>
        </w:rPr>
        <w:t xml:space="preserve"> Executive Branch</w:t>
      </w:r>
      <w:bookmarkEnd w:id="522"/>
      <w:bookmarkEnd w:id="523"/>
      <w:bookmarkEnd w:id="524"/>
      <w:bookmarkEnd w:id="525"/>
      <w:bookmarkEnd w:id="526"/>
      <w:bookmarkEnd w:id="527"/>
      <w:bookmarkEnd w:id="528"/>
      <w:bookmarkEnd w:id="529"/>
      <w:bookmarkEnd w:id="530"/>
      <w:bookmarkEnd w:id="531"/>
      <w:bookmarkEnd w:id="532"/>
    </w:p>
    <w:p w14:paraId="6F4E42AD" w14:textId="77777777" w:rsidR="00FE32A6" w:rsidRPr="008A1DB4" w:rsidRDefault="00FE32A6" w:rsidP="00956E97">
      <w:pPr>
        <w:pStyle w:val="ListParagraph"/>
        <w:tabs>
          <w:tab w:val="left" w:pos="567"/>
        </w:tabs>
        <w:ind w:left="0"/>
        <w:rPr>
          <w:spacing w:val="-2"/>
          <w:lang w:val="en-US"/>
        </w:rPr>
      </w:pPr>
    </w:p>
    <w:p w14:paraId="2860D957" w14:textId="1EACA2B7" w:rsidR="00FE32A6" w:rsidRPr="008A1DB4" w:rsidRDefault="00653211" w:rsidP="00956E97">
      <w:pPr>
        <w:pStyle w:val="PrrafodeSentencia"/>
        <w:rPr>
          <w:spacing w:val="-2"/>
          <w:lang w:val="en-US"/>
        </w:rPr>
      </w:pPr>
      <w:bookmarkStart w:id="533" w:name="_Ref398658699"/>
      <w:r w:rsidRPr="008A1DB4">
        <w:rPr>
          <w:spacing w:val="-2"/>
          <w:lang w:val="en-US"/>
        </w:rPr>
        <w:t xml:space="preserve">Following the </w:t>
      </w:r>
      <w:r w:rsidR="003708EA">
        <w:rPr>
          <w:spacing w:val="-2"/>
          <w:lang w:val="en-US"/>
        </w:rPr>
        <w:t>judgment</w:t>
      </w:r>
      <w:r w:rsidR="005868A4" w:rsidRPr="008A1DB4">
        <w:rPr>
          <w:spacing w:val="-2"/>
          <w:lang w:val="en-US"/>
        </w:rPr>
        <w:t xml:space="preserve"> of the Constitutional</w:t>
      </w:r>
      <w:r w:rsidR="00B43F84" w:rsidRPr="008A1DB4">
        <w:rPr>
          <w:spacing w:val="-2"/>
          <w:lang w:val="en-US"/>
        </w:rPr>
        <w:t xml:space="preserve"> Court</w:t>
      </w:r>
      <w:r w:rsidR="00FE32A6" w:rsidRPr="008A1DB4">
        <w:rPr>
          <w:spacing w:val="-2"/>
          <w:lang w:val="en-US"/>
        </w:rPr>
        <w:t xml:space="preserve">, </w:t>
      </w:r>
      <w:r w:rsidR="00B43F84" w:rsidRPr="008A1DB4">
        <w:rPr>
          <w:spacing w:val="-2"/>
          <w:lang w:val="en-US"/>
        </w:rPr>
        <w:t>the Executive Branch</w:t>
      </w:r>
      <w:r w:rsidR="00FE32A6" w:rsidRPr="008A1DB4">
        <w:rPr>
          <w:spacing w:val="-2"/>
          <w:lang w:val="en-US"/>
        </w:rPr>
        <w:t xml:space="preserve"> </w:t>
      </w:r>
      <w:r w:rsidRPr="008A1DB4">
        <w:rPr>
          <w:spacing w:val="-2"/>
          <w:lang w:val="en-US"/>
        </w:rPr>
        <w:t xml:space="preserve">filed various judicial remedies to clarify the way in which this decision should be executed. </w:t>
      </w:r>
      <w:r w:rsidR="00AB4E6D" w:rsidRPr="008A1DB4">
        <w:rPr>
          <w:spacing w:val="-2"/>
          <w:lang w:val="en-US"/>
        </w:rPr>
        <w:t xml:space="preserve">On </w:t>
      </w:r>
      <w:r w:rsidR="00FE5E87" w:rsidRPr="008A1DB4">
        <w:rPr>
          <w:spacing w:val="-2"/>
          <w:lang w:val="en-US"/>
        </w:rPr>
        <w:t xml:space="preserve">November </w:t>
      </w:r>
      <w:r w:rsidR="00AB4E6D" w:rsidRPr="008A1DB4">
        <w:rPr>
          <w:spacing w:val="-2"/>
          <w:lang w:val="en-US"/>
        </w:rPr>
        <w:t>2</w:t>
      </w:r>
      <w:r w:rsidR="00FE5E87" w:rsidRPr="008A1DB4">
        <w:rPr>
          <w:spacing w:val="-2"/>
          <w:lang w:val="en-US"/>
        </w:rPr>
        <w:t>5,</w:t>
      </w:r>
      <w:r w:rsidR="00FE32A6" w:rsidRPr="008A1DB4">
        <w:rPr>
          <w:spacing w:val="-2"/>
          <w:lang w:val="en-US"/>
        </w:rPr>
        <w:t xml:space="preserve"> 2011</w:t>
      </w:r>
      <w:r w:rsidRPr="008A1DB4">
        <w:rPr>
          <w:spacing w:val="-2"/>
          <w:lang w:val="en-US"/>
        </w:rPr>
        <w:t>, the representative</w:t>
      </w:r>
      <w:r w:rsidR="00FE32A6" w:rsidRPr="008A1DB4">
        <w:rPr>
          <w:spacing w:val="-2"/>
          <w:lang w:val="en-US"/>
        </w:rPr>
        <w:t xml:space="preserve"> </w:t>
      </w:r>
      <w:r w:rsidR="00671326" w:rsidRPr="008A1DB4">
        <w:rPr>
          <w:spacing w:val="-2"/>
          <w:lang w:val="en-US"/>
        </w:rPr>
        <w:t xml:space="preserve">of the </w:t>
      </w:r>
      <w:r w:rsidR="002D1CFC" w:rsidRPr="008A1DB4">
        <w:rPr>
          <w:spacing w:val="-2"/>
          <w:lang w:val="en-US"/>
        </w:rPr>
        <w:t>Ministry of Justice</w:t>
      </w:r>
      <w:r w:rsidRPr="008A1DB4">
        <w:rPr>
          <w:spacing w:val="-2"/>
          <w:lang w:val="en-US"/>
        </w:rPr>
        <w:t xml:space="preserve"> presented a brief in the procedure of execution of the judgment </w:t>
      </w:r>
      <w:r w:rsidR="00C45946" w:rsidRPr="008A1DB4">
        <w:rPr>
          <w:spacing w:val="-2"/>
          <w:lang w:val="en-US"/>
        </w:rPr>
        <w:t xml:space="preserve">of the </w:t>
      </w:r>
      <w:r w:rsidR="00B43F84" w:rsidRPr="008A1DB4">
        <w:rPr>
          <w:spacing w:val="-2"/>
          <w:lang w:val="en-US"/>
        </w:rPr>
        <w:t>Constitutional Court</w:t>
      </w:r>
      <w:r w:rsidR="00FE32A6" w:rsidRPr="008A1DB4">
        <w:rPr>
          <w:spacing w:val="-2"/>
          <w:lang w:val="en-US"/>
        </w:rPr>
        <w:t xml:space="preserve">, </w:t>
      </w:r>
      <w:r w:rsidRPr="008A1DB4">
        <w:rPr>
          <w:spacing w:val="-2"/>
          <w:lang w:val="en-US"/>
        </w:rPr>
        <w:t xml:space="preserve">indicating that the prohibition to extradite Wong Ho Wing imposed by </w:t>
      </w:r>
      <w:r w:rsidR="00F36400" w:rsidRPr="008A1DB4">
        <w:rPr>
          <w:spacing w:val="-2"/>
          <w:lang w:val="en-US"/>
        </w:rPr>
        <w:t xml:space="preserve">the </w:t>
      </w:r>
      <w:r w:rsidR="00B43F84" w:rsidRPr="008A1DB4">
        <w:rPr>
          <w:spacing w:val="-2"/>
          <w:lang w:val="en-US"/>
        </w:rPr>
        <w:t>Constitutional Court</w:t>
      </w:r>
      <w:r w:rsidRPr="008A1DB4">
        <w:rPr>
          <w:spacing w:val="-2"/>
          <w:lang w:val="en-US"/>
        </w:rPr>
        <w:t xml:space="preserve"> was “applicable only to the possibility of extradition for the offense of evasion of customs duty or smuggling and not with regard to the offense of bribery, for which the possibility of imposing the death penalty is not established.</w:t>
      </w:r>
      <w:r w:rsidR="00FE32A6" w:rsidRPr="008A1DB4">
        <w:rPr>
          <w:spacing w:val="-2"/>
          <w:lang w:val="en-US"/>
        </w:rPr>
        <w:t>”</w:t>
      </w:r>
      <w:r w:rsidR="00FE32A6" w:rsidRPr="008A1DB4">
        <w:rPr>
          <w:rStyle w:val="FootnoteReference"/>
          <w:spacing w:val="-2"/>
          <w:lang w:val="en-US"/>
        </w:rPr>
        <w:footnoteReference w:id="104"/>
      </w:r>
      <w:r w:rsidR="00FE32A6" w:rsidRPr="008A1DB4">
        <w:rPr>
          <w:spacing w:val="-2"/>
          <w:lang w:val="en-US"/>
        </w:rPr>
        <w:t xml:space="preserve"> </w:t>
      </w:r>
      <w:r w:rsidRPr="008A1DB4">
        <w:rPr>
          <w:spacing w:val="-2"/>
          <w:lang w:val="en-US"/>
        </w:rPr>
        <w:t>Therefore, it asked the</w:t>
      </w:r>
      <w:r w:rsidR="00FE32A6" w:rsidRPr="008A1DB4">
        <w:rPr>
          <w:spacing w:val="-2"/>
          <w:lang w:val="en-US"/>
        </w:rPr>
        <w:t xml:space="preserve"> </w:t>
      </w:r>
      <w:r w:rsidR="00AB4E6D" w:rsidRPr="008A1DB4">
        <w:rPr>
          <w:spacing w:val="-2"/>
          <w:lang w:val="en-US"/>
        </w:rPr>
        <w:t>42nd Special Criminal Court</w:t>
      </w:r>
      <w:r w:rsidR="00F36400" w:rsidRPr="008A1DB4">
        <w:rPr>
          <w:spacing w:val="-2"/>
          <w:lang w:val="en-US"/>
        </w:rPr>
        <w:t xml:space="preserve"> of the </w:t>
      </w:r>
      <w:r w:rsidR="00E022F9" w:rsidRPr="008A1DB4">
        <w:rPr>
          <w:spacing w:val="-2"/>
          <w:lang w:val="en-US"/>
        </w:rPr>
        <w:t>Superior Court of Justice of</w:t>
      </w:r>
      <w:r w:rsidR="00FE32A6" w:rsidRPr="008A1DB4">
        <w:rPr>
          <w:spacing w:val="-2"/>
          <w:lang w:val="en-US"/>
        </w:rPr>
        <w:t xml:space="preserve"> Lima </w:t>
      </w:r>
      <w:r w:rsidRPr="008A1DB4">
        <w:rPr>
          <w:spacing w:val="-2"/>
          <w:lang w:val="en-US"/>
        </w:rPr>
        <w:t>to take the foregoing into account and to rule “that this corresponds to the execution of judgment.</w:t>
      </w:r>
      <w:r w:rsidR="00FE32A6" w:rsidRPr="008A1DB4">
        <w:rPr>
          <w:spacing w:val="-2"/>
          <w:lang w:val="en-US"/>
        </w:rPr>
        <w:t>”</w:t>
      </w:r>
      <w:r w:rsidR="00FE32A6" w:rsidRPr="008A1DB4">
        <w:rPr>
          <w:rStyle w:val="FootnoteReference"/>
          <w:spacing w:val="-2"/>
          <w:lang w:val="en-US"/>
        </w:rPr>
        <w:footnoteReference w:id="105"/>
      </w:r>
      <w:r w:rsidR="00FE32A6" w:rsidRPr="008A1DB4">
        <w:rPr>
          <w:spacing w:val="-2"/>
          <w:lang w:val="en-US"/>
        </w:rPr>
        <w:t xml:space="preserve"> </w:t>
      </w:r>
      <w:r w:rsidR="00AB4E6D" w:rsidRPr="008A1DB4">
        <w:rPr>
          <w:spacing w:val="-2"/>
          <w:lang w:val="en-US"/>
        </w:rPr>
        <w:t>On November 30,</w:t>
      </w:r>
      <w:r w:rsidR="00FE32A6" w:rsidRPr="008A1DB4">
        <w:rPr>
          <w:spacing w:val="-2"/>
          <w:lang w:val="en-US"/>
        </w:rPr>
        <w:t xml:space="preserve"> 2011</w:t>
      </w:r>
      <w:r w:rsidR="00AB4E6D" w:rsidRPr="008A1DB4">
        <w:rPr>
          <w:spacing w:val="-2"/>
          <w:lang w:val="en-US"/>
        </w:rPr>
        <w:t>,</w:t>
      </w:r>
      <w:r w:rsidR="00FE32A6" w:rsidRPr="008A1DB4">
        <w:rPr>
          <w:spacing w:val="-2"/>
          <w:lang w:val="en-US"/>
        </w:rPr>
        <w:t xml:space="preserve"> </w:t>
      </w:r>
      <w:r w:rsidRPr="008A1DB4">
        <w:rPr>
          <w:spacing w:val="-2"/>
          <w:lang w:val="en-US"/>
        </w:rPr>
        <w:t xml:space="preserve">it declared that the “request for clarification (definition) of the scope of the mandate </w:t>
      </w:r>
      <w:r w:rsidR="00C45946" w:rsidRPr="008A1DB4">
        <w:rPr>
          <w:spacing w:val="-2"/>
          <w:lang w:val="en-US"/>
        </w:rPr>
        <w:t xml:space="preserve">of the </w:t>
      </w:r>
      <w:r w:rsidR="00B43F84" w:rsidRPr="008A1DB4">
        <w:rPr>
          <w:spacing w:val="-2"/>
          <w:lang w:val="en-US"/>
        </w:rPr>
        <w:t>Constitutional Court</w:t>
      </w:r>
      <w:r w:rsidR="00FE32A6" w:rsidRPr="008A1DB4">
        <w:rPr>
          <w:spacing w:val="-2"/>
          <w:lang w:val="en-US"/>
        </w:rPr>
        <w:t>”</w:t>
      </w:r>
      <w:r w:rsidRPr="008A1DB4">
        <w:rPr>
          <w:spacing w:val="-2"/>
          <w:lang w:val="en-US"/>
        </w:rPr>
        <w:t xml:space="preserve"> was </w:t>
      </w:r>
      <w:r w:rsidR="00947926" w:rsidRPr="008A1DB4">
        <w:rPr>
          <w:spacing w:val="-2"/>
          <w:lang w:val="en-US"/>
        </w:rPr>
        <w:t>inadmissible</w:t>
      </w:r>
      <w:r w:rsidRPr="008A1DB4">
        <w:rPr>
          <w:spacing w:val="-2"/>
          <w:lang w:val="en-US"/>
        </w:rPr>
        <w:t>.</w:t>
      </w:r>
      <w:r w:rsidR="00FE32A6" w:rsidRPr="008A1DB4">
        <w:rPr>
          <w:rStyle w:val="FootnoteReference"/>
          <w:spacing w:val="-2"/>
          <w:lang w:val="en-US"/>
        </w:rPr>
        <w:footnoteReference w:id="106"/>
      </w:r>
      <w:r w:rsidRPr="008A1DB4">
        <w:rPr>
          <w:spacing w:val="-2"/>
          <w:lang w:val="en-US"/>
        </w:rPr>
        <w:t xml:space="preserve"> The representative </w:t>
      </w:r>
      <w:r w:rsidR="00671326" w:rsidRPr="008A1DB4">
        <w:rPr>
          <w:spacing w:val="-2"/>
          <w:lang w:val="en-US"/>
        </w:rPr>
        <w:t xml:space="preserve">of the </w:t>
      </w:r>
      <w:r w:rsidR="002D1CFC" w:rsidRPr="008A1DB4">
        <w:rPr>
          <w:spacing w:val="-2"/>
          <w:lang w:val="en-US"/>
        </w:rPr>
        <w:t>Ministry of Justice</w:t>
      </w:r>
      <w:r w:rsidR="00FE32A6" w:rsidRPr="008A1DB4">
        <w:rPr>
          <w:spacing w:val="-2"/>
          <w:lang w:val="en-US"/>
        </w:rPr>
        <w:t xml:space="preserve"> </w:t>
      </w:r>
      <w:r w:rsidRPr="008A1DB4">
        <w:rPr>
          <w:spacing w:val="-2"/>
          <w:lang w:val="en-US"/>
        </w:rPr>
        <w:t xml:space="preserve">appealed this decision </w:t>
      </w:r>
      <w:r w:rsidR="00F36400" w:rsidRPr="008A1DB4">
        <w:rPr>
          <w:spacing w:val="-2"/>
          <w:lang w:val="en-US"/>
        </w:rPr>
        <w:t>and</w:t>
      </w:r>
      <w:r w:rsidRPr="008A1DB4">
        <w:rPr>
          <w:spacing w:val="-2"/>
          <w:lang w:val="en-US"/>
        </w:rPr>
        <w:t>,</w:t>
      </w:r>
      <w:r w:rsidR="00F36400" w:rsidRPr="008A1DB4">
        <w:rPr>
          <w:spacing w:val="-2"/>
          <w:lang w:val="en-US"/>
        </w:rPr>
        <w:t xml:space="preserve"> </w:t>
      </w:r>
      <w:r w:rsidR="00AB4E6D" w:rsidRPr="008A1DB4">
        <w:rPr>
          <w:spacing w:val="-2"/>
          <w:lang w:val="en-US"/>
        </w:rPr>
        <w:t>on February 20,</w:t>
      </w:r>
      <w:r w:rsidR="00FE32A6" w:rsidRPr="008A1DB4">
        <w:rPr>
          <w:spacing w:val="-2"/>
          <w:lang w:val="en-US"/>
        </w:rPr>
        <w:t xml:space="preserve"> 2012</w:t>
      </w:r>
      <w:r w:rsidR="00AB4E6D" w:rsidRPr="008A1DB4">
        <w:rPr>
          <w:spacing w:val="-2"/>
          <w:lang w:val="en-US"/>
        </w:rPr>
        <w:t>, the</w:t>
      </w:r>
      <w:r w:rsidR="00FE32A6" w:rsidRPr="008A1DB4">
        <w:rPr>
          <w:spacing w:val="-2"/>
          <w:lang w:val="en-US"/>
        </w:rPr>
        <w:t xml:space="preserve"> “</w:t>
      </w:r>
      <w:r w:rsidR="003708EA">
        <w:rPr>
          <w:spacing w:val="-2"/>
          <w:lang w:val="en-US"/>
        </w:rPr>
        <w:t>Criminal Chamber for proceedings involving de</w:t>
      </w:r>
      <w:r w:rsidR="00BB44A4" w:rsidRPr="008A1DB4">
        <w:rPr>
          <w:spacing w:val="-2"/>
          <w:lang w:val="en-US"/>
        </w:rPr>
        <w:t xml:space="preserve">tainees” confirmed this decision. In </w:t>
      </w:r>
      <w:r w:rsidR="00FE32A6" w:rsidRPr="008A1DB4">
        <w:rPr>
          <w:spacing w:val="-2"/>
          <w:lang w:val="en-US"/>
        </w:rPr>
        <w:t xml:space="preserve">particular, </w:t>
      </w:r>
      <w:r w:rsidR="00BB44A4" w:rsidRPr="008A1DB4">
        <w:rPr>
          <w:spacing w:val="-2"/>
          <w:lang w:val="en-US"/>
        </w:rPr>
        <w:t xml:space="preserve">the Chamber indicated that “under </w:t>
      </w:r>
      <w:r w:rsidR="00AB4E6D" w:rsidRPr="008A1DB4">
        <w:rPr>
          <w:spacing w:val="-2"/>
          <w:lang w:val="en-US"/>
        </w:rPr>
        <w:t>a</w:t>
      </w:r>
      <w:r w:rsidR="0058668C" w:rsidRPr="008A1DB4">
        <w:rPr>
          <w:spacing w:val="-2"/>
          <w:lang w:val="en-US"/>
        </w:rPr>
        <w:t>rticle</w:t>
      </w:r>
      <w:r w:rsidR="00FE32A6" w:rsidRPr="008A1DB4">
        <w:rPr>
          <w:spacing w:val="-2"/>
          <w:lang w:val="en-US"/>
        </w:rPr>
        <w:t xml:space="preserve"> [4] </w:t>
      </w:r>
      <w:r w:rsidR="00BB44A4" w:rsidRPr="008A1DB4">
        <w:rPr>
          <w:spacing w:val="-2"/>
          <w:lang w:val="en-US"/>
        </w:rPr>
        <w:t xml:space="preserve">of the Organic Law </w:t>
      </w:r>
      <w:r w:rsidR="00E022F9" w:rsidRPr="008A1DB4">
        <w:rPr>
          <w:spacing w:val="-2"/>
          <w:lang w:val="en-US"/>
        </w:rPr>
        <w:t>of the Judiciary</w:t>
      </w:r>
      <w:r w:rsidR="00FE32A6" w:rsidRPr="008A1DB4">
        <w:rPr>
          <w:spacing w:val="-2"/>
          <w:lang w:val="en-US"/>
        </w:rPr>
        <w:t xml:space="preserve">, </w:t>
      </w:r>
      <w:r w:rsidR="00BB44A4" w:rsidRPr="008A1DB4">
        <w:rPr>
          <w:spacing w:val="-2"/>
          <w:lang w:val="en-US"/>
        </w:rPr>
        <w:t>the content of a judgment is immutable, apart from the exceptions established by law.</w:t>
      </w:r>
      <w:r w:rsidR="00FE32A6" w:rsidRPr="008A1DB4">
        <w:rPr>
          <w:spacing w:val="-2"/>
          <w:lang w:val="en-US"/>
        </w:rPr>
        <w:t>”</w:t>
      </w:r>
      <w:r w:rsidR="00FE32A6" w:rsidRPr="008A1DB4">
        <w:rPr>
          <w:rStyle w:val="FootnoteReference"/>
          <w:spacing w:val="-2"/>
          <w:lang w:val="en-US"/>
        </w:rPr>
        <w:footnoteReference w:id="107"/>
      </w:r>
      <w:r w:rsidR="00FE32A6" w:rsidRPr="008A1DB4">
        <w:rPr>
          <w:spacing w:val="-2"/>
          <w:lang w:val="en-US"/>
        </w:rPr>
        <w:t xml:space="preserve"> </w:t>
      </w:r>
      <w:r w:rsidR="00BB44A4" w:rsidRPr="008A1DB4">
        <w:rPr>
          <w:spacing w:val="-2"/>
          <w:lang w:val="en-US"/>
        </w:rPr>
        <w:t>The representative</w:t>
      </w:r>
      <w:r w:rsidR="00671326" w:rsidRPr="008A1DB4">
        <w:rPr>
          <w:spacing w:val="-2"/>
          <w:lang w:val="en-US"/>
        </w:rPr>
        <w:t xml:space="preserve"> of the </w:t>
      </w:r>
      <w:r w:rsidR="002D1CFC" w:rsidRPr="008A1DB4">
        <w:rPr>
          <w:spacing w:val="-2"/>
          <w:lang w:val="en-US"/>
        </w:rPr>
        <w:t>Ministry of Justice</w:t>
      </w:r>
      <w:r w:rsidR="00FE32A6" w:rsidRPr="008A1DB4">
        <w:rPr>
          <w:spacing w:val="-2"/>
          <w:lang w:val="en-US"/>
        </w:rPr>
        <w:t xml:space="preserve"> </w:t>
      </w:r>
      <w:r w:rsidR="003708EA">
        <w:rPr>
          <w:spacing w:val="-2"/>
          <w:lang w:val="en-US"/>
        </w:rPr>
        <w:t xml:space="preserve">filed an appeal based on </w:t>
      </w:r>
      <w:r w:rsidR="00BB44A4" w:rsidRPr="008A1DB4">
        <w:rPr>
          <w:spacing w:val="-2"/>
          <w:lang w:val="en-US"/>
        </w:rPr>
        <w:t xml:space="preserve">constitutional </w:t>
      </w:r>
      <w:r w:rsidR="003708EA">
        <w:rPr>
          <w:spacing w:val="-2"/>
          <w:lang w:val="en-US"/>
        </w:rPr>
        <w:t>injury</w:t>
      </w:r>
      <w:r w:rsidR="00BB44A4" w:rsidRPr="008A1DB4">
        <w:rPr>
          <w:spacing w:val="-2"/>
          <w:lang w:val="en-US"/>
        </w:rPr>
        <w:t xml:space="preserve"> requesting an interpretation of the judgment</w:t>
      </w:r>
      <w:r w:rsidR="00C45946" w:rsidRPr="008A1DB4">
        <w:rPr>
          <w:spacing w:val="-2"/>
          <w:lang w:val="en-US"/>
        </w:rPr>
        <w:t xml:space="preserve"> of the </w:t>
      </w:r>
      <w:r w:rsidR="00B43F84" w:rsidRPr="008A1DB4">
        <w:rPr>
          <w:spacing w:val="-2"/>
          <w:lang w:val="en-US"/>
        </w:rPr>
        <w:t>Constitutional Court</w:t>
      </w:r>
      <w:r w:rsidR="00FE32A6" w:rsidRPr="008A1DB4">
        <w:rPr>
          <w:spacing w:val="-2"/>
          <w:lang w:val="en-US"/>
        </w:rPr>
        <w:t xml:space="preserve"> (</w:t>
      </w:r>
      <w:r w:rsidR="00FE32A6" w:rsidRPr="008A1DB4">
        <w:rPr>
          <w:i/>
          <w:spacing w:val="-2"/>
          <w:lang w:val="en-US"/>
        </w:rPr>
        <w:t xml:space="preserve">infra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_Ref398658665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90</w:t>
      </w:r>
      <w:r w:rsidR="00FE32A6" w:rsidRPr="008A1DB4">
        <w:rPr>
          <w:spacing w:val="-2"/>
          <w:lang w:val="en-US"/>
        </w:rPr>
        <w:fldChar w:fldCharType="end"/>
      </w:r>
      <w:r w:rsidR="00FE32A6" w:rsidRPr="008A1DB4">
        <w:rPr>
          <w:spacing w:val="-2"/>
          <w:lang w:val="en-US"/>
        </w:rPr>
        <w:t>)</w:t>
      </w:r>
      <w:r w:rsidR="00AB4E6D" w:rsidRPr="008A1DB4">
        <w:rPr>
          <w:spacing w:val="-2"/>
          <w:lang w:val="en-US"/>
        </w:rPr>
        <w:t>.</w:t>
      </w:r>
      <w:r w:rsidR="00FE32A6" w:rsidRPr="008A1DB4">
        <w:rPr>
          <w:rStyle w:val="FootnoteReference"/>
          <w:spacing w:val="-2"/>
          <w:lang w:val="en-US"/>
        </w:rPr>
        <w:footnoteReference w:id="108"/>
      </w:r>
      <w:bookmarkEnd w:id="533"/>
      <w:r w:rsidR="00FE32A6" w:rsidRPr="008A1DB4">
        <w:rPr>
          <w:color w:val="7030A0"/>
          <w:spacing w:val="-2"/>
          <w:lang w:val="en-US"/>
        </w:rPr>
        <w:t xml:space="preserve"> </w:t>
      </w:r>
    </w:p>
    <w:p w14:paraId="267EA710" w14:textId="77777777" w:rsidR="00FE32A6" w:rsidRPr="008A1DB4" w:rsidRDefault="00FE32A6" w:rsidP="00956E97">
      <w:pPr>
        <w:pStyle w:val="ListParagraph"/>
        <w:tabs>
          <w:tab w:val="left" w:pos="567"/>
        </w:tabs>
        <w:ind w:left="0"/>
        <w:rPr>
          <w:spacing w:val="-2"/>
          <w:szCs w:val="20"/>
          <w:lang w:val="en-US"/>
        </w:rPr>
      </w:pPr>
    </w:p>
    <w:p w14:paraId="63DBDD16" w14:textId="48669392" w:rsidR="00FE32A6" w:rsidRPr="008A1DB4" w:rsidRDefault="00AB4E6D" w:rsidP="00956E97">
      <w:pPr>
        <w:pStyle w:val="PrrafodeSentencia"/>
        <w:rPr>
          <w:spacing w:val="-2"/>
          <w:lang w:val="en-US"/>
        </w:rPr>
      </w:pPr>
      <w:bookmarkStart w:id="534" w:name="_Ref429756572"/>
      <w:r w:rsidRPr="008A1DB4">
        <w:rPr>
          <w:spacing w:val="-2"/>
          <w:lang w:val="en-US"/>
        </w:rPr>
        <w:t>On December 22,</w:t>
      </w:r>
      <w:r w:rsidR="006C254B" w:rsidRPr="008A1DB4">
        <w:rPr>
          <w:spacing w:val="-2"/>
          <w:lang w:val="en-US"/>
        </w:rPr>
        <w:t xml:space="preserve"> 2011</w:t>
      </w:r>
      <w:r w:rsidRPr="008A1DB4">
        <w:rPr>
          <w:spacing w:val="-2"/>
          <w:lang w:val="en-US"/>
        </w:rPr>
        <w:t>,</w:t>
      </w:r>
      <w:r w:rsidR="006C254B" w:rsidRPr="008A1DB4">
        <w:rPr>
          <w:spacing w:val="-2"/>
          <w:lang w:val="en-US"/>
        </w:rPr>
        <w:t xml:space="preserve"> </w:t>
      </w:r>
      <w:r w:rsidR="00E022F9" w:rsidRPr="008A1DB4">
        <w:rPr>
          <w:spacing w:val="-2"/>
          <w:lang w:val="en-US"/>
        </w:rPr>
        <w:t>the Embassy</w:t>
      </w:r>
      <w:r w:rsidR="002D1CFC" w:rsidRPr="008A1DB4">
        <w:rPr>
          <w:spacing w:val="-2"/>
          <w:lang w:val="en-US"/>
        </w:rPr>
        <w:t xml:space="preserve"> of the </w:t>
      </w:r>
      <w:r w:rsidR="00FE5E87" w:rsidRPr="008A1DB4">
        <w:rPr>
          <w:spacing w:val="-2"/>
          <w:lang w:val="en-US"/>
        </w:rPr>
        <w:t>People’s Republic of China</w:t>
      </w:r>
      <w:r w:rsidR="00BB44A4" w:rsidRPr="008A1DB4">
        <w:rPr>
          <w:spacing w:val="-2"/>
          <w:lang w:val="en-US"/>
        </w:rPr>
        <w:t xml:space="preserve"> forwarded “the documents relating to the pertinent legal </w:t>
      </w:r>
      <w:r w:rsidR="003708EA">
        <w:rPr>
          <w:spacing w:val="-2"/>
          <w:lang w:val="en-US"/>
        </w:rPr>
        <w:t>provisions</w:t>
      </w:r>
      <w:r w:rsidR="00BB44A4" w:rsidRPr="008A1DB4">
        <w:rPr>
          <w:spacing w:val="-2"/>
          <w:lang w:val="en-US"/>
        </w:rPr>
        <w:t xml:space="preserve">, [including </w:t>
      </w:r>
      <w:r w:rsidRPr="008A1DB4">
        <w:rPr>
          <w:spacing w:val="-2"/>
          <w:lang w:val="en-US"/>
        </w:rPr>
        <w:t>a</w:t>
      </w:r>
      <w:r w:rsidR="00F36400" w:rsidRPr="008A1DB4">
        <w:rPr>
          <w:spacing w:val="-2"/>
          <w:lang w:val="en-US"/>
        </w:rPr>
        <w:t>rticle</w:t>
      </w:r>
      <w:r w:rsidR="00FE32A6" w:rsidRPr="008A1DB4">
        <w:rPr>
          <w:spacing w:val="-2"/>
          <w:lang w:val="en-US"/>
        </w:rPr>
        <w:t xml:space="preserve"> 12 </w:t>
      </w:r>
      <w:r w:rsidR="00BB44A4" w:rsidRPr="008A1DB4">
        <w:rPr>
          <w:spacing w:val="-2"/>
          <w:lang w:val="en-US"/>
        </w:rPr>
        <w:t xml:space="preserve">regarding the retroactivity of criminal law,] and clarification on [the application] of </w:t>
      </w:r>
      <w:r w:rsidRPr="008A1DB4">
        <w:rPr>
          <w:spacing w:val="-2"/>
          <w:lang w:val="en-US"/>
        </w:rPr>
        <w:t>the eighth amendment</w:t>
      </w:r>
      <w:r w:rsidR="00FE32A6" w:rsidRPr="008A1DB4">
        <w:rPr>
          <w:spacing w:val="-2"/>
          <w:lang w:val="en-US"/>
        </w:rPr>
        <w:t xml:space="preserve"> </w:t>
      </w:r>
      <w:r w:rsidR="001E7113" w:rsidRPr="008A1DB4">
        <w:rPr>
          <w:spacing w:val="-2"/>
          <w:lang w:val="en-US"/>
        </w:rPr>
        <w:t xml:space="preserve">of the </w:t>
      </w:r>
      <w:r w:rsidR="00087CF8" w:rsidRPr="008A1DB4">
        <w:rPr>
          <w:spacing w:val="-2"/>
          <w:lang w:val="en-US"/>
        </w:rPr>
        <w:t>Chinese Criminal Code</w:t>
      </w:r>
      <w:r w:rsidR="00FE32A6" w:rsidRPr="008A1DB4">
        <w:rPr>
          <w:spacing w:val="-2"/>
          <w:lang w:val="en-US"/>
        </w:rPr>
        <w:t xml:space="preserve">, </w:t>
      </w:r>
      <w:r w:rsidR="00BB44A4" w:rsidRPr="008A1DB4">
        <w:rPr>
          <w:spacing w:val="-2"/>
          <w:lang w:val="en-US"/>
        </w:rPr>
        <w:t>issued by the</w:t>
      </w:r>
      <w:r w:rsidR="00FE32A6" w:rsidRPr="008A1DB4">
        <w:rPr>
          <w:spacing w:val="-2"/>
          <w:lang w:val="en-US"/>
        </w:rPr>
        <w:t xml:space="preserve"> [</w:t>
      </w:r>
      <w:r w:rsidRPr="008A1DB4">
        <w:rPr>
          <w:spacing w:val="-2"/>
          <w:lang w:val="en-US"/>
        </w:rPr>
        <w:t>People’s Supreme Court</w:t>
      </w:r>
      <w:r w:rsidR="00FE32A6" w:rsidRPr="008A1DB4">
        <w:rPr>
          <w:spacing w:val="-2"/>
          <w:lang w:val="en-US"/>
        </w:rPr>
        <w:t>]</w:t>
      </w:r>
      <w:r w:rsidR="002D1CFC" w:rsidRPr="008A1DB4">
        <w:rPr>
          <w:spacing w:val="-2"/>
          <w:lang w:val="en-US"/>
        </w:rPr>
        <w:t xml:space="preserve"> of the </w:t>
      </w:r>
      <w:r w:rsidR="00FE5E87" w:rsidRPr="008A1DB4">
        <w:rPr>
          <w:spacing w:val="-2"/>
          <w:lang w:val="en-US"/>
        </w:rPr>
        <w:t>People’s Republic of China</w:t>
      </w:r>
      <w:r w:rsidRPr="008A1DB4">
        <w:rPr>
          <w:spacing w:val="-2"/>
          <w:lang w:val="en-US"/>
        </w:rPr>
        <w:t>.</w:t>
      </w:r>
      <w:r w:rsidR="00FE32A6" w:rsidRPr="008A1DB4">
        <w:rPr>
          <w:spacing w:val="-2"/>
          <w:lang w:val="en-US"/>
        </w:rPr>
        <w:t>”</w:t>
      </w:r>
      <w:r w:rsidR="00FE32A6" w:rsidRPr="008A1DB4">
        <w:rPr>
          <w:rStyle w:val="FootnoteReference"/>
          <w:spacing w:val="-2"/>
          <w:lang w:val="en-US"/>
        </w:rPr>
        <w:footnoteReference w:id="109"/>
      </w:r>
      <w:r w:rsidR="00224D16" w:rsidRPr="008A1DB4">
        <w:rPr>
          <w:spacing w:val="-2"/>
          <w:lang w:val="en-US"/>
        </w:rPr>
        <w:t xml:space="preserve"> </w:t>
      </w:r>
      <w:r w:rsidR="00BB44A4" w:rsidRPr="008A1DB4">
        <w:rPr>
          <w:spacing w:val="-2"/>
          <w:lang w:val="en-US"/>
        </w:rPr>
        <w:t xml:space="preserve">The latter established that: </w:t>
      </w:r>
      <w:bookmarkEnd w:id="534"/>
    </w:p>
    <w:p w14:paraId="04BD91C0" w14:textId="77777777" w:rsidR="00FE32A6" w:rsidRPr="008A1DB4" w:rsidRDefault="00FE32A6" w:rsidP="00956E97">
      <w:pPr>
        <w:pStyle w:val="ListParagraph"/>
        <w:rPr>
          <w:spacing w:val="-2"/>
          <w:szCs w:val="20"/>
          <w:lang w:val="en-US"/>
        </w:rPr>
      </w:pPr>
    </w:p>
    <w:p w14:paraId="778D36C8" w14:textId="30CC6ABB" w:rsidR="00FE32A6" w:rsidRPr="008A1DB4" w:rsidRDefault="00BB44A4" w:rsidP="00BB44A4">
      <w:pPr>
        <w:ind w:left="567" w:right="615"/>
        <w:rPr>
          <w:spacing w:val="-2"/>
          <w:sz w:val="18"/>
          <w:szCs w:val="18"/>
          <w:lang w:val="en-US"/>
        </w:rPr>
      </w:pPr>
      <w:r w:rsidRPr="008A1DB4">
        <w:rPr>
          <w:spacing w:val="-2"/>
          <w:sz w:val="18"/>
          <w:szCs w:val="18"/>
          <w:lang w:val="en-US"/>
        </w:rPr>
        <w:t xml:space="preserve">Regarding the retroactive effects </w:t>
      </w:r>
      <w:r w:rsidR="001E7113" w:rsidRPr="008A1DB4">
        <w:rPr>
          <w:spacing w:val="-2"/>
          <w:sz w:val="18"/>
          <w:szCs w:val="18"/>
          <w:lang w:val="en-US"/>
        </w:rPr>
        <w:t>of the Criminal Code</w:t>
      </w:r>
      <w:r w:rsidR="00FE32A6" w:rsidRPr="008A1DB4">
        <w:rPr>
          <w:spacing w:val="-2"/>
          <w:sz w:val="18"/>
          <w:szCs w:val="18"/>
          <w:lang w:val="en-US"/>
        </w:rPr>
        <w:t xml:space="preserve">, </w:t>
      </w:r>
      <w:r w:rsidRPr="008A1DB4">
        <w:rPr>
          <w:spacing w:val="-2"/>
          <w:sz w:val="18"/>
          <w:szCs w:val="18"/>
          <w:lang w:val="en-US"/>
        </w:rPr>
        <w:t>according to</w:t>
      </w:r>
      <w:r w:rsidR="008B46B1" w:rsidRPr="008A1DB4">
        <w:rPr>
          <w:spacing w:val="-2"/>
          <w:sz w:val="18"/>
          <w:szCs w:val="18"/>
          <w:lang w:val="en-US"/>
        </w:rPr>
        <w:t xml:space="preserve"> </w:t>
      </w:r>
      <w:r w:rsidR="00776D24" w:rsidRPr="008A1DB4">
        <w:rPr>
          <w:spacing w:val="-2"/>
          <w:sz w:val="18"/>
          <w:szCs w:val="18"/>
          <w:lang w:val="en-US"/>
        </w:rPr>
        <w:t>paragraph</w:t>
      </w:r>
      <w:r w:rsidRPr="008A1DB4">
        <w:rPr>
          <w:spacing w:val="-2"/>
          <w:sz w:val="18"/>
          <w:szCs w:val="18"/>
          <w:lang w:val="en-US"/>
        </w:rPr>
        <w:t xml:space="preserve"> [1</w:t>
      </w:r>
      <w:r w:rsidR="008B46B1" w:rsidRPr="008A1DB4">
        <w:rPr>
          <w:spacing w:val="-2"/>
          <w:sz w:val="18"/>
          <w:szCs w:val="18"/>
          <w:lang w:val="en-US"/>
        </w:rPr>
        <w:t xml:space="preserve">] </w:t>
      </w:r>
      <w:r w:rsidR="00AB4E6D" w:rsidRPr="008A1DB4">
        <w:rPr>
          <w:spacing w:val="-2"/>
          <w:sz w:val="18"/>
          <w:szCs w:val="18"/>
          <w:lang w:val="en-US"/>
        </w:rPr>
        <w:t>of a</w:t>
      </w:r>
      <w:r w:rsidR="0058668C" w:rsidRPr="008A1DB4">
        <w:rPr>
          <w:spacing w:val="-2"/>
          <w:sz w:val="18"/>
          <w:szCs w:val="18"/>
          <w:lang w:val="en-US"/>
        </w:rPr>
        <w:t>rticle</w:t>
      </w:r>
      <w:r w:rsidR="008B46B1" w:rsidRPr="008A1DB4">
        <w:rPr>
          <w:spacing w:val="-2"/>
          <w:sz w:val="18"/>
          <w:szCs w:val="18"/>
          <w:lang w:val="en-US"/>
        </w:rPr>
        <w:t xml:space="preserve"> [12</w:t>
      </w:r>
      <w:r w:rsidR="00FE32A6" w:rsidRPr="008A1DB4">
        <w:rPr>
          <w:spacing w:val="-2"/>
          <w:sz w:val="18"/>
          <w:szCs w:val="18"/>
          <w:lang w:val="en-US"/>
        </w:rPr>
        <w:t xml:space="preserve">] </w:t>
      </w:r>
      <w:r w:rsidR="001E7113" w:rsidRPr="008A1DB4">
        <w:rPr>
          <w:spacing w:val="-2"/>
          <w:sz w:val="18"/>
          <w:szCs w:val="18"/>
          <w:lang w:val="en-US"/>
        </w:rPr>
        <w:t>of the Criminal Code</w:t>
      </w:r>
      <w:r w:rsidR="002D1CFC" w:rsidRPr="008A1DB4">
        <w:rPr>
          <w:spacing w:val="-2"/>
          <w:sz w:val="18"/>
          <w:szCs w:val="18"/>
          <w:lang w:val="en-US"/>
        </w:rPr>
        <w:t xml:space="preserve"> of the </w:t>
      </w:r>
      <w:r w:rsidR="00FE5E87" w:rsidRPr="008A1DB4">
        <w:rPr>
          <w:spacing w:val="-2"/>
          <w:sz w:val="18"/>
          <w:szCs w:val="18"/>
          <w:lang w:val="en-US"/>
        </w:rPr>
        <w:t>People’s Republic of China</w:t>
      </w:r>
      <w:r w:rsidRPr="008A1DB4">
        <w:rPr>
          <w:spacing w:val="-2"/>
          <w:sz w:val="18"/>
          <w:szCs w:val="18"/>
          <w:lang w:val="en-US"/>
        </w:rPr>
        <w:t xml:space="preserve">, the principle of sentencing </w:t>
      </w:r>
      <w:r w:rsidR="003708EA">
        <w:rPr>
          <w:spacing w:val="-2"/>
          <w:sz w:val="18"/>
          <w:szCs w:val="18"/>
          <w:lang w:val="en-US"/>
        </w:rPr>
        <w:t>in accordance with</w:t>
      </w:r>
      <w:r w:rsidRPr="008A1DB4">
        <w:rPr>
          <w:spacing w:val="-2"/>
          <w:sz w:val="18"/>
          <w:szCs w:val="18"/>
          <w:lang w:val="en-US"/>
        </w:rPr>
        <w:t xml:space="preserve"> the law at the time of the act is followed</w:t>
      </w:r>
      <w:r w:rsidR="003708EA">
        <w:rPr>
          <w:spacing w:val="-2"/>
          <w:sz w:val="18"/>
          <w:szCs w:val="18"/>
          <w:lang w:val="en-US"/>
        </w:rPr>
        <w:t>,</w:t>
      </w:r>
      <w:r w:rsidRPr="008A1DB4">
        <w:rPr>
          <w:spacing w:val="-2"/>
          <w:sz w:val="18"/>
          <w:szCs w:val="18"/>
          <w:lang w:val="en-US"/>
        </w:rPr>
        <w:t xml:space="preserve"> and also the principle of applying the lesser punishment; in other words, for offenses that have not been sentenced prior to the entry into force of the Criminal Code, if there has been no change in the status of the punishment between the law at the time of the act and the law in force, the law at the time of the act is applied. If the law in force imposes a lesser punishment, the law in force is applied. Under the eighth amendment, which came into </w:t>
      </w:r>
      <w:r w:rsidR="00947926" w:rsidRPr="008A1DB4">
        <w:rPr>
          <w:spacing w:val="-2"/>
          <w:sz w:val="18"/>
          <w:szCs w:val="18"/>
          <w:lang w:val="en-US"/>
        </w:rPr>
        <w:t>force</w:t>
      </w:r>
      <w:r w:rsidRPr="008A1DB4">
        <w:rPr>
          <w:spacing w:val="-2"/>
          <w:sz w:val="18"/>
          <w:szCs w:val="18"/>
          <w:lang w:val="en-US"/>
        </w:rPr>
        <w:t xml:space="preserve"> on May 1, 2011, the first paragraph of article 153 of the Criminal Code was amended. The presumed offenses committed by [Wong Ho Wing] occurred before this amendment came into force and, at the same time, pursuant to the provisions of the amended article, the maximum punishment is less </w:t>
      </w:r>
      <w:r w:rsidR="00947926" w:rsidRPr="008A1DB4">
        <w:rPr>
          <w:spacing w:val="-2"/>
          <w:sz w:val="18"/>
          <w:szCs w:val="18"/>
          <w:lang w:val="en-US"/>
        </w:rPr>
        <w:t>than</w:t>
      </w:r>
      <w:r w:rsidRPr="008A1DB4">
        <w:rPr>
          <w:spacing w:val="-2"/>
          <w:sz w:val="18"/>
          <w:szCs w:val="18"/>
          <w:lang w:val="en-US"/>
        </w:rPr>
        <w:t xml:space="preserve"> the maximum punishment before the amendment. Based on the above-mentioned principles, </w:t>
      </w:r>
      <w:r w:rsidR="00AB4E6D" w:rsidRPr="008A1DB4">
        <w:rPr>
          <w:spacing w:val="-2"/>
          <w:sz w:val="18"/>
          <w:szCs w:val="18"/>
          <w:lang w:val="en-US"/>
        </w:rPr>
        <w:t>the eighth amendment</w:t>
      </w:r>
      <w:r w:rsidR="00FE32A6" w:rsidRPr="008A1DB4">
        <w:rPr>
          <w:spacing w:val="-2"/>
          <w:sz w:val="18"/>
          <w:szCs w:val="18"/>
          <w:lang w:val="en-US"/>
        </w:rPr>
        <w:t xml:space="preserve"> </w:t>
      </w:r>
      <w:r w:rsidRPr="008A1DB4">
        <w:rPr>
          <w:spacing w:val="-2"/>
          <w:sz w:val="18"/>
          <w:szCs w:val="18"/>
          <w:lang w:val="en-US"/>
        </w:rPr>
        <w:t>will be applied in the case of</w:t>
      </w:r>
      <w:r w:rsidR="00FE32A6" w:rsidRPr="008A1DB4">
        <w:rPr>
          <w:spacing w:val="-2"/>
          <w:sz w:val="18"/>
          <w:szCs w:val="18"/>
          <w:lang w:val="en-US"/>
        </w:rPr>
        <w:t xml:space="preserve"> [Wong Ho Wing]. </w:t>
      </w:r>
      <w:r w:rsidRPr="008A1DB4">
        <w:rPr>
          <w:spacing w:val="-2"/>
          <w:sz w:val="18"/>
          <w:szCs w:val="18"/>
          <w:lang w:val="en-US"/>
        </w:rPr>
        <w:t xml:space="preserve">The undertaking made by </w:t>
      </w:r>
      <w:r w:rsidR="00AB4E6D" w:rsidRPr="008A1DB4">
        <w:rPr>
          <w:spacing w:val="-2"/>
          <w:sz w:val="18"/>
          <w:szCs w:val="18"/>
          <w:lang w:val="en-US"/>
        </w:rPr>
        <w:t>the Supreme Court</w:t>
      </w:r>
      <w:r w:rsidR="002D1CFC" w:rsidRPr="008A1DB4">
        <w:rPr>
          <w:spacing w:val="-2"/>
          <w:sz w:val="18"/>
          <w:szCs w:val="18"/>
          <w:lang w:val="en-US"/>
        </w:rPr>
        <w:t xml:space="preserve"> of the </w:t>
      </w:r>
      <w:r w:rsidR="00FE5E87" w:rsidRPr="008A1DB4">
        <w:rPr>
          <w:spacing w:val="-2"/>
          <w:sz w:val="18"/>
          <w:szCs w:val="18"/>
          <w:lang w:val="en-US"/>
        </w:rPr>
        <w:t>People’s Republic of China</w:t>
      </w:r>
      <w:r w:rsidR="00FE32A6" w:rsidRPr="008A1DB4">
        <w:rPr>
          <w:spacing w:val="-2"/>
          <w:sz w:val="18"/>
          <w:szCs w:val="18"/>
          <w:lang w:val="en-US"/>
        </w:rPr>
        <w:t xml:space="preserve"> </w:t>
      </w:r>
      <w:r w:rsidRPr="008A1DB4">
        <w:rPr>
          <w:spacing w:val="-2"/>
          <w:sz w:val="18"/>
          <w:szCs w:val="18"/>
          <w:lang w:val="en-US"/>
        </w:rPr>
        <w:t>not to impose the death penalty on</w:t>
      </w:r>
      <w:r w:rsidR="00FE32A6" w:rsidRPr="008A1DB4">
        <w:rPr>
          <w:spacing w:val="-2"/>
          <w:sz w:val="18"/>
          <w:szCs w:val="18"/>
          <w:lang w:val="en-US"/>
        </w:rPr>
        <w:t xml:space="preserve"> [Wong Ho Wing]</w:t>
      </w:r>
      <w:r w:rsidRPr="008A1DB4">
        <w:rPr>
          <w:spacing w:val="-2"/>
          <w:sz w:val="18"/>
          <w:szCs w:val="18"/>
          <w:lang w:val="en-US"/>
        </w:rPr>
        <w:t xml:space="preserve"> remains in effect.</w:t>
      </w:r>
      <w:r w:rsidR="00FE32A6" w:rsidRPr="008A1DB4">
        <w:rPr>
          <w:rStyle w:val="FootnoteReference"/>
          <w:spacing w:val="-2"/>
          <w:sz w:val="18"/>
          <w:szCs w:val="18"/>
          <w:lang w:val="en-US"/>
        </w:rPr>
        <w:footnoteReference w:id="110"/>
      </w:r>
    </w:p>
    <w:p w14:paraId="7F7B9428" w14:textId="77777777" w:rsidR="00FE32A6" w:rsidRPr="008A1DB4" w:rsidRDefault="00FE32A6" w:rsidP="00956E97">
      <w:pPr>
        <w:pStyle w:val="ListParagraph"/>
        <w:tabs>
          <w:tab w:val="left" w:pos="567"/>
        </w:tabs>
        <w:ind w:left="0"/>
        <w:rPr>
          <w:spacing w:val="-2"/>
          <w:lang w:val="en-US"/>
        </w:rPr>
      </w:pPr>
      <w:r w:rsidRPr="008A1DB4">
        <w:rPr>
          <w:spacing w:val="-2"/>
          <w:szCs w:val="20"/>
          <w:lang w:val="en-US"/>
        </w:rPr>
        <w:t xml:space="preserve"> </w:t>
      </w:r>
    </w:p>
    <w:p w14:paraId="42EFCC53" w14:textId="2D274E4B" w:rsidR="00FE32A6" w:rsidRPr="008A1DB4" w:rsidRDefault="00AB4E6D" w:rsidP="00956E97">
      <w:pPr>
        <w:pStyle w:val="PrrafodeSentencia"/>
        <w:rPr>
          <w:spacing w:val="-2"/>
          <w:lang w:val="en-US"/>
        </w:rPr>
      </w:pPr>
      <w:bookmarkStart w:id="535" w:name="_Ref429065898"/>
      <w:r w:rsidRPr="008A1DB4">
        <w:rPr>
          <w:spacing w:val="-2"/>
          <w:lang w:val="en-US"/>
        </w:rPr>
        <w:t>On</w:t>
      </w:r>
      <w:r w:rsidR="00FE32A6" w:rsidRPr="008A1DB4">
        <w:rPr>
          <w:spacing w:val="-2"/>
          <w:lang w:val="en-US"/>
        </w:rPr>
        <w:t xml:space="preserve"> </w:t>
      </w:r>
      <w:r w:rsidR="00631F9C" w:rsidRPr="008A1DB4">
        <w:rPr>
          <w:spacing w:val="-2"/>
          <w:lang w:val="en-US"/>
        </w:rPr>
        <w:t>February 9,</w:t>
      </w:r>
      <w:r w:rsidR="00FE32A6" w:rsidRPr="008A1DB4">
        <w:rPr>
          <w:spacing w:val="-2"/>
          <w:lang w:val="en-US"/>
        </w:rPr>
        <w:t xml:space="preserve"> 2012</w:t>
      </w:r>
      <w:r w:rsidRPr="008A1DB4">
        <w:rPr>
          <w:spacing w:val="-2"/>
          <w:lang w:val="en-US"/>
        </w:rPr>
        <w:t>,</w:t>
      </w:r>
      <w:r w:rsidR="00FE32A6" w:rsidRPr="008A1DB4">
        <w:rPr>
          <w:spacing w:val="-2"/>
          <w:lang w:val="en-US"/>
        </w:rPr>
        <w:t xml:space="preserve"> </w:t>
      </w:r>
      <w:r w:rsidRPr="008A1DB4">
        <w:rPr>
          <w:spacing w:val="-2"/>
          <w:lang w:val="en-US"/>
        </w:rPr>
        <w:t>the Ministry of Justice and Human Rights</w:t>
      </w:r>
      <w:r w:rsidR="00FE32A6" w:rsidRPr="008A1DB4">
        <w:rPr>
          <w:spacing w:val="-2"/>
          <w:lang w:val="en-US"/>
        </w:rPr>
        <w:t xml:space="preserve"> </w:t>
      </w:r>
      <w:r w:rsidRPr="008A1DB4">
        <w:rPr>
          <w:spacing w:val="-2"/>
          <w:lang w:val="en-US"/>
        </w:rPr>
        <w:t>asked the</w:t>
      </w:r>
      <w:r w:rsidR="00FE32A6" w:rsidRPr="008A1DB4">
        <w:rPr>
          <w:spacing w:val="-2"/>
          <w:lang w:val="en-US"/>
        </w:rPr>
        <w:t xml:space="preserve"> </w:t>
      </w:r>
      <w:r w:rsidR="00F36400" w:rsidRPr="008A1DB4">
        <w:rPr>
          <w:spacing w:val="-2"/>
          <w:lang w:val="en-US"/>
        </w:rPr>
        <w:t xml:space="preserve">President of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xml:space="preserve"> </w:t>
      </w:r>
      <w:r w:rsidRPr="008A1DB4">
        <w:rPr>
          <w:spacing w:val="-2"/>
          <w:lang w:val="en-US"/>
        </w:rPr>
        <w:t>to issue a</w:t>
      </w:r>
      <w:r w:rsidR="00FE32A6" w:rsidRPr="008A1DB4">
        <w:rPr>
          <w:spacing w:val="-2"/>
          <w:lang w:val="en-US"/>
        </w:rPr>
        <w:t xml:space="preserve"> “</w:t>
      </w:r>
      <w:r w:rsidRPr="008A1DB4">
        <w:rPr>
          <w:spacing w:val="-2"/>
          <w:lang w:val="en-US"/>
        </w:rPr>
        <w:t>complementary a</w:t>
      </w:r>
      <w:r w:rsidR="002D1CFC" w:rsidRPr="008A1DB4">
        <w:rPr>
          <w:spacing w:val="-2"/>
          <w:lang w:val="en-US"/>
        </w:rPr>
        <w:t xml:space="preserve">dvisory </w:t>
      </w:r>
      <w:r w:rsidR="00A33F97" w:rsidRPr="008A1DB4">
        <w:rPr>
          <w:spacing w:val="-2"/>
          <w:lang w:val="en-US"/>
        </w:rPr>
        <w:t>decision</w:t>
      </w:r>
      <w:r w:rsidRPr="008A1DB4">
        <w:rPr>
          <w:spacing w:val="-2"/>
          <w:lang w:val="en-US"/>
        </w:rPr>
        <w:t>,”</w:t>
      </w:r>
      <w:r w:rsidR="00FE32A6" w:rsidRPr="008A1DB4">
        <w:rPr>
          <w:spacing w:val="-2"/>
          <w:lang w:val="en-US"/>
        </w:rPr>
        <w:t xml:space="preserve"> t</w:t>
      </w:r>
      <w:r w:rsidR="00BB44A4" w:rsidRPr="008A1DB4">
        <w:rPr>
          <w:spacing w:val="-2"/>
          <w:lang w:val="en-US"/>
        </w:rPr>
        <w:t xml:space="preserve">aking into account “the entry into force of the </w:t>
      </w:r>
      <w:r w:rsidRPr="008A1DB4">
        <w:rPr>
          <w:spacing w:val="-2"/>
          <w:lang w:val="en-US"/>
        </w:rPr>
        <w:t>eighth amendment</w:t>
      </w:r>
      <w:r w:rsidR="00FE32A6" w:rsidRPr="008A1DB4">
        <w:rPr>
          <w:spacing w:val="-2"/>
          <w:lang w:val="en-US"/>
        </w:rPr>
        <w:t xml:space="preserve"> </w:t>
      </w:r>
      <w:r w:rsidR="001E7113" w:rsidRPr="008A1DB4">
        <w:rPr>
          <w:spacing w:val="-2"/>
          <w:lang w:val="en-US"/>
        </w:rPr>
        <w:t>of the Criminal Code</w:t>
      </w:r>
      <w:r w:rsidRPr="008A1DB4">
        <w:rPr>
          <w:spacing w:val="-2"/>
          <w:lang w:val="en-US"/>
        </w:rPr>
        <w:t xml:space="preserve"> of</w:t>
      </w:r>
      <w:r w:rsidR="00FE32A6" w:rsidRPr="008A1DB4">
        <w:rPr>
          <w:spacing w:val="-2"/>
          <w:lang w:val="en-US"/>
        </w:rPr>
        <w:t xml:space="preserve"> [</w:t>
      </w:r>
      <w:r w:rsidR="00FE5E87" w:rsidRPr="008A1DB4">
        <w:rPr>
          <w:spacing w:val="-2"/>
          <w:lang w:val="en-US"/>
        </w:rPr>
        <w:t>the People’s Republic of China</w:t>
      </w:r>
      <w:r w:rsidR="00FE32A6" w:rsidRPr="008A1DB4">
        <w:rPr>
          <w:spacing w:val="-2"/>
          <w:lang w:val="en-US"/>
        </w:rPr>
        <w:t>,</w:t>
      </w:r>
      <w:r w:rsidR="00BB44A4" w:rsidRPr="008A1DB4">
        <w:rPr>
          <w:spacing w:val="-2"/>
          <w:lang w:val="en-US"/>
        </w:rPr>
        <w:t xml:space="preserve"> which annuls</w:t>
      </w:r>
      <w:r w:rsidR="00FE32A6" w:rsidRPr="008A1DB4">
        <w:rPr>
          <w:spacing w:val="-2"/>
          <w:lang w:val="en-US"/>
        </w:rPr>
        <w:t xml:space="preserve">] </w:t>
      </w:r>
      <w:r w:rsidR="00A3310A" w:rsidRPr="008A1DB4">
        <w:rPr>
          <w:spacing w:val="-2"/>
          <w:lang w:val="en-US"/>
        </w:rPr>
        <w:t>the death penalty</w:t>
      </w:r>
      <w:r w:rsidR="00FE32A6" w:rsidRPr="008A1DB4">
        <w:rPr>
          <w:spacing w:val="-2"/>
          <w:lang w:val="en-US"/>
        </w:rPr>
        <w:t xml:space="preserve"> </w:t>
      </w:r>
      <w:r w:rsidR="00BB44A4" w:rsidRPr="008A1DB4">
        <w:rPr>
          <w:spacing w:val="-2"/>
          <w:lang w:val="en-US"/>
        </w:rPr>
        <w:t>for the offense of smuggling ordinary merchandise.</w:t>
      </w:r>
      <w:r w:rsidR="00FE32A6" w:rsidRPr="008A1DB4">
        <w:rPr>
          <w:spacing w:val="-2"/>
          <w:lang w:val="en-US"/>
        </w:rPr>
        <w:t>”</w:t>
      </w:r>
      <w:r w:rsidR="00FE32A6" w:rsidRPr="008A1DB4">
        <w:rPr>
          <w:rStyle w:val="FootnoteReference"/>
          <w:spacing w:val="-2"/>
          <w:lang w:val="en-US"/>
        </w:rPr>
        <w:footnoteReference w:id="111"/>
      </w:r>
      <w:r w:rsidR="00BB44A4" w:rsidRPr="008A1DB4">
        <w:rPr>
          <w:spacing w:val="-2"/>
          <w:lang w:val="en-US"/>
        </w:rPr>
        <w:t xml:space="preserve"> Accordingly</w:t>
      </w:r>
      <w:r w:rsidR="00947926" w:rsidRPr="008A1DB4">
        <w:rPr>
          <w:spacing w:val="-2"/>
          <w:lang w:val="en-US"/>
        </w:rPr>
        <w:t>, on</w:t>
      </w:r>
      <w:r w:rsidRPr="008A1DB4">
        <w:rPr>
          <w:spacing w:val="-2"/>
          <w:lang w:val="en-US"/>
        </w:rPr>
        <w:t xml:space="preserve"> </w:t>
      </w:r>
      <w:r w:rsidR="00BB336A" w:rsidRPr="008A1DB4">
        <w:rPr>
          <w:spacing w:val="-2"/>
          <w:lang w:val="en-US"/>
        </w:rPr>
        <w:t xml:space="preserve">February </w:t>
      </w:r>
      <w:r w:rsidRPr="008A1DB4">
        <w:rPr>
          <w:spacing w:val="-2"/>
          <w:lang w:val="en-US"/>
        </w:rPr>
        <w:t>1</w:t>
      </w:r>
      <w:r w:rsidR="00BB336A" w:rsidRPr="008A1DB4">
        <w:rPr>
          <w:spacing w:val="-2"/>
          <w:lang w:val="en-US"/>
        </w:rPr>
        <w:t>5,</w:t>
      </w:r>
      <w:r w:rsidR="00FE32A6" w:rsidRPr="008A1DB4">
        <w:rPr>
          <w:spacing w:val="-2"/>
          <w:lang w:val="en-US"/>
        </w:rPr>
        <w:t xml:space="preserve"> 2012</w:t>
      </w:r>
      <w:r w:rsidRPr="008A1DB4">
        <w:rPr>
          <w:spacing w:val="-2"/>
          <w:lang w:val="en-US"/>
        </w:rPr>
        <w:t xml:space="preserve">, </w:t>
      </w:r>
      <w:r w:rsidR="002D1CFC" w:rsidRPr="008A1DB4">
        <w:rPr>
          <w:spacing w:val="-2"/>
          <w:lang w:val="en-US"/>
        </w:rPr>
        <w:t xml:space="preserve">the </w:t>
      </w:r>
      <w:r w:rsidR="00FC5891" w:rsidRPr="008A1DB4">
        <w:rPr>
          <w:spacing w:val="-2"/>
          <w:lang w:val="en-US"/>
        </w:rPr>
        <w:t>Permanent Criminal Chamber</w:t>
      </w:r>
      <w:r w:rsidR="00FE32A6" w:rsidRPr="008A1DB4">
        <w:rPr>
          <w:spacing w:val="-2"/>
          <w:lang w:val="en-US"/>
        </w:rPr>
        <w:t xml:space="preserve"> </w:t>
      </w:r>
      <w:r w:rsidRPr="008A1DB4">
        <w:rPr>
          <w:spacing w:val="-2"/>
          <w:lang w:val="en-US"/>
        </w:rPr>
        <w:t>ordered that</w:t>
      </w:r>
      <w:r w:rsidR="00BB44A4" w:rsidRPr="008A1DB4">
        <w:rPr>
          <w:spacing w:val="-2"/>
          <w:lang w:val="en-US"/>
        </w:rPr>
        <w:t xml:space="preserve"> a passive extradition hearing be held</w:t>
      </w:r>
      <w:r w:rsidR="00FE32A6" w:rsidRPr="008A1DB4">
        <w:rPr>
          <w:spacing w:val="-2"/>
          <w:lang w:val="en-US"/>
        </w:rPr>
        <w:t xml:space="preserve"> </w:t>
      </w:r>
      <w:r w:rsidRPr="008A1DB4">
        <w:rPr>
          <w:spacing w:val="-2"/>
          <w:lang w:val="en-US"/>
        </w:rPr>
        <w:t>on February 21,</w:t>
      </w:r>
      <w:r w:rsidR="00FE32A6" w:rsidRPr="008A1DB4">
        <w:rPr>
          <w:spacing w:val="-2"/>
          <w:lang w:val="en-US"/>
        </w:rPr>
        <w:t xml:space="preserve"> 2012</w:t>
      </w:r>
      <w:r w:rsidR="00FE32A6" w:rsidRPr="008A1DB4">
        <w:rPr>
          <w:rStyle w:val="FootnoteReference"/>
          <w:spacing w:val="-2"/>
          <w:lang w:val="en-US"/>
        </w:rPr>
        <w:footnoteReference w:id="112"/>
      </w:r>
      <w:r w:rsidR="00FE32A6" w:rsidRPr="008A1DB4">
        <w:rPr>
          <w:spacing w:val="-2"/>
          <w:lang w:val="en-US"/>
        </w:rPr>
        <w:t xml:space="preserve"> (</w:t>
      </w:r>
      <w:r w:rsidR="00FE32A6" w:rsidRPr="008A1DB4">
        <w:rPr>
          <w:i/>
          <w:spacing w:val="-2"/>
          <w:lang w:val="en-US"/>
        </w:rPr>
        <w:t>infra</w:t>
      </w:r>
      <w:r w:rsidR="00FE32A6" w:rsidRPr="008A1DB4">
        <w:rPr>
          <w:spacing w:val="-2"/>
          <w:lang w:val="en-US"/>
        </w:rPr>
        <w:t xml:space="preserve">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_Ref418503809 \r \h </w:instrText>
      </w:r>
      <w:r w:rsidR="00DC41F4" w:rsidRPr="008A1DB4">
        <w:rPr>
          <w:spacing w:val="-2"/>
          <w:lang w:val="en-US"/>
        </w:rPr>
        <w:instrText xml:space="preserve">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89</w:t>
      </w:r>
      <w:r w:rsidR="00FE32A6" w:rsidRPr="008A1DB4">
        <w:rPr>
          <w:spacing w:val="-2"/>
          <w:lang w:val="en-US"/>
        </w:rPr>
        <w:fldChar w:fldCharType="end"/>
      </w:r>
      <w:r w:rsidRPr="008A1DB4">
        <w:rPr>
          <w:spacing w:val="-2"/>
          <w:lang w:val="en-US"/>
        </w:rPr>
        <w:t>). On</w:t>
      </w:r>
      <w:r w:rsidR="00FE32A6" w:rsidRPr="008A1DB4">
        <w:rPr>
          <w:spacing w:val="-2"/>
          <w:lang w:val="en-US"/>
        </w:rPr>
        <w:t xml:space="preserve"> </w:t>
      </w:r>
      <w:r w:rsidR="00D72E3B" w:rsidRPr="008A1DB4">
        <w:rPr>
          <w:spacing w:val="-2"/>
          <w:lang w:val="en-US"/>
        </w:rPr>
        <w:t>March 13,</w:t>
      </w:r>
      <w:r w:rsidR="00FE32A6" w:rsidRPr="008A1DB4">
        <w:rPr>
          <w:spacing w:val="-2"/>
          <w:lang w:val="en-US"/>
        </w:rPr>
        <w:t xml:space="preserve"> 2012</w:t>
      </w:r>
      <w:r w:rsidRPr="008A1DB4">
        <w:rPr>
          <w:spacing w:val="-2"/>
          <w:lang w:val="en-US"/>
        </w:rPr>
        <w:t>,</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Pr="008A1DB4">
        <w:rPr>
          <w:spacing w:val="-2"/>
          <w:lang w:val="en-US"/>
        </w:rPr>
        <w:t>filed</w:t>
      </w:r>
      <w:r w:rsidR="00FE32A6" w:rsidRPr="008A1DB4">
        <w:rPr>
          <w:spacing w:val="-2"/>
          <w:lang w:val="en-US"/>
        </w:rPr>
        <w:t xml:space="preserve"> </w:t>
      </w:r>
      <w:r w:rsidR="00FE32A6" w:rsidRPr="008A1DB4">
        <w:rPr>
          <w:b/>
          <w:spacing w:val="-2"/>
          <w:lang w:val="en-US"/>
        </w:rPr>
        <w:t xml:space="preserve">a </w:t>
      </w:r>
      <w:r w:rsidRPr="008A1DB4">
        <w:rPr>
          <w:b/>
          <w:spacing w:val="-2"/>
          <w:lang w:val="en-US"/>
        </w:rPr>
        <w:t>fifth application for</w:t>
      </w:r>
      <w:r w:rsidR="00FE32A6" w:rsidRPr="008A1DB4">
        <w:rPr>
          <w:b/>
          <w:spacing w:val="-2"/>
          <w:lang w:val="en-US"/>
        </w:rPr>
        <w:t xml:space="preserve"> </w:t>
      </w:r>
      <w:r w:rsidR="00E022F9" w:rsidRPr="008A1DB4">
        <w:rPr>
          <w:b/>
          <w:i/>
          <w:spacing w:val="-2"/>
          <w:lang w:val="en-US"/>
        </w:rPr>
        <w:t>habeas corpus</w:t>
      </w:r>
      <w:r w:rsidR="00BB44A4" w:rsidRPr="008A1DB4">
        <w:rPr>
          <w:spacing w:val="-2"/>
          <w:lang w:val="en-US"/>
        </w:rPr>
        <w:t xml:space="preserve"> against the convening of this hearing.</w:t>
      </w:r>
      <w:bookmarkStart w:id="536" w:name="_Ref429069462"/>
      <w:r w:rsidR="00FE32A6" w:rsidRPr="008A1DB4">
        <w:rPr>
          <w:rStyle w:val="FootnoteReference"/>
          <w:spacing w:val="-2"/>
          <w:lang w:val="en-US"/>
        </w:rPr>
        <w:footnoteReference w:id="113"/>
      </w:r>
      <w:bookmarkEnd w:id="536"/>
      <w:r w:rsidR="00BB44A4" w:rsidRPr="008A1DB4">
        <w:rPr>
          <w:spacing w:val="-2"/>
          <w:lang w:val="en-US"/>
        </w:rPr>
        <w:t xml:space="preserve"> According to information provided by the </w:t>
      </w:r>
      <w:r w:rsidR="00F36400" w:rsidRPr="008A1DB4">
        <w:rPr>
          <w:spacing w:val="-2"/>
          <w:lang w:val="en-US"/>
        </w:rPr>
        <w:t>State</w:t>
      </w:r>
      <w:r w:rsidR="00BB44A4" w:rsidRPr="008A1DB4">
        <w:rPr>
          <w:spacing w:val="-2"/>
          <w:lang w:val="en-US"/>
        </w:rPr>
        <w:t xml:space="preserve"> on</w:t>
      </w:r>
      <w:r w:rsidR="00FE32A6" w:rsidRPr="008A1DB4">
        <w:rPr>
          <w:spacing w:val="-2"/>
          <w:lang w:val="en-US"/>
        </w:rPr>
        <w:t xml:space="preserve"> </w:t>
      </w:r>
      <w:r w:rsidR="00BB336A" w:rsidRPr="008A1DB4">
        <w:rPr>
          <w:spacing w:val="-2"/>
          <w:lang w:val="en-US"/>
        </w:rPr>
        <w:t>December 1,</w:t>
      </w:r>
      <w:r w:rsidR="00FE32A6" w:rsidRPr="008A1DB4">
        <w:rPr>
          <w:spacing w:val="-2"/>
          <w:lang w:val="en-US"/>
        </w:rPr>
        <w:t xml:space="preserve"> 2014, </w:t>
      </w:r>
      <w:r w:rsidR="00BB44A4" w:rsidRPr="008A1DB4">
        <w:rPr>
          <w:spacing w:val="-2"/>
          <w:lang w:val="en-US"/>
        </w:rPr>
        <w:t xml:space="preserve">this procedure is still </w:t>
      </w:r>
      <w:bookmarkStart w:id="537" w:name="_Ref429069594"/>
      <w:r w:rsidR="00BB44A4" w:rsidRPr="008A1DB4">
        <w:rPr>
          <w:spacing w:val="-2"/>
          <w:lang w:val="en-US"/>
        </w:rPr>
        <w:t>pending.</w:t>
      </w:r>
      <w:r w:rsidR="00FE32A6" w:rsidRPr="008A1DB4">
        <w:rPr>
          <w:rStyle w:val="FootnoteReference"/>
          <w:spacing w:val="-2"/>
          <w:lang w:val="en-US"/>
        </w:rPr>
        <w:footnoteReference w:id="114"/>
      </w:r>
      <w:bookmarkEnd w:id="535"/>
      <w:bookmarkEnd w:id="537"/>
    </w:p>
    <w:p w14:paraId="047E677E" w14:textId="77777777" w:rsidR="00FE32A6" w:rsidRPr="008A1DB4" w:rsidRDefault="00FE32A6" w:rsidP="00956E97">
      <w:pPr>
        <w:pStyle w:val="ListParagraph"/>
        <w:tabs>
          <w:tab w:val="left" w:pos="567"/>
        </w:tabs>
        <w:ind w:left="0"/>
        <w:rPr>
          <w:spacing w:val="-2"/>
          <w:lang w:val="en-US"/>
        </w:rPr>
      </w:pPr>
    </w:p>
    <w:p w14:paraId="0055105D" w14:textId="7003668D" w:rsidR="00FE32A6" w:rsidRPr="008A1DB4" w:rsidRDefault="00201E4D" w:rsidP="000F79C3">
      <w:pPr>
        <w:pStyle w:val="PrrafodeSentencia"/>
        <w:rPr>
          <w:spacing w:val="-2"/>
          <w:lang w:val="en-US"/>
        </w:rPr>
      </w:pPr>
      <w:bookmarkStart w:id="538" w:name="_Ref418503809"/>
      <w:r>
        <w:rPr>
          <w:spacing w:val="-2"/>
          <w:lang w:val="en-US"/>
        </w:rPr>
        <w:t>However</w:t>
      </w:r>
      <w:r w:rsidR="00BB44A4" w:rsidRPr="008A1DB4">
        <w:rPr>
          <w:spacing w:val="-2"/>
          <w:lang w:val="en-US"/>
        </w:rPr>
        <w:t xml:space="preserve">, the </w:t>
      </w:r>
      <w:r w:rsidR="00AB4E6D" w:rsidRPr="008A1DB4">
        <w:rPr>
          <w:spacing w:val="-2"/>
          <w:lang w:val="en-US"/>
        </w:rPr>
        <w:t>February 21</w:t>
      </w:r>
      <w:r w:rsidR="00FE32A6" w:rsidRPr="008A1DB4">
        <w:rPr>
          <w:spacing w:val="-2"/>
          <w:lang w:val="en-US"/>
        </w:rPr>
        <w:t xml:space="preserve"> </w:t>
      </w:r>
      <w:r>
        <w:rPr>
          <w:spacing w:val="-2"/>
          <w:lang w:val="en-US"/>
        </w:rPr>
        <w:t xml:space="preserve">hearing </w:t>
      </w:r>
      <w:r w:rsidR="00BB44A4" w:rsidRPr="008A1DB4">
        <w:rPr>
          <w:spacing w:val="-2"/>
          <w:lang w:val="en-US"/>
        </w:rPr>
        <w:t xml:space="preserve">was </w:t>
      </w:r>
      <w:r w:rsidR="000F79C3" w:rsidRPr="008A1DB4">
        <w:rPr>
          <w:spacing w:val="-2"/>
          <w:lang w:val="en-US"/>
        </w:rPr>
        <w:t>annulled due to lack of information on the applicable Chinese legislation.</w:t>
      </w:r>
      <w:r w:rsidR="00FE32A6" w:rsidRPr="008A1DB4">
        <w:rPr>
          <w:rStyle w:val="FootnoteReference"/>
          <w:spacing w:val="-2"/>
          <w:lang w:val="en-US"/>
        </w:rPr>
        <w:footnoteReference w:id="115"/>
      </w:r>
      <w:r w:rsidR="00FE32A6" w:rsidRPr="008A1DB4">
        <w:rPr>
          <w:spacing w:val="-2"/>
          <w:lang w:val="en-US"/>
        </w:rPr>
        <w:t xml:space="preserve"> </w:t>
      </w:r>
      <w:r w:rsidR="000F79C3" w:rsidRPr="008A1DB4">
        <w:rPr>
          <w:spacing w:val="-2"/>
          <w:lang w:val="en-US"/>
        </w:rPr>
        <w:t xml:space="preserve">After this information had been obtained, </w:t>
      </w:r>
      <w:r w:rsidR="00AB4E6D" w:rsidRPr="008A1DB4">
        <w:rPr>
          <w:spacing w:val="-2"/>
          <w:lang w:val="en-US"/>
        </w:rPr>
        <w:t xml:space="preserve">on March </w:t>
      </w:r>
      <w:r w:rsidR="000F79C3" w:rsidRPr="008A1DB4">
        <w:rPr>
          <w:spacing w:val="-2"/>
          <w:lang w:val="en-US"/>
        </w:rPr>
        <w:t>6,</w:t>
      </w:r>
      <w:r w:rsidR="00AB4E6D" w:rsidRPr="008A1DB4">
        <w:rPr>
          <w:spacing w:val="-2"/>
          <w:lang w:val="en-US"/>
        </w:rPr>
        <w:t xml:space="preserve"> </w:t>
      </w:r>
      <w:r w:rsidR="002D1CFC" w:rsidRPr="008A1DB4">
        <w:rPr>
          <w:spacing w:val="-2"/>
          <w:lang w:val="en-US"/>
        </w:rPr>
        <w:t xml:space="preserve">the </w:t>
      </w:r>
      <w:r w:rsidR="00FC5891" w:rsidRPr="008A1DB4">
        <w:rPr>
          <w:spacing w:val="-2"/>
          <w:lang w:val="en-US"/>
        </w:rPr>
        <w:t>Permanent Criminal Chamber</w:t>
      </w:r>
      <w:r w:rsidR="000F79C3" w:rsidRPr="008A1DB4">
        <w:rPr>
          <w:spacing w:val="-2"/>
          <w:lang w:val="en-US"/>
        </w:rPr>
        <w:t xml:space="preserve"> again convened the hearing for</w:t>
      </w:r>
      <w:r w:rsidR="00AB4E6D" w:rsidRPr="008A1DB4">
        <w:rPr>
          <w:spacing w:val="-2"/>
          <w:lang w:val="en-US"/>
        </w:rPr>
        <w:t xml:space="preserve"> </w:t>
      </w:r>
      <w:r w:rsidR="00B43F84" w:rsidRPr="008A1DB4">
        <w:rPr>
          <w:spacing w:val="-2"/>
          <w:lang w:val="en-US"/>
        </w:rPr>
        <w:t xml:space="preserve">March </w:t>
      </w:r>
      <w:r w:rsidR="00AB4E6D" w:rsidRPr="008A1DB4">
        <w:rPr>
          <w:spacing w:val="-2"/>
          <w:lang w:val="en-US"/>
        </w:rPr>
        <w:t>1</w:t>
      </w:r>
      <w:r w:rsidR="00B43F84" w:rsidRPr="008A1DB4">
        <w:rPr>
          <w:spacing w:val="-2"/>
          <w:lang w:val="en-US"/>
        </w:rPr>
        <w:t>4,</w:t>
      </w:r>
      <w:r w:rsidR="00FE32A6" w:rsidRPr="008A1DB4">
        <w:rPr>
          <w:spacing w:val="-2"/>
          <w:lang w:val="en-US"/>
        </w:rPr>
        <w:t xml:space="preserve"> 2012</w:t>
      </w:r>
      <w:r w:rsidR="00AB4E6D" w:rsidRPr="008A1DB4">
        <w:rPr>
          <w:spacing w:val="-2"/>
          <w:lang w:val="en-US"/>
        </w:rPr>
        <w:t>.</w:t>
      </w:r>
      <w:r w:rsidR="00FE32A6" w:rsidRPr="008A1DB4">
        <w:rPr>
          <w:rStyle w:val="FootnoteReference"/>
          <w:spacing w:val="-2"/>
          <w:lang w:val="en-US"/>
        </w:rPr>
        <w:footnoteReference w:id="116"/>
      </w:r>
      <w:r w:rsidR="00FE32A6" w:rsidRPr="008A1DB4">
        <w:rPr>
          <w:spacing w:val="-2"/>
          <w:lang w:val="en-US"/>
        </w:rPr>
        <w:t xml:space="preserve"> </w:t>
      </w:r>
      <w:bookmarkStart w:id="539" w:name="_Ref398658494"/>
      <w:r w:rsidR="000F79C3" w:rsidRPr="008A1DB4">
        <w:rPr>
          <w:spacing w:val="-2"/>
          <w:lang w:val="en-US"/>
        </w:rPr>
        <w:t xml:space="preserve">That day, the Criminal Chamber indicated that it was unnecessary to hold the hearing and “pointless, as the matter had been dealt with owing to the issue of a new advisory decision.” In this regard, it emphasized that, “in sum, </w:t>
      </w:r>
      <w:r w:rsidR="00947926" w:rsidRPr="008A1DB4">
        <w:rPr>
          <w:spacing w:val="-2"/>
          <w:lang w:val="en-US"/>
        </w:rPr>
        <w:t>there</w:t>
      </w:r>
      <w:r w:rsidR="000F79C3" w:rsidRPr="008A1DB4">
        <w:rPr>
          <w:spacing w:val="-2"/>
          <w:lang w:val="en-US"/>
        </w:rPr>
        <w:t xml:space="preserve"> are two final rulings, one of an advisory nature (by the Judiciary), and the other of a binding nature (by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000F79C3" w:rsidRPr="008A1DB4">
        <w:rPr>
          <w:spacing w:val="-2"/>
          <w:lang w:val="en-US"/>
        </w:rPr>
        <w:t>that</w:t>
      </w:r>
      <w:r w:rsidR="00FE32A6" w:rsidRPr="008A1DB4">
        <w:rPr>
          <w:spacing w:val="-2"/>
          <w:lang w:val="en-US"/>
        </w:rPr>
        <w:t xml:space="preserve"> </w:t>
      </w:r>
      <w:r w:rsidR="00B43F84" w:rsidRPr="008A1DB4">
        <w:rPr>
          <w:spacing w:val="-2"/>
          <w:lang w:val="en-US"/>
        </w:rPr>
        <w:t>the Executive Branch</w:t>
      </w:r>
      <w:r w:rsidR="000F79C3" w:rsidRPr="008A1DB4">
        <w:rPr>
          <w:spacing w:val="-2"/>
          <w:lang w:val="en-US"/>
        </w:rPr>
        <w:t xml:space="preserve"> must comply with</w:t>
      </w:r>
      <w:r w:rsidR="00FE32A6" w:rsidRPr="008A1DB4">
        <w:rPr>
          <w:spacing w:val="-2"/>
          <w:lang w:val="en-US"/>
        </w:rPr>
        <w:t>, t</w:t>
      </w:r>
      <w:r w:rsidR="000F79C3" w:rsidRPr="008A1DB4">
        <w:rPr>
          <w:spacing w:val="-2"/>
          <w:lang w:val="en-US"/>
        </w:rPr>
        <w:t xml:space="preserve">aking into account the provisions of </w:t>
      </w:r>
      <w:r w:rsidR="00AB4E6D" w:rsidRPr="008A1DB4">
        <w:rPr>
          <w:spacing w:val="-2"/>
          <w:lang w:val="en-US"/>
        </w:rPr>
        <w:t>a</w:t>
      </w:r>
      <w:r w:rsidR="00F36400" w:rsidRPr="008A1DB4">
        <w:rPr>
          <w:spacing w:val="-2"/>
          <w:lang w:val="en-US"/>
        </w:rPr>
        <w:t>rticle</w:t>
      </w:r>
      <w:r w:rsidR="00FE32A6" w:rsidRPr="008A1DB4">
        <w:rPr>
          <w:spacing w:val="-2"/>
          <w:lang w:val="en-US"/>
        </w:rPr>
        <w:t xml:space="preserve"> [113] </w:t>
      </w:r>
      <w:r w:rsidR="00AB4E6D" w:rsidRPr="008A1DB4">
        <w:rPr>
          <w:spacing w:val="-2"/>
          <w:lang w:val="en-US"/>
        </w:rPr>
        <w:t>of the Code of Constitutional Procedure.</w:t>
      </w:r>
      <w:r w:rsidR="00FE32A6" w:rsidRPr="008A1DB4">
        <w:rPr>
          <w:spacing w:val="-2"/>
          <w:lang w:val="en-US"/>
        </w:rPr>
        <w:t>”</w:t>
      </w:r>
      <w:r w:rsidR="00FE32A6" w:rsidRPr="008A1DB4">
        <w:rPr>
          <w:rStyle w:val="FootnoteReference"/>
          <w:spacing w:val="-2"/>
          <w:lang w:val="en-US"/>
        </w:rPr>
        <w:footnoteReference w:id="117"/>
      </w:r>
      <w:bookmarkEnd w:id="538"/>
      <w:bookmarkEnd w:id="539"/>
    </w:p>
    <w:p w14:paraId="5A616D1E" w14:textId="77777777" w:rsidR="00FE32A6" w:rsidRPr="008A1DB4" w:rsidRDefault="00FE32A6" w:rsidP="00956E97">
      <w:pPr>
        <w:pStyle w:val="ListParagraph"/>
        <w:rPr>
          <w:spacing w:val="-2"/>
          <w:lang w:val="en-US"/>
        </w:rPr>
      </w:pPr>
    </w:p>
    <w:p w14:paraId="66A3ED9E" w14:textId="03BFEA0F" w:rsidR="00FE32A6" w:rsidRPr="008A1DB4" w:rsidRDefault="000F79C3" w:rsidP="00956E97">
      <w:pPr>
        <w:pStyle w:val="PrrafodeSentencia"/>
        <w:rPr>
          <w:spacing w:val="-2"/>
          <w:lang w:val="en-US"/>
        </w:rPr>
      </w:pPr>
      <w:bookmarkStart w:id="540" w:name="_Ref419136766"/>
      <w:bookmarkStart w:id="541" w:name="_Ref398658665"/>
      <w:r w:rsidRPr="008A1DB4">
        <w:rPr>
          <w:spacing w:val="-2"/>
          <w:lang w:val="en-US"/>
        </w:rPr>
        <w:t>Meanwhile</w:t>
      </w:r>
      <w:r w:rsidR="00FE32A6" w:rsidRPr="008A1DB4">
        <w:rPr>
          <w:spacing w:val="-2"/>
          <w:lang w:val="en-US"/>
        </w:rPr>
        <w:t xml:space="preserve">, </w:t>
      </w:r>
      <w:r w:rsidR="00AB4E6D" w:rsidRPr="008A1DB4">
        <w:rPr>
          <w:spacing w:val="-2"/>
          <w:lang w:val="en-US"/>
        </w:rPr>
        <w:t>on March 12,</w:t>
      </w:r>
      <w:r w:rsidR="00FE32A6" w:rsidRPr="008A1DB4">
        <w:rPr>
          <w:spacing w:val="-2"/>
          <w:lang w:val="en-US"/>
        </w:rPr>
        <w:t xml:space="preserve"> 2013</w:t>
      </w:r>
      <w:r w:rsidRPr="008A1DB4">
        <w:rPr>
          <w:spacing w:val="-2"/>
          <w:lang w:val="en-US"/>
        </w:rPr>
        <w:t>,</w:t>
      </w:r>
      <w:r w:rsidR="00FE32A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Pr="008A1DB4">
        <w:rPr>
          <w:spacing w:val="-2"/>
          <w:lang w:val="en-US"/>
        </w:rPr>
        <w:t xml:space="preserve">decided that the request for interpretation of its mandate with regard to </w:t>
      </w:r>
      <w:r w:rsidR="00B43F84" w:rsidRPr="008A1DB4">
        <w:rPr>
          <w:spacing w:val="-2"/>
          <w:lang w:val="en-US"/>
        </w:rPr>
        <w:t>Wong</w:t>
      </w:r>
      <w:r w:rsidR="00FE32A6" w:rsidRPr="008A1DB4">
        <w:rPr>
          <w:spacing w:val="-2"/>
          <w:lang w:val="en-US"/>
        </w:rPr>
        <w:t xml:space="preserve"> Ho Wing </w:t>
      </w:r>
      <w:r w:rsidRPr="008A1DB4">
        <w:rPr>
          <w:spacing w:val="-2"/>
          <w:lang w:val="en-US"/>
        </w:rPr>
        <w:t xml:space="preserve">was inadmissible </w:t>
      </w:r>
      <w:r w:rsidR="00FE32A6" w:rsidRPr="008A1DB4">
        <w:rPr>
          <w:spacing w:val="-2"/>
          <w:lang w:val="en-US"/>
        </w:rPr>
        <w:t>(</w:t>
      </w:r>
      <w:r w:rsidR="00FE32A6" w:rsidRPr="008A1DB4">
        <w:rPr>
          <w:i/>
          <w:spacing w:val="-2"/>
          <w:lang w:val="en-US"/>
        </w:rPr>
        <w:t xml:space="preserve">supra </w:t>
      </w:r>
      <w:r w:rsidR="00C45946" w:rsidRPr="008A1DB4">
        <w:rPr>
          <w:spacing w:val="-2"/>
          <w:lang w:val="en-US"/>
        </w:rPr>
        <w:t xml:space="preserve">para. </w:t>
      </w:r>
      <w:r w:rsidR="00FE32A6" w:rsidRPr="008A1DB4">
        <w:rPr>
          <w:spacing w:val="-2"/>
          <w:lang w:val="en-US"/>
        </w:rPr>
        <w:fldChar w:fldCharType="begin"/>
      </w:r>
      <w:r w:rsidR="00FE32A6" w:rsidRPr="008A1DB4">
        <w:rPr>
          <w:spacing w:val="-2"/>
          <w:lang w:val="en-US"/>
        </w:rPr>
        <w:instrText xml:space="preserve"> REF _Ref398658699 \r \h  \* MERGEFORMAT </w:instrText>
      </w:r>
      <w:r w:rsidR="00FE32A6" w:rsidRPr="008A1DB4">
        <w:rPr>
          <w:spacing w:val="-2"/>
          <w:lang w:val="en-US"/>
        </w:rPr>
      </w:r>
      <w:r w:rsidR="00FE32A6" w:rsidRPr="008A1DB4">
        <w:rPr>
          <w:spacing w:val="-2"/>
          <w:lang w:val="en-US"/>
        </w:rPr>
        <w:fldChar w:fldCharType="separate"/>
      </w:r>
      <w:r w:rsidR="00E961FA" w:rsidRPr="008A1DB4">
        <w:rPr>
          <w:spacing w:val="-2"/>
          <w:lang w:val="en-US"/>
        </w:rPr>
        <w:t>86</w:t>
      </w:r>
      <w:r w:rsidR="00FE32A6" w:rsidRPr="008A1DB4">
        <w:rPr>
          <w:spacing w:val="-2"/>
          <w:lang w:val="en-US"/>
        </w:rPr>
        <w:fldChar w:fldCharType="end"/>
      </w:r>
      <w:r w:rsidR="00FE32A6" w:rsidRPr="008A1DB4">
        <w:rPr>
          <w:spacing w:val="-2"/>
          <w:lang w:val="en-US"/>
        </w:rPr>
        <w:t>)</w:t>
      </w:r>
      <w:r w:rsidRPr="008A1DB4">
        <w:rPr>
          <w:spacing w:val="-2"/>
          <w:lang w:val="en-US"/>
        </w:rPr>
        <w:t>.</w:t>
      </w:r>
      <w:r w:rsidR="00FE32A6" w:rsidRPr="008A1DB4">
        <w:rPr>
          <w:rStyle w:val="FootnoteReference"/>
          <w:spacing w:val="-2"/>
          <w:lang w:val="en-US"/>
        </w:rPr>
        <w:footnoteReference w:id="118"/>
      </w:r>
      <w:r w:rsidR="00FE32A6" w:rsidRPr="008A1DB4">
        <w:rPr>
          <w:spacing w:val="-2"/>
          <w:lang w:val="en-US"/>
        </w:rPr>
        <w:t xml:space="preserve"> </w:t>
      </w:r>
      <w:r w:rsidRPr="008A1DB4">
        <w:rPr>
          <w:spacing w:val="-2"/>
          <w:lang w:val="en-US"/>
        </w:rPr>
        <w:t>It stressed that, regarding this appeal for interpretation:</w:t>
      </w:r>
      <w:bookmarkEnd w:id="540"/>
    </w:p>
    <w:p w14:paraId="39DFA6D5" w14:textId="77777777" w:rsidR="00FE32A6" w:rsidRPr="008A1DB4" w:rsidRDefault="00FE32A6" w:rsidP="00956E97">
      <w:pPr>
        <w:pStyle w:val="ListParagraph"/>
        <w:rPr>
          <w:spacing w:val="-2"/>
          <w:lang w:val="en-US"/>
        </w:rPr>
      </w:pPr>
    </w:p>
    <w:p w14:paraId="54100A73" w14:textId="408DF648" w:rsidR="00FE32A6" w:rsidRPr="008A1DB4" w:rsidRDefault="000F79C3" w:rsidP="000F79C3">
      <w:pPr>
        <w:pStyle w:val="ListParagraph"/>
        <w:tabs>
          <w:tab w:val="left" w:pos="567"/>
        </w:tabs>
        <w:ind w:right="615"/>
        <w:rPr>
          <w:spacing w:val="-2"/>
          <w:sz w:val="18"/>
          <w:szCs w:val="18"/>
          <w:lang w:val="en-US"/>
        </w:rPr>
      </w:pPr>
      <w:r w:rsidRPr="008A1DB4">
        <w:rPr>
          <w:spacing w:val="-2"/>
          <w:sz w:val="18"/>
          <w:szCs w:val="18"/>
          <w:lang w:val="en-US"/>
        </w:rPr>
        <w:lastRenderedPageBreak/>
        <w:t>[T</w:t>
      </w:r>
      <w:r w:rsidR="00FE32A6" w:rsidRPr="008A1DB4">
        <w:rPr>
          <w:spacing w:val="-2"/>
          <w:sz w:val="18"/>
          <w:szCs w:val="18"/>
          <w:lang w:val="en-US"/>
        </w:rPr>
        <w:t>]</w:t>
      </w:r>
      <w:r w:rsidRPr="008A1DB4">
        <w:rPr>
          <w:spacing w:val="-2"/>
          <w:sz w:val="18"/>
          <w:szCs w:val="18"/>
          <w:lang w:val="en-US"/>
        </w:rPr>
        <w:t>he purpose sought is that, […] with the pretext of “clarifying” one element of its judgment, [the Constitutional Court] “</w:t>
      </w:r>
      <w:r w:rsidR="00201E4D">
        <w:rPr>
          <w:spacing w:val="-2"/>
          <w:sz w:val="18"/>
          <w:szCs w:val="18"/>
          <w:lang w:val="en-US"/>
        </w:rPr>
        <w:t>amend</w:t>
      </w:r>
      <w:r w:rsidRPr="008A1DB4">
        <w:rPr>
          <w:spacing w:val="-2"/>
          <w:sz w:val="18"/>
          <w:szCs w:val="18"/>
          <w:lang w:val="en-US"/>
        </w:rPr>
        <w:t xml:space="preserve">” </w:t>
      </w:r>
      <w:r w:rsidR="00201E4D">
        <w:rPr>
          <w:spacing w:val="-2"/>
          <w:sz w:val="18"/>
          <w:szCs w:val="18"/>
          <w:lang w:val="en-US"/>
        </w:rPr>
        <w:t>its decision</w:t>
      </w:r>
      <w:r w:rsidRPr="008A1DB4">
        <w:rPr>
          <w:spacing w:val="-2"/>
          <w:sz w:val="18"/>
          <w:szCs w:val="18"/>
          <w:lang w:val="en-US"/>
        </w:rPr>
        <w:t xml:space="preserve">, so that it affirms something that it did not indicate at the time, also affecting the </w:t>
      </w:r>
      <w:r w:rsidRPr="00201E4D">
        <w:rPr>
          <w:i/>
          <w:spacing w:val="-2"/>
          <w:sz w:val="18"/>
          <w:szCs w:val="18"/>
          <w:lang w:val="en-US"/>
        </w:rPr>
        <w:t>res judicata</w:t>
      </w:r>
      <w:r w:rsidRPr="008A1DB4">
        <w:rPr>
          <w:spacing w:val="-2"/>
          <w:sz w:val="18"/>
          <w:szCs w:val="18"/>
          <w:lang w:val="en-US"/>
        </w:rPr>
        <w:t xml:space="preserve"> </w:t>
      </w:r>
      <w:r w:rsidR="00201E4D">
        <w:rPr>
          <w:spacing w:val="-2"/>
          <w:sz w:val="18"/>
          <w:szCs w:val="18"/>
          <w:lang w:val="en-US"/>
        </w:rPr>
        <w:t xml:space="preserve">guarantee </w:t>
      </w:r>
      <w:r w:rsidRPr="008A1DB4">
        <w:rPr>
          <w:spacing w:val="-2"/>
          <w:sz w:val="18"/>
          <w:szCs w:val="18"/>
          <w:lang w:val="en-US"/>
        </w:rPr>
        <w:t xml:space="preserve">established in article 139(2) of the Constitution. [...]. That, in this regard, in accordance with the content of both the judgment and the clarification ruling issued by the Constitutional Court, it should be pointed out that in these decisions it did not make an individual or separate analysis of the offenses of which the applicant is accused, not only because this was not in order […], but also because what was relevant was to determine whether or not the right to life of the beneficiary of the </w:t>
      </w:r>
      <w:r w:rsidRPr="008A1DB4">
        <w:rPr>
          <w:i/>
          <w:spacing w:val="-2"/>
          <w:sz w:val="18"/>
          <w:szCs w:val="18"/>
          <w:lang w:val="en-US"/>
        </w:rPr>
        <w:t>habeas corpus</w:t>
      </w:r>
      <w:r w:rsidRPr="008A1DB4">
        <w:rPr>
          <w:spacing w:val="-2"/>
          <w:sz w:val="18"/>
          <w:szCs w:val="18"/>
          <w:lang w:val="en-US"/>
        </w:rPr>
        <w:t xml:space="preserve"> proceeding was in danger if the extradition request was declared admissible.</w:t>
      </w:r>
      <w:r w:rsidR="00FE32A6" w:rsidRPr="008A1DB4">
        <w:rPr>
          <w:rStyle w:val="FootnoteReference"/>
          <w:spacing w:val="-2"/>
          <w:sz w:val="18"/>
          <w:szCs w:val="18"/>
          <w:lang w:val="en-US"/>
        </w:rPr>
        <w:footnoteReference w:id="119"/>
      </w:r>
    </w:p>
    <w:p w14:paraId="066DCC27" w14:textId="77777777" w:rsidR="00FE32A6" w:rsidRPr="008A1DB4" w:rsidRDefault="00FE32A6" w:rsidP="00956E97">
      <w:pPr>
        <w:pStyle w:val="ListParagraph"/>
        <w:tabs>
          <w:tab w:val="left" w:pos="567"/>
        </w:tabs>
        <w:ind w:right="615"/>
        <w:rPr>
          <w:spacing w:val="-2"/>
          <w:sz w:val="18"/>
          <w:szCs w:val="18"/>
          <w:lang w:val="en-US"/>
        </w:rPr>
      </w:pPr>
    </w:p>
    <w:p w14:paraId="3D3D96A3" w14:textId="7F5B2A58" w:rsidR="00FE32A6" w:rsidRPr="008A1DB4" w:rsidRDefault="00FE32A6" w:rsidP="00956E97">
      <w:pPr>
        <w:pStyle w:val="Heading3"/>
        <w:rPr>
          <w:spacing w:val="-2"/>
          <w:lang w:val="en-US"/>
        </w:rPr>
      </w:pPr>
      <w:bookmarkStart w:id="542" w:name="_Toc419394394"/>
      <w:bookmarkStart w:id="543" w:name="_Toc419470160"/>
      <w:bookmarkStart w:id="544" w:name="_Toc429490260"/>
      <w:bookmarkStart w:id="545" w:name="_Toc429503772"/>
      <w:bookmarkStart w:id="546" w:name="_Toc429504278"/>
      <w:bookmarkStart w:id="547" w:name="_Toc429677991"/>
      <w:bookmarkStart w:id="548" w:name="_Toc430017154"/>
      <w:bookmarkStart w:id="549" w:name="_Toc430017383"/>
      <w:bookmarkStart w:id="550" w:name="_Toc430018665"/>
      <w:bookmarkStart w:id="551" w:name="_Toc430125263"/>
      <w:bookmarkStart w:id="552" w:name="_Toc430125371"/>
      <w:r w:rsidRPr="008A1DB4">
        <w:rPr>
          <w:spacing w:val="-2"/>
          <w:lang w:val="en-US"/>
        </w:rPr>
        <w:t xml:space="preserve">C.2.b) </w:t>
      </w:r>
      <w:r w:rsidR="00860B3A" w:rsidRPr="008A1DB4">
        <w:rPr>
          <w:spacing w:val="-2"/>
          <w:lang w:val="en-US"/>
        </w:rPr>
        <w:t>The actual situation</w:t>
      </w:r>
      <w:bookmarkEnd w:id="542"/>
      <w:bookmarkEnd w:id="543"/>
      <w:bookmarkEnd w:id="544"/>
      <w:bookmarkEnd w:id="545"/>
      <w:bookmarkEnd w:id="546"/>
      <w:bookmarkEnd w:id="547"/>
      <w:bookmarkEnd w:id="548"/>
      <w:bookmarkEnd w:id="549"/>
      <w:bookmarkEnd w:id="550"/>
      <w:bookmarkEnd w:id="551"/>
      <w:bookmarkEnd w:id="552"/>
      <w:r w:rsidRPr="008A1DB4">
        <w:rPr>
          <w:spacing w:val="-2"/>
          <w:lang w:val="en-US"/>
        </w:rPr>
        <w:t xml:space="preserve"> </w:t>
      </w:r>
    </w:p>
    <w:bookmarkEnd w:id="541"/>
    <w:p w14:paraId="7EC8B3F7" w14:textId="77777777" w:rsidR="00FE32A6" w:rsidRPr="008A1DB4" w:rsidRDefault="00FE32A6" w:rsidP="00956E97">
      <w:pPr>
        <w:tabs>
          <w:tab w:val="left" w:pos="567"/>
        </w:tabs>
        <w:rPr>
          <w:b/>
          <w:spacing w:val="-2"/>
          <w:lang w:val="en-US"/>
        </w:rPr>
      </w:pPr>
    </w:p>
    <w:p w14:paraId="74AD193E" w14:textId="7CD5E7E4" w:rsidR="00FE32A6" w:rsidRPr="008A1DB4" w:rsidRDefault="000F79C3" w:rsidP="000F79C3">
      <w:pPr>
        <w:pStyle w:val="PrrafodeSentencia"/>
        <w:rPr>
          <w:spacing w:val="-2"/>
          <w:lang w:val="en-US"/>
        </w:rPr>
      </w:pPr>
      <w:r w:rsidRPr="008A1DB4">
        <w:rPr>
          <w:spacing w:val="-2"/>
          <w:lang w:val="en-US"/>
        </w:rPr>
        <w:t xml:space="preserve">Following this last decision, the case file does not show that any new appeals have been filed against the judgment of the Constitutional Court or with regard to </w:t>
      </w:r>
      <w:r w:rsidR="00671326" w:rsidRPr="008A1DB4">
        <w:rPr>
          <w:spacing w:val="-2"/>
          <w:lang w:val="en-US"/>
        </w:rPr>
        <w:t xml:space="preserve">the </w:t>
      </w:r>
      <w:r w:rsidR="00FC5891" w:rsidRPr="008A1DB4">
        <w:rPr>
          <w:spacing w:val="-2"/>
          <w:lang w:val="en-US"/>
        </w:rPr>
        <w:t>extradition process</w:t>
      </w:r>
      <w:r w:rsidR="00FE32A6" w:rsidRPr="008A1DB4">
        <w:rPr>
          <w:spacing w:val="-2"/>
          <w:lang w:val="en-US"/>
        </w:rPr>
        <w:t xml:space="preserve"> </w:t>
      </w:r>
      <w:r w:rsidRPr="008A1DB4">
        <w:rPr>
          <w:spacing w:val="-2"/>
          <w:lang w:val="en-US"/>
        </w:rPr>
        <w:t>before</w:t>
      </w:r>
      <w:r w:rsidR="00FE32A6" w:rsidRPr="008A1DB4">
        <w:rPr>
          <w:spacing w:val="-2"/>
          <w:lang w:val="en-US"/>
        </w:rPr>
        <w:t xml:space="preserve"> </w:t>
      </w:r>
      <w:r w:rsidR="00B67AC5" w:rsidRPr="008A1DB4">
        <w:rPr>
          <w:spacing w:val="-2"/>
          <w:lang w:val="en-US"/>
        </w:rPr>
        <w:t>the Supreme Court</w:t>
      </w:r>
      <w:r w:rsidR="00FE32A6" w:rsidRPr="008A1DB4">
        <w:rPr>
          <w:spacing w:val="-2"/>
          <w:lang w:val="en-US"/>
        </w:rPr>
        <w:t xml:space="preserve">. </w:t>
      </w:r>
      <w:r w:rsidRPr="008A1DB4">
        <w:rPr>
          <w:spacing w:val="-2"/>
          <w:lang w:val="en-US"/>
        </w:rPr>
        <w:t>Consequently, at this time, the</w:t>
      </w:r>
      <w:r w:rsidR="00FE32A6" w:rsidRPr="008A1DB4">
        <w:rPr>
          <w:spacing w:val="-2"/>
          <w:lang w:val="en-US"/>
        </w:rPr>
        <w:t xml:space="preserve"> </w:t>
      </w:r>
      <w:r w:rsidR="002D1CFC" w:rsidRPr="008A1DB4">
        <w:rPr>
          <w:spacing w:val="-2"/>
          <w:lang w:val="en-US"/>
        </w:rPr>
        <w:t>advisory decision of the Criminal Chamber</w:t>
      </w:r>
      <w:r w:rsidR="00F36400" w:rsidRPr="008A1DB4">
        <w:rPr>
          <w:spacing w:val="-2"/>
          <w:lang w:val="en-US"/>
        </w:rPr>
        <w:t xml:space="preserve"> of </w:t>
      </w:r>
      <w:r w:rsidR="00B67AC5" w:rsidRPr="008A1DB4">
        <w:rPr>
          <w:spacing w:val="-2"/>
          <w:lang w:val="en-US"/>
        </w:rPr>
        <w:t>the Supreme Court</w:t>
      </w:r>
      <w:r w:rsidR="00FE32A6" w:rsidRPr="008A1DB4">
        <w:rPr>
          <w:spacing w:val="-2"/>
          <w:lang w:val="en-US"/>
        </w:rPr>
        <w:t xml:space="preserve"> </w:t>
      </w:r>
      <w:r w:rsidR="00671326" w:rsidRPr="008A1DB4">
        <w:rPr>
          <w:spacing w:val="-2"/>
          <w:lang w:val="en-US"/>
        </w:rPr>
        <w:t>of January 27,</w:t>
      </w:r>
      <w:r w:rsidR="00FE32A6" w:rsidRPr="008A1DB4">
        <w:rPr>
          <w:spacing w:val="-2"/>
          <w:lang w:val="en-US"/>
        </w:rPr>
        <w:t xml:space="preserve"> 2010, </w:t>
      </w:r>
      <w:r w:rsidRPr="008A1DB4">
        <w:rPr>
          <w:spacing w:val="-2"/>
          <w:lang w:val="en-US"/>
        </w:rPr>
        <w:t xml:space="preserve">which finds extradition admissible and a binding </w:t>
      </w:r>
      <w:r w:rsidR="00D71BDE" w:rsidRPr="008A1DB4">
        <w:rPr>
          <w:i/>
          <w:spacing w:val="-2"/>
          <w:lang w:val="en-US"/>
        </w:rPr>
        <w:t>prima facie</w:t>
      </w:r>
      <w:r w:rsidR="00FE32A6" w:rsidRPr="008A1DB4">
        <w:rPr>
          <w:spacing w:val="-2"/>
          <w:lang w:val="en-US"/>
        </w:rPr>
        <w:t xml:space="preserve"> </w:t>
      </w:r>
      <w:r w:rsidR="00201E4D">
        <w:rPr>
          <w:spacing w:val="-2"/>
          <w:lang w:val="en-US"/>
        </w:rPr>
        <w:t>r</w:t>
      </w:r>
      <w:r w:rsidR="005868A4" w:rsidRPr="008A1DB4">
        <w:rPr>
          <w:spacing w:val="-2"/>
          <w:lang w:val="en-US"/>
        </w:rPr>
        <w:t>uling of the Constitutional</w:t>
      </w:r>
      <w:r w:rsidR="00B43F84" w:rsidRPr="008A1DB4">
        <w:rPr>
          <w:spacing w:val="-2"/>
          <w:lang w:val="en-US"/>
        </w:rPr>
        <w:t xml:space="preserve"> Court</w:t>
      </w:r>
      <w:r w:rsidR="00AB4E6D" w:rsidRPr="008A1DB4">
        <w:rPr>
          <w:spacing w:val="-2"/>
          <w:lang w:val="en-US"/>
        </w:rPr>
        <w:t xml:space="preserve"> of</w:t>
      </w:r>
      <w:r w:rsidR="00FE32A6" w:rsidRPr="008A1DB4">
        <w:rPr>
          <w:spacing w:val="-2"/>
          <w:lang w:val="en-US"/>
        </w:rPr>
        <w:t xml:space="preserve"> </w:t>
      </w:r>
      <w:r w:rsidR="00B43F84" w:rsidRPr="008A1DB4">
        <w:rPr>
          <w:spacing w:val="-2"/>
          <w:lang w:val="en-US"/>
        </w:rPr>
        <w:t>May 24,</w:t>
      </w:r>
      <w:r w:rsidR="00FE32A6" w:rsidRPr="008A1DB4">
        <w:rPr>
          <w:spacing w:val="-2"/>
          <w:lang w:val="en-US"/>
        </w:rPr>
        <w:t xml:space="preserve"> 2011, </w:t>
      </w:r>
      <w:r w:rsidR="00AB4E6D" w:rsidRPr="008A1DB4">
        <w:rPr>
          <w:spacing w:val="-2"/>
          <w:lang w:val="en-US"/>
        </w:rPr>
        <w:t xml:space="preserve">ordering the State to refrain from extraditing </w:t>
      </w:r>
      <w:r w:rsidR="00FE32A6" w:rsidRPr="008A1DB4">
        <w:rPr>
          <w:spacing w:val="-2"/>
          <w:lang w:val="en-US"/>
        </w:rPr>
        <w:t>Wong Ho Wing</w:t>
      </w:r>
      <w:r w:rsidRPr="008A1DB4">
        <w:rPr>
          <w:spacing w:val="-2"/>
          <w:lang w:val="en-US"/>
        </w:rPr>
        <w:t xml:space="preserve"> are both in force simultaneously</w:t>
      </w:r>
      <w:r w:rsidR="00FE32A6" w:rsidRPr="008A1DB4">
        <w:rPr>
          <w:spacing w:val="-2"/>
          <w:lang w:val="en-US"/>
        </w:rPr>
        <w:t xml:space="preserve">. </w:t>
      </w:r>
      <w:r w:rsidRPr="008A1DB4">
        <w:rPr>
          <w:spacing w:val="-2"/>
          <w:lang w:val="en-US"/>
        </w:rPr>
        <w:t>Since that time</w:t>
      </w:r>
      <w:r w:rsidR="00AB4E6D" w:rsidRPr="008A1DB4">
        <w:rPr>
          <w:spacing w:val="-2"/>
          <w:lang w:val="en-US"/>
        </w:rPr>
        <w:t xml:space="preserve">, the process has been in the hands </w:t>
      </w:r>
      <w:r w:rsidR="00776D24" w:rsidRPr="008A1DB4">
        <w:rPr>
          <w:spacing w:val="-2"/>
          <w:lang w:val="en-US"/>
        </w:rPr>
        <w:t xml:space="preserve">of the </w:t>
      </w:r>
      <w:r w:rsidR="00B43F84" w:rsidRPr="008A1DB4">
        <w:rPr>
          <w:spacing w:val="-2"/>
          <w:lang w:val="en-US"/>
        </w:rPr>
        <w:t>Executive Branch</w:t>
      </w:r>
      <w:r w:rsidR="00FE32A6" w:rsidRPr="008A1DB4">
        <w:rPr>
          <w:spacing w:val="-2"/>
          <w:lang w:val="en-US"/>
        </w:rPr>
        <w:t xml:space="preserve">, </w:t>
      </w:r>
      <w:r w:rsidR="00AB4E6D" w:rsidRPr="008A1DB4">
        <w:rPr>
          <w:spacing w:val="-2"/>
          <w:lang w:val="en-US"/>
        </w:rPr>
        <w:t>which has not taken a final decision in this regard</w:t>
      </w:r>
      <w:r w:rsidR="00FE32A6" w:rsidRPr="008A1DB4">
        <w:rPr>
          <w:spacing w:val="-2"/>
          <w:lang w:val="en-US"/>
        </w:rPr>
        <w:t xml:space="preserve">. </w:t>
      </w:r>
    </w:p>
    <w:p w14:paraId="2FAE4BF2" w14:textId="77777777" w:rsidR="00FE32A6" w:rsidRPr="008A1DB4" w:rsidRDefault="00FE32A6" w:rsidP="00956E97">
      <w:pPr>
        <w:pStyle w:val="PrrafodeSentencia"/>
        <w:numPr>
          <w:ilvl w:val="0"/>
          <w:numId w:val="0"/>
        </w:numPr>
        <w:rPr>
          <w:spacing w:val="-2"/>
          <w:lang w:val="en-US"/>
        </w:rPr>
      </w:pPr>
    </w:p>
    <w:p w14:paraId="4CA45675" w14:textId="4DC7C3CF" w:rsidR="00FE32A6" w:rsidRPr="008A1DB4" w:rsidRDefault="00FE32A6" w:rsidP="00956E97">
      <w:pPr>
        <w:pStyle w:val="Heading2"/>
        <w:ind w:firstLine="0"/>
        <w:rPr>
          <w:spacing w:val="-2"/>
          <w:lang w:val="en-US"/>
        </w:rPr>
      </w:pPr>
      <w:bookmarkStart w:id="553" w:name="_Toc418912609"/>
      <w:bookmarkStart w:id="554" w:name="_Toc419394395"/>
      <w:bookmarkStart w:id="555" w:name="_Toc419470161"/>
      <w:bookmarkStart w:id="556" w:name="_Toc429490261"/>
      <w:bookmarkStart w:id="557" w:name="_Toc429503773"/>
      <w:bookmarkStart w:id="558" w:name="_Toc429504279"/>
      <w:bookmarkStart w:id="559" w:name="_Toc429677992"/>
      <w:bookmarkStart w:id="560" w:name="_Toc430017155"/>
      <w:bookmarkStart w:id="561" w:name="_Toc430017384"/>
      <w:bookmarkStart w:id="562" w:name="_Toc430018666"/>
      <w:bookmarkStart w:id="563" w:name="_Toc430125264"/>
      <w:bookmarkStart w:id="564" w:name="_Toc430125372"/>
      <w:r w:rsidRPr="008A1DB4">
        <w:rPr>
          <w:spacing w:val="-2"/>
          <w:lang w:val="en-US"/>
        </w:rPr>
        <w:t xml:space="preserve">C.3) </w:t>
      </w:r>
      <w:r w:rsidR="00945E57" w:rsidRPr="008A1DB4">
        <w:rPr>
          <w:spacing w:val="-2"/>
          <w:lang w:val="en-US"/>
        </w:rPr>
        <w:t>Diplomatic assurances</w:t>
      </w:r>
      <w:r w:rsidR="00860B3A" w:rsidRPr="008A1DB4">
        <w:rPr>
          <w:spacing w:val="-2"/>
          <w:lang w:val="en-US"/>
        </w:rPr>
        <w:t xml:space="preserve"> granted by</w:t>
      </w:r>
      <w:r w:rsidRPr="008A1DB4">
        <w:rPr>
          <w:spacing w:val="-2"/>
          <w:lang w:val="en-US"/>
        </w:rPr>
        <w:t xml:space="preserve"> </w:t>
      </w:r>
      <w:r w:rsidR="00FE5E87" w:rsidRPr="008A1DB4">
        <w:rPr>
          <w:spacing w:val="-2"/>
          <w:lang w:val="en-US"/>
        </w:rPr>
        <w:t>the People’s Republic of China</w:t>
      </w:r>
      <w:r w:rsidRPr="008A1DB4">
        <w:rPr>
          <w:spacing w:val="-2"/>
          <w:lang w:val="en-US"/>
        </w:rPr>
        <w:t xml:space="preserve"> </w:t>
      </w:r>
      <w:r w:rsidR="00860B3A" w:rsidRPr="008A1DB4">
        <w:rPr>
          <w:spacing w:val="-2"/>
          <w:lang w:val="en-US"/>
        </w:rPr>
        <w:t>in relation to the extradition</w:t>
      </w:r>
      <w:r w:rsidRPr="008A1DB4">
        <w:rPr>
          <w:spacing w:val="-2"/>
          <w:lang w:val="en-US"/>
        </w:rPr>
        <w:t xml:space="preserve"> </w:t>
      </w:r>
      <w:r w:rsidR="00B43F84" w:rsidRPr="008A1DB4">
        <w:rPr>
          <w:spacing w:val="-2"/>
          <w:lang w:val="en-US"/>
        </w:rPr>
        <w:t>of Wong</w:t>
      </w:r>
      <w:r w:rsidRPr="008A1DB4">
        <w:rPr>
          <w:spacing w:val="-2"/>
          <w:lang w:val="en-US"/>
        </w:rPr>
        <w:t xml:space="preserve"> Ho Wing</w:t>
      </w:r>
      <w:bookmarkEnd w:id="553"/>
      <w:bookmarkEnd w:id="554"/>
      <w:bookmarkEnd w:id="555"/>
      <w:bookmarkEnd w:id="556"/>
      <w:bookmarkEnd w:id="557"/>
      <w:bookmarkEnd w:id="558"/>
      <w:bookmarkEnd w:id="559"/>
      <w:bookmarkEnd w:id="560"/>
      <w:bookmarkEnd w:id="561"/>
      <w:bookmarkEnd w:id="562"/>
      <w:bookmarkEnd w:id="563"/>
      <w:bookmarkEnd w:id="564"/>
      <w:r w:rsidRPr="008A1DB4">
        <w:rPr>
          <w:spacing w:val="-2"/>
          <w:lang w:val="en-US"/>
        </w:rPr>
        <w:t xml:space="preserve"> </w:t>
      </w:r>
    </w:p>
    <w:p w14:paraId="5795B4A6" w14:textId="77777777" w:rsidR="00FE32A6" w:rsidRPr="008A1DB4" w:rsidRDefault="00FE32A6" w:rsidP="00956E97">
      <w:pPr>
        <w:rPr>
          <w:spacing w:val="-2"/>
          <w:lang w:val="en-US"/>
        </w:rPr>
      </w:pPr>
    </w:p>
    <w:p w14:paraId="25401E98" w14:textId="1ABAE665" w:rsidR="00FE32A6" w:rsidRPr="008A1DB4" w:rsidRDefault="00186FB2" w:rsidP="00956E97">
      <w:pPr>
        <w:pStyle w:val="PrrafodeSentencia"/>
        <w:rPr>
          <w:spacing w:val="-2"/>
          <w:lang w:val="en-US"/>
        </w:rPr>
      </w:pPr>
      <w:bookmarkStart w:id="565" w:name="_Ref418755874"/>
      <w:r w:rsidRPr="008A1DB4">
        <w:rPr>
          <w:spacing w:val="-2"/>
          <w:lang w:val="en-US"/>
        </w:rPr>
        <w:t xml:space="preserve">In this case, the following </w:t>
      </w:r>
      <w:r w:rsidR="00201E4D">
        <w:rPr>
          <w:spacing w:val="-2"/>
          <w:lang w:val="en-US"/>
        </w:rPr>
        <w:t>diplomatic assurances</w:t>
      </w:r>
      <w:r w:rsidRPr="008A1DB4">
        <w:rPr>
          <w:spacing w:val="-2"/>
          <w:lang w:val="en-US"/>
        </w:rPr>
        <w:t xml:space="preserve"> or notes </w:t>
      </w:r>
      <w:r w:rsidR="00201E4D">
        <w:rPr>
          <w:spacing w:val="-2"/>
          <w:lang w:val="en-US"/>
        </w:rPr>
        <w:t xml:space="preserve">haves been </w:t>
      </w:r>
      <w:r w:rsidRPr="008A1DB4">
        <w:rPr>
          <w:spacing w:val="-2"/>
          <w:lang w:val="en-US"/>
        </w:rPr>
        <w:t xml:space="preserve">given to Peru by </w:t>
      </w:r>
      <w:r w:rsidR="00FE5E87" w:rsidRPr="008A1DB4">
        <w:rPr>
          <w:spacing w:val="-2"/>
          <w:lang w:val="en-US"/>
        </w:rPr>
        <w:t>the People’s Republic of China</w:t>
      </w:r>
      <w:r w:rsidRPr="008A1DB4">
        <w:rPr>
          <w:spacing w:val="-2"/>
          <w:lang w:val="en-US"/>
        </w:rPr>
        <w:t xml:space="preserve"> progressively</w:t>
      </w:r>
      <w:r w:rsidR="00BA6839" w:rsidRPr="008A1DB4">
        <w:rPr>
          <w:spacing w:val="-2"/>
          <w:lang w:val="en-US"/>
        </w:rPr>
        <w:t xml:space="preserve">, </w:t>
      </w:r>
      <w:r w:rsidRPr="008A1DB4">
        <w:rPr>
          <w:spacing w:val="-2"/>
          <w:lang w:val="en-US"/>
        </w:rPr>
        <w:t xml:space="preserve">between </w:t>
      </w:r>
      <w:r w:rsidR="004350FD" w:rsidRPr="008A1DB4">
        <w:rPr>
          <w:spacing w:val="-2"/>
          <w:lang w:val="en-US"/>
        </w:rPr>
        <w:t>February</w:t>
      </w:r>
      <w:r w:rsidR="00FE32A6" w:rsidRPr="008A1DB4">
        <w:rPr>
          <w:spacing w:val="-2"/>
          <w:lang w:val="en-US"/>
        </w:rPr>
        <w:t xml:space="preserve"> 2009 </w:t>
      </w:r>
      <w:r w:rsidRPr="008A1DB4">
        <w:rPr>
          <w:spacing w:val="-2"/>
          <w:lang w:val="en-US"/>
        </w:rPr>
        <w:t>and</w:t>
      </w:r>
      <w:r w:rsidR="004350FD" w:rsidRPr="008A1DB4">
        <w:rPr>
          <w:spacing w:val="-2"/>
          <w:lang w:val="en-US"/>
        </w:rPr>
        <w:t xml:space="preserve"> January</w:t>
      </w:r>
      <w:r w:rsidR="004E3369" w:rsidRPr="008A1DB4">
        <w:rPr>
          <w:spacing w:val="-2"/>
          <w:lang w:val="en-US"/>
        </w:rPr>
        <w:t xml:space="preserve"> 2010, </w:t>
      </w:r>
      <w:r w:rsidRPr="008A1DB4">
        <w:rPr>
          <w:spacing w:val="-2"/>
          <w:lang w:val="en-US"/>
        </w:rPr>
        <w:t xml:space="preserve">when the second </w:t>
      </w:r>
      <w:r w:rsidR="002D1CFC" w:rsidRPr="008A1DB4">
        <w:rPr>
          <w:spacing w:val="-2"/>
          <w:lang w:val="en-US"/>
        </w:rPr>
        <w:t>advisory decision</w:t>
      </w:r>
      <w:r w:rsidRPr="008A1DB4">
        <w:rPr>
          <w:spacing w:val="-2"/>
          <w:lang w:val="en-US"/>
        </w:rPr>
        <w:t xml:space="preserve"> was issued</w:t>
      </w:r>
      <w:r w:rsidR="004E3369" w:rsidRPr="008A1DB4">
        <w:rPr>
          <w:spacing w:val="-2"/>
          <w:lang w:val="en-US"/>
        </w:rPr>
        <w:t xml:space="preserve"> (</w:t>
      </w:r>
      <w:r w:rsidR="004E3369" w:rsidRPr="008A1DB4">
        <w:rPr>
          <w:i/>
          <w:spacing w:val="-2"/>
          <w:lang w:val="en-US"/>
        </w:rPr>
        <w:t>supra</w:t>
      </w:r>
      <w:r w:rsidR="004E3369" w:rsidRPr="008A1DB4">
        <w:rPr>
          <w:spacing w:val="-2"/>
          <w:lang w:val="en-US"/>
        </w:rPr>
        <w:t xml:space="preserve"> </w:t>
      </w:r>
      <w:r w:rsidR="00C45946" w:rsidRPr="008A1DB4">
        <w:rPr>
          <w:spacing w:val="-2"/>
          <w:lang w:val="en-US"/>
        </w:rPr>
        <w:t xml:space="preserve">para. </w:t>
      </w:r>
      <w:r w:rsidR="004E3369" w:rsidRPr="008A1DB4">
        <w:rPr>
          <w:spacing w:val="-2"/>
          <w:lang w:val="en-US"/>
        </w:rPr>
        <w:fldChar w:fldCharType="begin"/>
      </w:r>
      <w:r w:rsidR="004E3369" w:rsidRPr="008A1DB4">
        <w:rPr>
          <w:spacing w:val="-2"/>
          <w:lang w:val="en-US"/>
        </w:rPr>
        <w:instrText xml:space="preserve"> REF _Ref402186805 \r \h </w:instrText>
      </w:r>
      <w:r w:rsidR="00EB3BAE" w:rsidRPr="008A1DB4">
        <w:rPr>
          <w:spacing w:val="-2"/>
          <w:lang w:val="en-US"/>
        </w:rPr>
        <w:instrText xml:space="preserve"> \* MERGEFORMAT </w:instrText>
      </w:r>
      <w:r w:rsidR="004E3369" w:rsidRPr="008A1DB4">
        <w:rPr>
          <w:spacing w:val="-2"/>
          <w:lang w:val="en-US"/>
        </w:rPr>
      </w:r>
      <w:r w:rsidR="004E3369" w:rsidRPr="008A1DB4">
        <w:rPr>
          <w:spacing w:val="-2"/>
          <w:lang w:val="en-US"/>
        </w:rPr>
        <w:fldChar w:fldCharType="separate"/>
      </w:r>
      <w:r w:rsidR="00E961FA" w:rsidRPr="008A1DB4">
        <w:rPr>
          <w:spacing w:val="-2"/>
          <w:lang w:val="en-US"/>
        </w:rPr>
        <w:t>78</w:t>
      </w:r>
      <w:r w:rsidR="004E3369" w:rsidRPr="008A1DB4">
        <w:rPr>
          <w:spacing w:val="-2"/>
          <w:lang w:val="en-US"/>
        </w:rPr>
        <w:fldChar w:fldCharType="end"/>
      </w:r>
      <w:r w:rsidR="004E3369" w:rsidRPr="008A1DB4">
        <w:rPr>
          <w:spacing w:val="-2"/>
          <w:lang w:val="en-US"/>
        </w:rPr>
        <w:t>)</w:t>
      </w:r>
      <w:r w:rsidR="00FE32A6" w:rsidRPr="008A1DB4">
        <w:rPr>
          <w:spacing w:val="-2"/>
          <w:lang w:val="en-US"/>
        </w:rPr>
        <w:t>:</w:t>
      </w:r>
      <w:bookmarkEnd w:id="565"/>
    </w:p>
    <w:p w14:paraId="27E28257" w14:textId="77777777" w:rsidR="00FE32A6" w:rsidRPr="008A1DB4" w:rsidRDefault="00FE32A6" w:rsidP="00956E97">
      <w:pPr>
        <w:pStyle w:val="PrrafodeSentencia"/>
        <w:numPr>
          <w:ilvl w:val="0"/>
          <w:numId w:val="0"/>
        </w:numPr>
        <w:rPr>
          <w:spacing w:val="-2"/>
          <w:lang w:val="en-US"/>
        </w:rPr>
      </w:pPr>
    </w:p>
    <w:p w14:paraId="37AF0445" w14:textId="5FEA6591" w:rsidR="00FE32A6" w:rsidRPr="008A1DB4" w:rsidRDefault="004350FD" w:rsidP="00956E97">
      <w:pPr>
        <w:pStyle w:val="ListParagraph"/>
        <w:numPr>
          <w:ilvl w:val="1"/>
          <w:numId w:val="6"/>
        </w:numPr>
        <w:tabs>
          <w:tab w:val="left" w:pos="284"/>
          <w:tab w:val="left" w:pos="567"/>
        </w:tabs>
        <w:rPr>
          <w:spacing w:val="-2"/>
          <w:sz w:val="18"/>
          <w:szCs w:val="18"/>
          <w:lang w:val="en-US"/>
        </w:rPr>
      </w:pPr>
      <w:bookmarkStart w:id="566" w:name="_Ref418755878"/>
      <w:r w:rsidRPr="008A1DB4">
        <w:rPr>
          <w:spacing w:val="-2"/>
          <w:sz w:val="18"/>
          <w:szCs w:val="18"/>
          <w:u w:val="single"/>
          <w:lang w:val="en-US"/>
        </w:rPr>
        <w:t>First diplomatic note</w:t>
      </w:r>
      <w:r w:rsidR="00FE32A6" w:rsidRPr="008A1DB4">
        <w:rPr>
          <w:spacing w:val="-2"/>
          <w:sz w:val="18"/>
          <w:szCs w:val="18"/>
          <w:lang w:val="en-US"/>
        </w:rPr>
        <w:t>:</w:t>
      </w:r>
      <w:r w:rsidRPr="008A1DB4">
        <w:rPr>
          <w:spacing w:val="-2"/>
          <w:sz w:val="18"/>
          <w:szCs w:val="18"/>
          <w:lang w:val="en-US"/>
        </w:rPr>
        <w:t xml:space="preserve"> note of </w:t>
      </w:r>
      <w:r w:rsidR="00E022F9" w:rsidRPr="008A1DB4">
        <w:rPr>
          <w:spacing w:val="-2"/>
          <w:sz w:val="18"/>
          <w:szCs w:val="18"/>
          <w:lang w:val="en-US"/>
        </w:rPr>
        <w:t>February 2,</w:t>
      </w:r>
      <w:r w:rsidR="00FE32A6" w:rsidRPr="008A1DB4">
        <w:rPr>
          <w:spacing w:val="-2"/>
          <w:sz w:val="18"/>
          <w:szCs w:val="18"/>
          <w:lang w:val="en-US"/>
        </w:rPr>
        <w:t xml:space="preserve"> 2009</w:t>
      </w:r>
      <w:bookmarkEnd w:id="566"/>
    </w:p>
    <w:p w14:paraId="50439B8A" w14:textId="0160059D" w:rsidR="00FE32A6" w:rsidRPr="008A1DB4" w:rsidRDefault="00186FB2" w:rsidP="00956E97">
      <w:pPr>
        <w:pStyle w:val="ListParagraph"/>
        <w:tabs>
          <w:tab w:val="left" w:pos="284"/>
          <w:tab w:val="left" w:pos="567"/>
        </w:tabs>
        <w:ind w:left="1440"/>
        <w:rPr>
          <w:spacing w:val="-2"/>
          <w:sz w:val="18"/>
          <w:szCs w:val="18"/>
          <w:lang w:val="en-US"/>
        </w:rPr>
      </w:pPr>
      <w:r w:rsidRPr="008A1DB4">
        <w:rPr>
          <w:spacing w:val="-2"/>
          <w:sz w:val="18"/>
          <w:szCs w:val="18"/>
          <w:lang w:val="en-US"/>
        </w:rPr>
        <w:t>General Directorate</w:t>
      </w:r>
      <w:r w:rsidR="00FE32A6" w:rsidRPr="008A1DB4">
        <w:rPr>
          <w:spacing w:val="-2"/>
          <w:sz w:val="18"/>
          <w:szCs w:val="18"/>
          <w:lang w:val="en-US"/>
        </w:rPr>
        <w:t xml:space="preserve"> No. 24 </w:t>
      </w:r>
      <w:r w:rsidR="00087CF8" w:rsidRPr="008A1DB4">
        <w:rPr>
          <w:spacing w:val="-2"/>
          <w:sz w:val="18"/>
          <w:szCs w:val="18"/>
          <w:lang w:val="en-US"/>
        </w:rPr>
        <w:t>of the Ministry of Public Security</w:t>
      </w:r>
      <w:r w:rsidR="002D1CFC" w:rsidRPr="008A1DB4">
        <w:rPr>
          <w:spacing w:val="-2"/>
          <w:sz w:val="18"/>
          <w:szCs w:val="18"/>
          <w:lang w:val="en-US"/>
        </w:rPr>
        <w:t xml:space="preserve"> of the </w:t>
      </w:r>
      <w:r w:rsidR="00FE5E87" w:rsidRPr="008A1DB4">
        <w:rPr>
          <w:spacing w:val="-2"/>
          <w:sz w:val="18"/>
          <w:szCs w:val="18"/>
          <w:lang w:val="en-US"/>
        </w:rPr>
        <w:t>People’s Republic of China</w:t>
      </w:r>
      <w:r w:rsidR="00FE32A6" w:rsidRPr="008A1DB4">
        <w:rPr>
          <w:rStyle w:val="FootnoteReference"/>
          <w:spacing w:val="-2"/>
          <w:sz w:val="18"/>
          <w:szCs w:val="18"/>
          <w:lang w:val="en-US"/>
        </w:rPr>
        <w:footnoteReference w:id="120"/>
      </w:r>
      <w:r w:rsidRPr="008A1DB4">
        <w:rPr>
          <w:spacing w:val="-2"/>
          <w:sz w:val="18"/>
          <w:szCs w:val="18"/>
          <w:lang w:val="en-US"/>
        </w:rPr>
        <w:t xml:space="preserve"> presented the following explanation to </w:t>
      </w:r>
      <w:r w:rsidR="00F36400" w:rsidRPr="008A1DB4">
        <w:rPr>
          <w:spacing w:val="-2"/>
          <w:sz w:val="18"/>
          <w:szCs w:val="18"/>
          <w:lang w:val="en-US"/>
        </w:rPr>
        <w:t xml:space="preserve">the </w:t>
      </w:r>
      <w:r w:rsidR="00E022F9" w:rsidRPr="008A1DB4">
        <w:rPr>
          <w:spacing w:val="-2"/>
          <w:sz w:val="18"/>
          <w:szCs w:val="18"/>
          <w:lang w:val="en-US"/>
        </w:rPr>
        <w:t>Official Commission for Extradition</w:t>
      </w:r>
      <w:r w:rsidR="009D56A9">
        <w:rPr>
          <w:spacing w:val="-2"/>
          <w:sz w:val="18"/>
          <w:szCs w:val="18"/>
          <w:lang w:val="en-US"/>
        </w:rPr>
        <w:t>s</w:t>
      </w:r>
      <w:r w:rsidR="00E022F9" w:rsidRPr="008A1DB4">
        <w:rPr>
          <w:spacing w:val="-2"/>
          <w:sz w:val="18"/>
          <w:szCs w:val="18"/>
          <w:lang w:val="en-US"/>
        </w:rPr>
        <w:t xml:space="preserve"> and </w:t>
      </w:r>
      <w:r w:rsidR="009D56A9">
        <w:rPr>
          <w:spacing w:val="-2"/>
          <w:sz w:val="18"/>
          <w:szCs w:val="18"/>
          <w:lang w:val="en-US"/>
        </w:rPr>
        <w:t xml:space="preserve">Prisoner </w:t>
      </w:r>
      <w:r w:rsidR="00E022F9" w:rsidRPr="008A1DB4">
        <w:rPr>
          <w:spacing w:val="-2"/>
          <w:sz w:val="18"/>
          <w:szCs w:val="18"/>
          <w:lang w:val="en-US"/>
        </w:rPr>
        <w:t>Transfers</w:t>
      </w:r>
      <w:r w:rsidR="00671326" w:rsidRPr="008A1DB4">
        <w:rPr>
          <w:spacing w:val="-2"/>
          <w:sz w:val="18"/>
          <w:szCs w:val="18"/>
          <w:lang w:val="en-US"/>
        </w:rPr>
        <w:t xml:space="preserve"> of the </w:t>
      </w:r>
      <w:r w:rsidR="002D1CFC" w:rsidRPr="008A1DB4">
        <w:rPr>
          <w:spacing w:val="-2"/>
          <w:sz w:val="18"/>
          <w:szCs w:val="18"/>
          <w:lang w:val="en-US"/>
        </w:rPr>
        <w:t>Ministry of Justice</w:t>
      </w:r>
      <w:r w:rsidR="00FE32A6" w:rsidRPr="008A1DB4">
        <w:rPr>
          <w:spacing w:val="-2"/>
          <w:sz w:val="18"/>
          <w:szCs w:val="18"/>
          <w:lang w:val="en-US"/>
        </w:rPr>
        <w:t xml:space="preserve"> </w:t>
      </w:r>
      <w:r w:rsidR="00E022F9" w:rsidRPr="008A1DB4">
        <w:rPr>
          <w:spacing w:val="-2"/>
          <w:sz w:val="18"/>
          <w:szCs w:val="18"/>
          <w:lang w:val="en-US"/>
        </w:rPr>
        <w:t>of Peru</w:t>
      </w:r>
      <w:r w:rsidR="00FE32A6" w:rsidRPr="008A1DB4">
        <w:rPr>
          <w:spacing w:val="-2"/>
          <w:sz w:val="18"/>
          <w:szCs w:val="18"/>
          <w:lang w:val="en-US"/>
        </w:rPr>
        <w:t>:</w:t>
      </w:r>
    </w:p>
    <w:p w14:paraId="4CB2DA1E" w14:textId="77777777" w:rsidR="00FE32A6" w:rsidRPr="008A1DB4" w:rsidRDefault="00FE32A6" w:rsidP="00956E97">
      <w:pPr>
        <w:pStyle w:val="ListParagraph"/>
        <w:tabs>
          <w:tab w:val="left" w:pos="567"/>
        </w:tabs>
        <w:rPr>
          <w:spacing w:val="-2"/>
          <w:sz w:val="18"/>
          <w:szCs w:val="18"/>
          <w:lang w:val="en-US"/>
        </w:rPr>
      </w:pPr>
    </w:p>
    <w:p w14:paraId="04669AB3" w14:textId="2E5FD758" w:rsidR="00FE32A6" w:rsidRPr="008A1DB4" w:rsidRDefault="00186FB2" w:rsidP="00956E97">
      <w:pPr>
        <w:pStyle w:val="ListParagraph"/>
        <w:numPr>
          <w:ilvl w:val="0"/>
          <w:numId w:val="9"/>
        </w:numPr>
        <w:tabs>
          <w:tab w:val="left" w:pos="567"/>
          <w:tab w:val="left" w:pos="1701"/>
          <w:tab w:val="left" w:pos="1985"/>
        </w:tabs>
        <w:ind w:left="1701" w:right="615" w:firstLine="0"/>
        <w:rPr>
          <w:spacing w:val="-2"/>
          <w:sz w:val="16"/>
          <w:szCs w:val="16"/>
          <w:lang w:val="en-US"/>
        </w:rPr>
      </w:pPr>
      <w:r w:rsidRPr="008A1DB4">
        <w:rPr>
          <w:spacing w:val="-2"/>
          <w:sz w:val="16"/>
          <w:szCs w:val="16"/>
          <w:lang w:val="en-US"/>
        </w:rPr>
        <w:t xml:space="preserve">Based on the nature of the offenses for </w:t>
      </w:r>
      <w:r w:rsidR="00947926" w:rsidRPr="008A1DB4">
        <w:rPr>
          <w:spacing w:val="-2"/>
          <w:sz w:val="16"/>
          <w:szCs w:val="16"/>
          <w:lang w:val="en-US"/>
        </w:rPr>
        <w:t>which</w:t>
      </w:r>
      <w:r w:rsidRPr="008A1DB4">
        <w:rPr>
          <w:spacing w:val="-2"/>
          <w:sz w:val="16"/>
          <w:szCs w:val="16"/>
          <w:lang w:val="en-US"/>
        </w:rPr>
        <w:t xml:space="preserve"> the extradition of </w:t>
      </w:r>
      <w:r w:rsidR="00FE32A6" w:rsidRPr="008A1DB4">
        <w:rPr>
          <w:spacing w:val="-2"/>
          <w:sz w:val="16"/>
          <w:szCs w:val="16"/>
          <w:lang w:val="en-US"/>
        </w:rPr>
        <w:t>Wong Ho Wing</w:t>
      </w:r>
      <w:r w:rsidRPr="008A1DB4">
        <w:rPr>
          <w:spacing w:val="-2"/>
          <w:sz w:val="16"/>
          <w:szCs w:val="16"/>
          <w:lang w:val="en-US"/>
        </w:rPr>
        <w:t xml:space="preserve"> is requested </w:t>
      </w:r>
      <w:r w:rsidR="00F36400" w:rsidRPr="008A1DB4">
        <w:rPr>
          <w:spacing w:val="-2"/>
          <w:sz w:val="16"/>
          <w:szCs w:val="16"/>
          <w:lang w:val="en-US"/>
        </w:rPr>
        <w:t xml:space="preserve">and </w:t>
      </w:r>
      <w:r w:rsidRPr="008A1DB4">
        <w:rPr>
          <w:spacing w:val="-2"/>
          <w:sz w:val="16"/>
          <w:szCs w:val="16"/>
          <w:lang w:val="en-US"/>
        </w:rPr>
        <w:t xml:space="preserve">the provisions </w:t>
      </w:r>
      <w:r w:rsidR="001E7113" w:rsidRPr="008A1DB4">
        <w:rPr>
          <w:spacing w:val="-2"/>
          <w:sz w:val="16"/>
          <w:szCs w:val="16"/>
          <w:lang w:val="en-US"/>
        </w:rPr>
        <w:t>of the Criminal Code</w:t>
      </w:r>
      <w:r w:rsidR="002D1CFC" w:rsidRPr="008A1DB4">
        <w:rPr>
          <w:spacing w:val="-2"/>
          <w:sz w:val="16"/>
          <w:szCs w:val="16"/>
          <w:lang w:val="en-US"/>
        </w:rPr>
        <w:t xml:space="preserve"> of the </w:t>
      </w:r>
      <w:r w:rsidR="00FE5E87" w:rsidRPr="008A1DB4">
        <w:rPr>
          <w:spacing w:val="-2"/>
          <w:sz w:val="16"/>
          <w:szCs w:val="16"/>
          <w:lang w:val="en-US"/>
        </w:rPr>
        <w:t>People’s Republic of China</w:t>
      </w:r>
      <w:r w:rsidR="00FE32A6" w:rsidRPr="008A1DB4">
        <w:rPr>
          <w:spacing w:val="-2"/>
          <w:sz w:val="16"/>
          <w:szCs w:val="16"/>
          <w:lang w:val="en-US"/>
        </w:rPr>
        <w:t xml:space="preserve">, </w:t>
      </w:r>
      <w:r w:rsidRPr="008A1DB4">
        <w:rPr>
          <w:spacing w:val="-2"/>
          <w:sz w:val="16"/>
          <w:szCs w:val="16"/>
          <w:lang w:val="en-US"/>
        </w:rPr>
        <w:t xml:space="preserve">there is no possibility of imposing on him the punishment of life imprisonment or the death penalty. </w:t>
      </w:r>
    </w:p>
    <w:p w14:paraId="6F498AC8" w14:textId="77777777" w:rsidR="00FE32A6" w:rsidRPr="008A1DB4" w:rsidRDefault="00FE32A6" w:rsidP="00956E97">
      <w:pPr>
        <w:pStyle w:val="ListParagraph"/>
        <w:tabs>
          <w:tab w:val="left" w:pos="567"/>
          <w:tab w:val="left" w:pos="1701"/>
          <w:tab w:val="left" w:pos="1985"/>
        </w:tabs>
        <w:ind w:left="1701" w:right="615"/>
        <w:rPr>
          <w:spacing w:val="-2"/>
          <w:sz w:val="16"/>
          <w:szCs w:val="16"/>
          <w:lang w:val="en-US"/>
        </w:rPr>
      </w:pPr>
    </w:p>
    <w:p w14:paraId="735E1EFA" w14:textId="1C1733F7" w:rsidR="00FE32A6" w:rsidRPr="008A1DB4" w:rsidRDefault="00186FB2" w:rsidP="00956E97">
      <w:pPr>
        <w:pStyle w:val="ListParagraph"/>
        <w:numPr>
          <w:ilvl w:val="0"/>
          <w:numId w:val="9"/>
        </w:numPr>
        <w:tabs>
          <w:tab w:val="left" w:pos="567"/>
          <w:tab w:val="left" w:pos="1701"/>
          <w:tab w:val="left" w:pos="1985"/>
        </w:tabs>
        <w:ind w:left="1701" w:right="615" w:firstLine="0"/>
        <w:rPr>
          <w:spacing w:val="-2"/>
          <w:sz w:val="16"/>
          <w:szCs w:val="16"/>
          <w:lang w:val="en-US"/>
        </w:rPr>
      </w:pPr>
      <w:r w:rsidRPr="008A1DB4">
        <w:rPr>
          <w:spacing w:val="-2"/>
          <w:sz w:val="16"/>
          <w:szCs w:val="16"/>
          <w:lang w:val="en-US"/>
        </w:rPr>
        <w:t>Chinese justice will impose criminal responsibilities on Wong Ho Wing based on the law and respecting fully the Extradition T</w:t>
      </w:r>
      <w:r w:rsidR="00FE5E87" w:rsidRPr="008A1DB4">
        <w:rPr>
          <w:spacing w:val="-2"/>
          <w:sz w:val="16"/>
          <w:szCs w:val="16"/>
          <w:lang w:val="en-US"/>
        </w:rPr>
        <w:t>reaty between</w:t>
      </w:r>
      <w:r w:rsidR="00FE32A6" w:rsidRPr="008A1DB4">
        <w:rPr>
          <w:spacing w:val="-2"/>
          <w:sz w:val="16"/>
          <w:szCs w:val="16"/>
          <w:lang w:val="en-US"/>
        </w:rPr>
        <w:t xml:space="preserve"> </w:t>
      </w:r>
      <w:r w:rsidRPr="008A1DB4">
        <w:rPr>
          <w:spacing w:val="-2"/>
          <w:sz w:val="16"/>
          <w:szCs w:val="16"/>
          <w:lang w:val="en-US"/>
        </w:rPr>
        <w:t>the Governments of</w:t>
      </w:r>
      <w:r w:rsidR="00FE32A6" w:rsidRPr="008A1DB4">
        <w:rPr>
          <w:spacing w:val="-2"/>
          <w:sz w:val="16"/>
          <w:szCs w:val="16"/>
          <w:lang w:val="en-US"/>
        </w:rPr>
        <w:t xml:space="preserve"> China</w:t>
      </w:r>
      <w:r w:rsidR="00F36400" w:rsidRPr="008A1DB4">
        <w:rPr>
          <w:spacing w:val="-2"/>
          <w:sz w:val="16"/>
          <w:szCs w:val="16"/>
          <w:lang w:val="en-US"/>
        </w:rPr>
        <w:t xml:space="preserve"> and </w:t>
      </w:r>
      <w:r w:rsidR="00FE5E87" w:rsidRPr="008A1DB4">
        <w:rPr>
          <w:spacing w:val="-2"/>
          <w:sz w:val="16"/>
          <w:szCs w:val="16"/>
          <w:lang w:val="en-US"/>
        </w:rPr>
        <w:t>Peru</w:t>
      </w:r>
      <w:r w:rsidRPr="008A1DB4">
        <w:rPr>
          <w:spacing w:val="-2"/>
          <w:sz w:val="16"/>
          <w:szCs w:val="16"/>
          <w:lang w:val="en-US"/>
        </w:rPr>
        <w:t>.</w:t>
      </w:r>
      <w:r w:rsidR="00FE32A6" w:rsidRPr="008A1DB4">
        <w:rPr>
          <w:rStyle w:val="FootnoteReference"/>
          <w:spacing w:val="-2"/>
          <w:sz w:val="16"/>
          <w:szCs w:val="16"/>
          <w:lang w:val="en-US"/>
        </w:rPr>
        <w:footnoteReference w:id="121"/>
      </w:r>
    </w:p>
    <w:p w14:paraId="7CD754A1" w14:textId="77777777" w:rsidR="00FE32A6" w:rsidRPr="008A1DB4" w:rsidRDefault="00FE32A6" w:rsidP="00956E97">
      <w:pPr>
        <w:tabs>
          <w:tab w:val="left" w:pos="284"/>
          <w:tab w:val="left" w:pos="567"/>
        </w:tabs>
        <w:rPr>
          <w:spacing w:val="-2"/>
          <w:sz w:val="18"/>
          <w:szCs w:val="18"/>
          <w:lang w:val="en-US"/>
        </w:rPr>
      </w:pPr>
    </w:p>
    <w:p w14:paraId="6BD68F69" w14:textId="52E320DA" w:rsidR="00FE32A6" w:rsidRPr="008A1DB4" w:rsidRDefault="00FE32A6" w:rsidP="00956E97">
      <w:pPr>
        <w:pStyle w:val="ListParagraph"/>
        <w:numPr>
          <w:ilvl w:val="1"/>
          <w:numId w:val="6"/>
        </w:numPr>
        <w:tabs>
          <w:tab w:val="left" w:pos="284"/>
          <w:tab w:val="left" w:pos="567"/>
        </w:tabs>
        <w:rPr>
          <w:spacing w:val="-2"/>
          <w:sz w:val="18"/>
          <w:szCs w:val="18"/>
          <w:lang w:val="en-US"/>
        </w:rPr>
      </w:pPr>
      <w:bookmarkStart w:id="567" w:name="_Ref418910861"/>
      <w:r w:rsidRPr="008A1DB4">
        <w:rPr>
          <w:spacing w:val="-2"/>
          <w:sz w:val="18"/>
          <w:szCs w:val="18"/>
          <w:u w:val="single"/>
          <w:lang w:val="en-US"/>
        </w:rPr>
        <w:t>Se</w:t>
      </w:r>
      <w:r w:rsidR="004350FD" w:rsidRPr="008A1DB4">
        <w:rPr>
          <w:spacing w:val="-2"/>
          <w:sz w:val="18"/>
          <w:szCs w:val="18"/>
          <w:u w:val="single"/>
          <w:lang w:val="en-US"/>
        </w:rPr>
        <w:t>cond</w:t>
      </w:r>
      <w:r w:rsidRPr="008A1DB4">
        <w:rPr>
          <w:spacing w:val="-2"/>
          <w:sz w:val="18"/>
          <w:szCs w:val="18"/>
          <w:u w:val="single"/>
          <w:lang w:val="en-US"/>
        </w:rPr>
        <w:t xml:space="preserve"> </w:t>
      </w:r>
      <w:r w:rsidR="004350FD" w:rsidRPr="008A1DB4">
        <w:rPr>
          <w:spacing w:val="-2"/>
          <w:sz w:val="18"/>
          <w:szCs w:val="18"/>
          <w:u w:val="single"/>
          <w:lang w:val="en-US"/>
        </w:rPr>
        <w:t>diplomatic note</w:t>
      </w:r>
      <w:r w:rsidRPr="008A1DB4">
        <w:rPr>
          <w:spacing w:val="-2"/>
          <w:sz w:val="18"/>
          <w:szCs w:val="18"/>
          <w:lang w:val="en-US"/>
        </w:rPr>
        <w:t>:</w:t>
      </w:r>
      <w:r w:rsidR="004350FD" w:rsidRPr="008A1DB4">
        <w:rPr>
          <w:spacing w:val="-2"/>
          <w:sz w:val="18"/>
          <w:szCs w:val="18"/>
          <w:lang w:val="en-US"/>
        </w:rPr>
        <w:t xml:space="preserve"> note of </w:t>
      </w:r>
      <w:r w:rsidR="00E022F9" w:rsidRPr="008A1DB4">
        <w:rPr>
          <w:spacing w:val="-2"/>
          <w:sz w:val="18"/>
          <w:szCs w:val="18"/>
          <w:lang w:val="en-US"/>
        </w:rPr>
        <w:t>August 25,</w:t>
      </w:r>
      <w:r w:rsidRPr="008A1DB4">
        <w:rPr>
          <w:spacing w:val="-2"/>
          <w:sz w:val="18"/>
          <w:szCs w:val="18"/>
          <w:lang w:val="en-US"/>
        </w:rPr>
        <w:t xml:space="preserve"> 2009</w:t>
      </w:r>
      <w:bookmarkEnd w:id="567"/>
      <w:r w:rsidRPr="008A1DB4">
        <w:rPr>
          <w:spacing w:val="-2"/>
          <w:sz w:val="18"/>
          <w:szCs w:val="18"/>
          <w:lang w:val="en-US"/>
        </w:rPr>
        <w:t xml:space="preserve"> </w:t>
      </w:r>
    </w:p>
    <w:p w14:paraId="214890C7" w14:textId="2D34C135" w:rsidR="00FE32A6" w:rsidRPr="008A1DB4" w:rsidRDefault="00E022F9" w:rsidP="00186FB2">
      <w:pPr>
        <w:pStyle w:val="ListParagraph"/>
        <w:tabs>
          <w:tab w:val="left" w:pos="284"/>
          <w:tab w:val="left" w:pos="567"/>
        </w:tabs>
        <w:ind w:left="1440"/>
        <w:rPr>
          <w:spacing w:val="-2"/>
          <w:sz w:val="18"/>
          <w:szCs w:val="18"/>
          <w:lang w:val="en-US"/>
        </w:rPr>
      </w:pPr>
      <w:r w:rsidRPr="008A1DB4">
        <w:rPr>
          <w:spacing w:val="-2"/>
          <w:sz w:val="18"/>
          <w:szCs w:val="18"/>
          <w:lang w:val="en-US"/>
        </w:rPr>
        <w:t>The Ambassador</w:t>
      </w:r>
      <w:r w:rsidR="00FE32A6" w:rsidRPr="008A1DB4">
        <w:rPr>
          <w:spacing w:val="-2"/>
          <w:sz w:val="18"/>
          <w:szCs w:val="18"/>
          <w:lang w:val="en-US"/>
        </w:rPr>
        <w:t xml:space="preserve"> </w:t>
      </w:r>
      <w:r w:rsidR="004350FD" w:rsidRPr="008A1DB4">
        <w:rPr>
          <w:spacing w:val="-2"/>
          <w:sz w:val="18"/>
          <w:szCs w:val="18"/>
          <w:lang w:val="en-US"/>
        </w:rPr>
        <w:t>Extraordinary and Plenipotentiary</w:t>
      </w:r>
      <w:r w:rsidR="002D1CFC" w:rsidRPr="008A1DB4">
        <w:rPr>
          <w:spacing w:val="-2"/>
          <w:sz w:val="18"/>
          <w:szCs w:val="18"/>
          <w:lang w:val="en-US"/>
        </w:rPr>
        <w:t xml:space="preserve"> of the </w:t>
      </w:r>
      <w:r w:rsidR="00FE5E87" w:rsidRPr="008A1DB4">
        <w:rPr>
          <w:spacing w:val="-2"/>
          <w:sz w:val="18"/>
          <w:szCs w:val="18"/>
          <w:lang w:val="en-US"/>
        </w:rPr>
        <w:t xml:space="preserve">People’s Republic of </w:t>
      </w:r>
      <w:r w:rsidR="004350FD" w:rsidRPr="008A1DB4">
        <w:rPr>
          <w:spacing w:val="-2"/>
          <w:sz w:val="18"/>
          <w:szCs w:val="18"/>
          <w:lang w:val="en-US"/>
        </w:rPr>
        <w:t>China to Peru</w:t>
      </w:r>
      <w:r w:rsidR="00FE32A6" w:rsidRPr="008A1DB4">
        <w:rPr>
          <w:spacing w:val="-2"/>
          <w:sz w:val="18"/>
          <w:szCs w:val="18"/>
          <w:lang w:val="en-US"/>
        </w:rPr>
        <w:t xml:space="preserve"> </w:t>
      </w:r>
      <w:r w:rsidR="004350FD" w:rsidRPr="008A1DB4">
        <w:rPr>
          <w:spacing w:val="-2"/>
          <w:sz w:val="18"/>
          <w:szCs w:val="18"/>
          <w:lang w:val="en-US"/>
        </w:rPr>
        <w:t>sent</w:t>
      </w:r>
      <w:r w:rsidR="00FE32A6" w:rsidRPr="008A1DB4">
        <w:rPr>
          <w:spacing w:val="-2"/>
          <w:sz w:val="18"/>
          <w:szCs w:val="18"/>
          <w:lang w:val="en-US"/>
        </w:rPr>
        <w:t xml:space="preserve"> </w:t>
      </w:r>
      <w:r w:rsidR="00B67AC5" w:rsidRPr="008A1DB4">
        <w:rPr>
          <w:spacing w:val="-2"/>
          <w:sz w:val="18"/>
          <w:szCs w:val="18"/>
          <w:lang w:val="en-US"/>
        </w:rPr>
        <w:t xml:space="preserve">the </w:t>
      </w:r>
      <w:r w:rsidR="001E7113" w:rsidRPr="008A1DB4">
        <w:rPr>
          <w:spacing w:val="-2"/>
          <w:sz w:val="18"/>
          <w:szCs w:val="18"/>
          <w:lang w:val="en-US"/>
        </w:rPr>
        <w:t>Supreme Court of Justice</w:t>
      </w:r>
      <w:r w:rsidR="004350FD" w:rsidRPr="008A1DB4">
        <w:rPr>
          <w:spacing w:val="-2"/>
          <w:sz w:val="18"/>
          <w:szCs w:val="18"/>
          <w:lang w:val="en-US"/>
        </w:rPr>
        <w:t xml:space="preserve"> a note indicating that</w:t>
      </w:r>
      <w:r w:rsidR="00186FB2" w:rsidRPr="008A1DB4">
        <w:rPr>
          <w:spacing w:val="-2"/>
          <w:sz w:val="18"/>
          <w:szCs w:val="18"/>
          <w:lang w:val="en-US"/>
        </w:rPr>
        <w:t xml:space="preserve"> “[c</w:t>
      </w:r>
      <w:r w:rsidR="00FE32A6" w:rsidRPr="008A1DB4">
        <w:rPr>
          <w:spacing w:val="-2"/>
          <w:sz w:val="18"/>
          <w:szCs w:val="18"/>
          <w:lang w:val="en-US"/>
        </w:rPr>
        <w:t>]</w:t>
      </w:r>
      <w:proofErr w:type="spellStart"/>
      <w:r w:rsidR="00186FB2" w:rsidRPr="008A1DB4">
        <w:rPr>
          <w:spacing w:val="-2"/>
          <w:sz w:val="18"/>
          <w:szCs w:val="18"/>
          <w:lang w:val="en-US"/>
        </w:rPr>
        <w:t>ase</w:t>
      </w:r>
      <w:proofErr w:type="spellEnd"/>
      <w:r w:rsidR="00186FB2" w:rsidRPr="008A1DB4">
        <w:rPr>
          <w:spacing w:val="-2"/>
          <w:sz w:val="18"/>
          <w:szCs w:val="18"/>
          <w:lang w:val="en-US"/>
        </w:rPr>
        <w:t xml:space="preserve"> law exists from similar cases” where 15 years’ imprisonment has been imposed for acts with the same name, or the same offense, and involving an equally important sum and the amount of duty evaded, and where the </w:t>
      </w:r>
      <w:r w:rsidR="00186FB2" w:rsidRPr="008A1DB4">
        <w:rPr>
          <w:i/>
          <w:spacing w:val="-2"/>
          <w:sz w:val="18"/>
          <w:szCs w:val="18"/>
          <w:lang w:val="en-US"/>
        </w:rPr>
        <w:t>modus operandi</w:t>
      </w:r>
      <w:r w:rsidR="00201E4D">
        <w:rPr>
          <w:spacing w:val="-2"/>
          <w:sz w:val="18"/>
          <w:szCs w:val="18"/>
          <w:lang w:val="en-US"/>
        </w:rPr>
        <w:t xml:space="preserve"> has</w:t>
      </w:r>
      <w:r w:rsidR="00186FB2" w:rsidRPr="008A1DB4">
        <w:rPr>
          <w:spacing w:val="-2"/>
          <w:sz w:val="18"/>
          <w:szCs w:val="18"/>
          <w:lang w:val="en-US"/>
        </w:rPr>
        <w:t xml:space="preserve"> also been similar, “there was</w:t>
      </w:r>
      <w:r w:rsidR="00201E4D">
        <w:rPr>
          <w:spacing w:val="-2"/>
          <w:sz w:val="18"/>
          <w:szCs w:val="18"/>
          <w:lang w:val="en-US"/>
        </w:rPr>
        <w:t>, therefore,</w:t>
      </w:r>
      <w:r w:rsidR="00186FB2" w:rsidRPr="008A1DB4">
        <w:rPr>
          <w:spacing w:val="-2"/>
          <w:sz w:val="18"/>
          <w:szCs w:val="18"/>
          <w:lang w:val="en-US"/>
        </w:rPr>
        <w:t xml:space="preserve"> no possibility of imposing the death penalty on the person</w:t>
      </w:r>
      <w:r w:rsidR="00201E4D">
        <w:rPr>
          <w:spacing w:val="-2"/>
          <w:sz w:val="18"/>
          <w:szCs w:val="18"/>
          <w:lang w:val="en-US"/>
        </w:rPr>
        <w:t xml:space="preserve"> sought</w:t>
      </w:r>
      <w:r w:rsidR="00186FB2" w:rsidRPr="008A1DB4">
        <w:rPr>
          <w:spacing w:val="-2"/>
          <w:sz w:val="18"/>
          <w:szCs w:val="18"/>
          <w:lang w:val="en-US"/>
        </w:rPr>
        <w:t>.</w:t>
      </w:r>
      <w:r w:rsidR="00FE32A6" w:rsidRPr="008A1DB4">
        <w:rPr>
          <w:spacing w:val="-2"/>
          <w:sz w:val="18"/>
          <w:szCs w:val="18"/>
          <w:lang w:val="en-US"/>
        </w:rPr>
        <w:t>”</w:t>
      </w:r>
      <w:r w:rsidR="00FE32A6" w:rsidRPr="008A1DB4">
        <w:rPr>
          <w:rStyle w:val="FootnoteReference"/>
          <w:spacing w:val="-2"/>
          <w:sz w:val="18"/>
          <w:szCs w:val="18"/>
          <w:lang w:val="en-US"/>
        </w:rPr>
        <w:footnoteReference w:id="122"/>
      </w:r>
    </w:p>
    <w:p w14:paraId="77E6EFD7" w14:textId="77777777" w:rsidR="00FE32A6" w:rsidRPr="008A1DB4" w:rsidRDefault="00FE32A6" w:rsidP="00956E97">
      <w:pPr>
        <w:tabs>
          <w:tab w:val="left" w:pos="284"/>
          <w:tab w:val="left" w:pos="567"/>
        </w:tabs>
        <w:rPr>
          <w:spacing w:val="-2"/>
          <w:sz w:val="18"/>
          <w:szCs w:val="18"/>
          <w:lang w:val="en-US"/>
        </w:rPr>
      </w:pPr>
    </w:p>
    <w:p w14:paraId="718C0B3B" w14:textId="6721E773" w:rsidR="00FE32A6" w:rsidRPr="008A1DB4" w:rsidRDefault="00FE32A6" w:rsidP="00956E97">
      <w:pPr>
        <w:pStyle w:val="ListParagraph"/>
        <w:numPr>
          <w:ilvl w:val="1"/>
          <w:numId w:val="6"/>
        </w:numPr>
        <w:tabs>
          <w:tab w:val="left" w:pos="284"/>
          <w:tab w:val="left" w:pos="567"/>
        </w:tabs>
        <w:rPr>
          <w:spacing w:val="-2"/>
          <w:sz w:val="18"/>
          <w:szCs w:val="18"/>
          <w:lang w:val="en-US"/>
        </w:rPr>
      </w:pPr>
      <w:bookmarkStart w:id="568" w:name="_Ref418910771"/>
      <w:r w:rsidRPr="008A1DB4">
        <w:rPr>
          <w:spacing w:val="-2"/>
          <w:sz w:val="18"/>
          <w:szCs w:val="18"/>
          <w:u w:val="single"/>
          <w:lang w:val="en-US"/>
        </w:rPr>
        <w:t>T</w:t>
      </w:r>
      <w:r w:rsidR="004350FD" w:rsidRPr="008A1DB4">
        <w:rPr>
          <w:spacing w:val="-2"/>
          <w:sz w:val="18"/>
          <w:szCs w:val="18"/>
          <w:u w:val="single"/>
          <w:lang w:val="en-US"/>
        </w:rPr>
        <w:t>hird</w:t>
      </w:r>
      <w:r w:rsidRPr="008A1DB4">
        <w:rPr>
          <w:spacing w:val="-2"/>
          <w:sz w:val="18"/>
          <w:szCs w:val="18"/>
          <w:u w:val="single"/>
          <w:lang w:val="en-US"/>
        </w:rPr>
        <w:t xml:space="preserve"> </w:t>
      </w:r>
      <w:r w:rsidR="004350FD" w:rsidRPr="008A1DB4">
        <w:rPr>
          <w:spacing w:val="-2"/>
          <w:sz w:val="18"/>
          <w:szCs w:val="18"/>
          <w:u w:val="single"/>
          <w:lang w:val="en-US"/>
        </w:rPr>
        <w:t>diplomatic note</w:t>
      </w:r>
      <w:r w:rsidR="004350FD" w:rsidRPr="008A1DB4">
        <w:rPr>
          <w:spacing w:val="-2"/>
          <w:sz w:val="18"/>
          <w:szCs w:val="18"/>
          <w:lang w:val="en-US"/>
        </w:rPr>
        <w:t>: note</w:t>
      </w:r>
      <w:r w:rsidRPr="008A1DB4">
        <w:rPr>
          <w:spacing w:val="-2"/>
          <w:sz w:val="18"/>
          <w:szCs w:val="18"/>
          <w:lang w:val="en-US"/>
        </w:rPr>
        <w:t>s</w:t>
      </w:r>
      <w:r w:rsidR="004350FD" w:rsidRPr="008A1DB4">
        <w:rPr>
          <w:spacing w:val="-2"/>
          <w:sz w:val="18"/>
          <w:szCs w:val="18"/>
          <w:lang w:val="en-US"/>
        </w:rPr>
        <w:t xml:space="preserve"> of</w:t>
      </w:r>
      <w:r w:rsidRPr="008A1DB4">
        <w:rPr>
          <w:spacing w:val="-2"/>
          <w:sz w:val="18"/>
          <w:szCs w:val="18"/>
          <w:lang w:val="en-US"/>
        </w:rPr>
        <w:t xml:space="preserve"> </w:t>
      </w:r>
      <w:r w:rsidR="00BB336A" w:rsidRPr="008A1DB4">
        <w:rPr>
          <w:spacing w:val="-2"/>
          <w:sz w:val="18"/>
          <w:szCs w:val="18"/>
          <w:lang w:val="en-US"/>
        </w:rPr>
        <w:t>December</w:t>
      </w:r>
      <w:r w:rsidR="004350FD" w:rsidRPr="008A1DB4">
        <w:rPr>
          <w:spacing w:val="-2"/>
          <w:sz w:val="18"/>
          <w:szCs w:val="18"/>
          <w:lang w:val="en-US"/>
        </w:rPr>
        <w:t xml:space="preserve"> 10 and</w:t>
      </w:r>
      <w:r w:rsidR="00BB336A" w:rsidRPr="008A1DB4">
        <w:rPr>
          <w:spacing w:val="-2"/>
          <w:sz w:val="18"/>
          <w:szCs w:val="18"/>
          <w:lang w:val="en-US"/>
        </w:rPr>
        <w:t xml:space="preserve"> </w:t>
      </w:r>
      <w:r w:rsidR="004350FD" w:rsidRPr="008A1DB4">
        <w:rPr>
          <w:spacing w:val="-2"/>
          <w:sz w:val="18"/>
          <w:szCs w:val="18"/>
          <w:lang w:val="en-US"/>
        </w:rPr>
        <w:t>1</w:t>
      </w:r>
      <w:r w:rsidR="00BB336A" w:rsidRPr="008A1DB4">
        <w:rPr>
          <w:spacing w:val="-2"/>
          <w:sz w:val="18"/>
          <w:szCs w:val="18"/>
          <w:lang w:val="en-US"/>
        </w:rPr>
        <w:t>1,</w:t>
      </w:r>
      <w:r w:rsidRPr="008A1DB4">
        <w:rPr>
          <w:spacing w:val="-2"/>
          <w:sz w:val="18"/>
          <w:szCs w:val="18"/>
          <w:lang w:val="en-US"/>
        </w:rPr>
        <w:t xml:space="preserve"> 2009</w:t>
      </w:r>
      <w:bookmarkEnd w:id="568"/>
    </w:p>
    <w:p w14:paraId="2497C7A7" w14:textId="0D765802" w:rsidR="00FE32A6" w:rsidRPr="008A1DB4" w:rsidRDefault="00E022F9" w:rsidP="00956E97">
      <w:pPr>
        <w:pStyle w:val="ListParagraph"/>
        <w:tabs>
          <w:tab w:val="left" w:pos="284"/>
          <w:tab w:val="left" w:pos="567"/>
        </w:tabs>
        <w:ind w:left="1440"/>
        <w:rPr>
          <w:spacing w:val="-2"/>
          <w:sz w:val="18"/>
          <w:szCs w:val="18"/>
          <w:lang w:val="en-US"/>
        </w:rPr>
      </w:pPr>
      <w:r w:rsidRPr="008A1DB4">
        <w:rPr>
          <w:spacing w:val="-2"/>
          <w:sz w:val="18"/>
          <w:szCs w:val="18"/>
          <w:lang w:val="en-US"/>
        </w:rPr>
        <w:lastRenderedPageBreak/>
        <w:t>The Ambassador</w:t>
      </w:r>
      <w:r w:rsidR="00FE32A6" w:rsidRPr="008A1DB4">
        <w:rPr>
          <w:spacing w:val="-2"/>
          <w:sz w:val="18"/>
          <w:szCs w:val="18"/>
          <w:lang w:val="en-US"/>
        </w:rPr>
        <w:t xml:space="preserve"> </w:t>
      </w:r>
      <w:r w:rsidR="004350FD" w:rsidRPr="008A1DB4">
        <w:rPr>
          <w:spacing w:val="-2"/>
          <w:sz w:val="18"/>
          <w:szCs w:val="18"/>
          <w:lang w:val="en-US"/>
        </w:rPr>
        <w:t>Extraordinary and Plenipotentiary</w:t>
      </w:r>
      <w:r w:rsidR="002D1CFC" w:rsidRPr="008A1DB4">
        <w:rPr>
          <w:spacing w:val="-2"/>
          <w:sz w:val="18"/>
          <w:szCs w:val="18"/>
          <w:lang w:val="en-US"/>
        </w:rPr>
        <w:t xml:space="preserve"> of the </w:t>
      </w:r>
      <w:r w:rsidR="00FE5E87" w:rsidRPr="008A1DB4">
        <w:rPr>
          <w:spacing w:val="-2"/>
          <w:sz w:val="18"/>
          <w:szCs w:val="18"/>
          <w:lang w:val="en-US"/>
        </w:rPr>
        <w:t xml:space="preserve">People’s Republic of </w:t>
      </w:r>
      <w:r w:rsidR="004350FD" w:rsidRPr="008A1DB4">
        <w:rPr>
          <w:spacing w:val="-2"/>
          <w:sz w:val="18"/>
          <w:szCs w:val="18"/>
          <w:lang w:val="en-US"/>
        </w:rPr>
        <w:t>China to Peru</w:t>
      </w:r>
      <w:r w:rsidR="00FE32A6" w:rsidRPr="008A1DB4">
        <w:rPr>
          <w:spacing w:val="-2"/>
          <w:sz w:val="18"/>
          <w:szCs w:val="18"/>
          <w:lang w:val="en-US"/>
        </w:rPr>
        <w:t xml:space="preserve"> </w:t>
      </w:r>
      <w:r w:rsidR="004350FD" w:rsidRPr="008A1DB4">
        <w:rPr>
          <w:spacing w:val="-2"/>
          <w:sz w:val="18"/>
          <w:szCs w:val="18"/>
          <w:lang w:val="en-US"/>
        </w:rPr>
        <w:t>informed the</w:t>
      </w:r>
      <w:r w:rsidR="002D1CFC" w:rsidRPr="008A1DB4">
        <w:rPr>
          <w:spacing w:val="-2"/>
          <w:sz w:val="18"/>
          <w:szCs w:val="18"/>
          <w:lang w:val="en-US"/>
        </w:rPr>
        <w:t xml:space="preserve"> </w:t>
      </w:r>
      <w:r w:rsidR="00FC5891" w:rsidRPr="008A1DB4">
        <w:rPr>
          <w:spacing w:val="-2"/>
          <w:sz w:val="18"/>
          <w:szCs w:val="18"/>
          <w:lang w:val="en-US"/>
        </w:rPr>
        <w:t>Permanent Criminal Chamber</w:t>
      </w:r>
      <w:r w:rsidR="00F36400" w:rsidRPr="008A1DB4">
        <w:rPr>
          <w:spacing w:val="-2"/>
          <w:sz w:val="18"/>
          <w:szCs w:val="18"/>
          <w:lang w:val="en-US"/>
        </w:rPr>
        <w:t xml:space="preserve"> of </w:t>
      </w:r>
      <w:r w:rsidR="00B67AC5" w:rsidRPr="008A1DB4">
        <w:rPr>
          <w:spacing w:val="-2"/>
          <w:sz w:val="18"/>
          <w:szCs w:val="18"/>
          <w:lang w:val="en-US"/>
        </w:rPr>
        <w:t xml:space="preserve">the </w:t>
      </w:r>
      <w:r w:rsidR="001E7113" w:rsidRPr="008A1DB4">
        <w:rPr>
          <w:spacing w:val="-2"/>
          <w:sz w:val="18"/>
          <w:szCs w:val="18"/>
          <w:lang w:val="en-US"/>
        </w:rPr>
        <w:t>Supreme Court of Justice</w:t>
      </w:r>
      <w:r w:rsidR="004350FD" w:rsidRPr="008A1DB4">
        <w:rPr>
          <w:spacing w:val="-2"/>
          <w:sz w:val="18"/>
          <w:szCs w:val="18"/>
          <w:lang w:val="en-US"/>
        </w:rPr>
        <w:t xml:space="preserve"> that</w:t>
      </w:r>
      <w:r w:rsidR="00FE32A6" w:rsidRPr="008A1DB4">
        <w:rPr>
          <w:spacing w:val="-2"/>
          <w:sz w:val="18"/>
          <w:szCs w:val="18"/>
          <w:lang w:val="en-US"/>
        </w:rPr>
        <w:t xml:space="preserve"> “</w:t>
      </w:r>
      <w:r w:rsidR="00F36400" w:rsidRPr="008A1DB4">
        <w:rPr>
          <w:spacing w:val="-2"/>
          <w:sz w:val="18"/>
          <w:szCs w:val="18"/>
          <w:lang w:val="en-US"/>
        </w:rPr>
        <w:t xml:space="preserve">the </w:t>
      </w:r>
      <w:r w:rsidR="008065B7" w:rsidRPr="008A1DB4">
        <w:rPr>
          <w:spacing w:val="-2"/>
          <w:sz w:val="18"/>
          <w:szCs w:val="18"/>
          <w:lang w:val="en-US"/>
        </w:rPr>
        <w:t>People’s Supreme Court</w:t>
      </w:r>
      <w:r w:rsidR="002D1CFC" w:rsidRPr="008A1DB4">
        <w:rPr>
          <w:spacing w:val="-2"/>
          <w:sz w:val="18"/>
          <w:szCs w:val="18"/>
          <w:lang w:val="en-US"/>
        </w:rPr>
        <w:t xml:space="preserve"> of the </w:t>
      </w:r>
      <w:r w:rsidR="00FE5E87" w:rsidRPr="008A1DB4">
        <w:rPr>
          <w:spacing w:val="-2"/>
          <w:sz w:val="18"/>
          <w:szCs w:val="18"/>
          <w:lang w:val="en-US"/>
        </w:rPr>
        <w:t>People’s Republic of China</w:t>
      </w:r>
      <w:r w:rsidR="00FE32A6" w:rsidRPr="008A1DB4">
        <w:rPr>
          <w:spacing w:val="-2"/>
          <w:sz w:val="18"/>
          <w:szCs w:val="18"/>
          <w:lang w:val="en-US"/>
        </w:rPr>
        <w:t xml:space="preserve"> ha</w:t>
      </w:r>
      <w:r w:rsidR="00186FB2" w:rsidRPr="008A1DB4">
        <w:rPr>
          <w:spacing w:val="-2"/>
          <w:sz w:val="18"/>
          <w:szCs w:val="18"/>
          <w:lang w:val="en-US"/>
        </w:rPr>
        <w:t>s taken the following decision: if the extradition from Peru to China is executed, and if</w:t>
      </w:r>
      <w:r w:rsidR="00FE32A6" w:rsidRPr="008A1DB4">
        <w:rPr>
          <w:spacing w:val="-2"/>
          <w:sz w:val="18"/>
          <w:szCs w:val="18"/>
          <w:lang w:val="en-US"/>
        </w:rPr>
        <w:t xml:space="preserve"> […] Wong Ho Wing </w:t>
      </w:r>
      <w:r w:rsidR="00186FB2" w:rsidRPr="008A1DB4">
        <w:rPr>
          <w:spacing w:val="-2"/>
          <w:sz w:val="18"/>
          <w:szCs w:val="18"/>
          <w:lang w:val="en-US"/>
        </w:rPr>
        <w:t>is tried by a court and found guilty</w:t>
      </w:r>
      <w:r w:rsidR="00FE32A6" w:rsidRPr="008A1DB4">
        <w:rPr>
          <w:spacing w:val="-2"/>
          <w:sz w:val="18"/>
          <w:szCs w:val="18"/>
          <w:lang w:val="en-US"/>
        </w:rPr>
        <w:t xml:space="preserve">, </w:t>
      </w:r>
      <w:r w:rsidR="00186FB2" w:rsidRPr="008A1DB4">
        <w:rPr>
          <w:spacing w:val="-2"/>
          <w:sz w:val="18"/>
          <w:szCs w:val="18"/>
          <w:lang w:val="en-US"/>
        </w:rPr>
        <w:t>the c</w:t>
      </w:r>
      <w:r w:rsidR="00F36400" w:rsidRPr="008A1DB4">
        <w:rPr>
          <w:spacing w:val="-2"/>
          <w:sz w:val="18"/>
          <w:szCs w:val="18"/>
          <w:lang w:val="en-US"/>
        </w:rPr>
        <w:t>ourt</w:t>
      </w:r>
      <w:r w:rsidR="00186FB2" w:rsidRPr="008A1DB4">
        <w:rPr>
          <w:spacing w:val="-2"/>
          <w:sz w:val="18"/>
          <w:szCs w:val="18"/>
          <w:lang w:val="en-US"/>
        </w:rPr>
        <w:t xml:space="preserve"> will not impose </w:t>
      </w:r>
      <w:r w:rsidR="00A3310A" w:rsidRPr="008A1DB4">
        <w:rPr>
          <w:spacing w:val="-2"/>
          <w:sz w:val="18"/>
          <w:szCs w:val="18"/>
          <w:lang w:val="en-US"/>
        </w:rPr>
        <w:t>the death penalty</w:t>
      </w:r>
      <w:r w:rsidR="00186FB2" w:rsidRPr="008A1DB4">
        <w:rPr>
          <w:spacing w:val="-2"/>
          <w:sz w:val="18"/>
          <w:szCs w:val="18"/>
          <w:lang w:val="en-US"/>
        </w:rPr>
        <w:t xml:space="preserve"> […] on</w:t>
      </w:r>
      <w:r w:rsidR="00984445" w:rsidRPr="008A1DB4">
        <w:rPr>
          <w:spacing w:val="-2"/>
          <w:sz w:val="18"/>
          <w:szCs w:val="18"/>
          <w:lang w:val="en-US"/>
        </w:rPr>
        <w:t xml:space="preserve"> […] Wong Ho Wing, </w:t>
      </w:r>
      <w:r w:rsidR="00186FB2" w:rsidRPr="008A1DB4">
        <w:rPr>
          <w:spacing w:val="-2"/>
          <w:sz w:val="18"/>
          <w:szCs w:val="18"/>
          <w:lang w:val="en-US"/>
        </w:rPr>
        <w:t xml:space="preserve">even though his crime is subject to the death penalty by law.” In addition, </w:t>
      </w:r>
      <w:r w:rsidRPr="008A1DB4">
        <w:rPr>
          <w:spacing w:val="-2"/>
          <w:sz w:val="18"/>
          <w:szCs w:val="18"/>
          <w:lang w:val="en-US"/>
        </w:rPr>
        <w:t>the Ambassador</w:t>
      </w:r>
      <w:r w:rsidR="00FE32A6" w:rsidRPr="008A1DB4">
        <w:rPr>
          <w:spacing w:val="-2"/>
          <w:sz w:val="18"/>
          <w:szCs w:val="18"/>
          <w:lang w:val="en-US"/>
        </w:rPr>
        <w:t xml:space="preserve"> </w:t>
      </w:r>
      <w:r w:rsidR="00186FB2" w:rsidRPr="008A1DB4">
        <w:rPr>
          <w:spacing w:val="-2"/>
          <w:sz w:val="18"/>
          <w:szCs w:val="18"/>
          <w:lang w:val="en-US"/>
        </w:rPr>
        <w:t xml:space="preserve">advised that he had “full authorization to undertake that </w:t>
      </w:r>
      <w:r w:rsidR="00A3310A" w:rsidRPr="008A1DB4">
        <w:rPr>
          <w:spacing w:val="-2"/>
          <w:sz w:val="18"/>
          <w:szCs w:val="18"/>
          <w:lang w:val="en-US"/>
        </w:rPr>
        <w:t>the death penalty</w:t>
      </w:r>
      <w:r w:rsidR="00FE32A6" w:rsidRPr="008A1DB4">
        <w:rPr>
          <w:spacing w:val="-2"/>
          <w:sz w:val="18"/>
          <w:szCs w:val="18"/>
          <w:lang w:val="en-US"/>
        </w:rPr>
        <w:t xml:space="preserve"> </w:t>
      </w:r>
      <w:r w:rsidR="00186FB2" w:rsidRPr="008A1DB4">
        <w:rPr>
          <w:spacing w:val="-2"/>
          <w:sz w:val="18"/>
          <w:szCs w:val="18"/>
          <w:lang w:val="en-US"/>
        </w:rPr>
        <w:t>would not be imposed on</w:t>
      </w:r>
      <w:r w:rsidR="00FE32A6" w:rsidRPr="008A1DB4">
        <w:rPr>
          <w:spacing w:val="-2"/>
          <w:sz w:val="18"/>
          <w:szCs w:val="18"/>
          <w:lang w:val="en-US"/>
        </w:rPr>
        <w:t xml:space="preserve"> […] Wong Ho Wing </w:t>
      </w:r>
      <w:r w:rsidR="00186FB2" w:rsidRPr="008A1DB4">
        <w:rPr>
          <w:spacing w:val="-2"/>
          <w:sz w:val="18"/>
          <w:szCs w:val="18"/>
          <w:lang w:val="en-US"/>
        </w:rPr>
        <w:t xml:space="preserve">if </w:t>
      </w:r>
      <w:r w:rsidR="00087CF8" w:rsidRPr="008A1DB4">
        <w:rPr>
          <w:spacing w:val="-2"/>
          <w:sz w:val="18"/>
          <w:szCs w:val="18"/>
          <w:lang w:val="en-US"/>
        </w:rPr>
        <w:t>the extradition request</w:t>
      </w:r>
      <w:r w:rsidR="00FE32A6" w:rsidRPr="008A1DB4">
        <w:rPr>
          <w:spacing w:val="-2"/>
          <w:sz w:val="18"/>
          <w:szCs w:val="18"/>
          <w:lang w:val="en-US"/>
        </w:rPr>
        <w:t xml:space="preserve"> </w:t>
      </w:r>
      <w:r w:rsidR="00186FB2" w:rsidRPr="008A1DB4">
        <w:rPr>
          <w:spacing w:val="-2"/>
          <w:sz w:val="18"/>
          <w:szCs w:val="18"/>
          <w:lang w:val="en-US"/>
        </w:rPr>
        <w:t>of</w:t>
      </w:r>
      <w:r w:rsidR="00FE32A6" w:rsidRPr="008A1DB4">
        <w:rPr>
          <w:spacing w:val="-2"/>
          <w:sz w:val="18"/>
          <w:szCs w:val="18"/>
          <w:lang w:val="en-US"/>
        </w:rPr>
        <w:t xml:space="preserve"> </w:t>
      </w:r>
      <w:r w:rsidR="002D1CFC" w:rsidRPr="008A1DB4">
        <w:rPr>
          <w:spacing w:val="-2"/>
          <w:sz w:val="18"/>
          <w:szCs w:val="18"/>
          <w:lang w:val="en-US"/>
        </w:rPr>
        <w:t xml:space="preserve">the Government of the </w:t>
      </w:r>
      <w:r w:rsidR="00FE5E87" w:rsidRPr="008A1DB4">
        <w:rPr>
          <w:spacing w:val="-2"/>
          <w:sz w:val="18"/>
          <w:szCs w:val="18"/>
          <w:lang w:val="en-US"/>
        </w:rPr>
        <w:t>People’s Republic of China</w:t>
      </w:r>
      <w:r w:rsidR="00186FB2" w:rsidRPr="008A1DB4">
        <w:rPr>
          <w:spacing w:val="-2"/>
          <w:sz w:val="18"/>
          <w:szCs w:val="18"/>
          <w:lang w:val="en-US"/>
        </w:rPr>
        <w:t xml:space="preserve"> was found admissible.</w:t>
      </w:r>
      <w:r w:rsidR="00FE32A6" w:rsidRPr="008A1DB4">
        <w:rPr>
          <w:spacing w:val="-2"/>
          <w:sz w:val="18"/>
          <w:szCs w:val="18"/>
          <w:lang w:val="en-US"/>
        </w:rPr>
        <w:t>”</w:t>
      </w:r>
      <w:r w:rsidR="00FE32A6" w:rsidRPr="008A1DB4">
        <w:rPr>
          <w:rStyle w:val="FootnoteReference"/>
          <w:spacing w:val="-2"/>
          <w:sz w:val="18"/>
          <w:szCs w:val="18"/>
          <w:lang w:val="en-US"/>
        </w:rPr>
        <w:footnoteReference w:id="123"/>
      </w:r>
      <w:r w:rsidR="00FE32A6" w:rsidRPr="008A1DB4">
        <w:rPr>
          <w:spacing w:val="-2"/>
          <w:sz w:val="18"/>
          <w:szCs w:val="18"/>
          <w:lang w:val="en-US"/>
        </w:rPr>
        <w:t xml:space="preserve"> </w:t>
      </w:r>
    </w:p>
    <w:p w14:paraId="6DD316D3" w14:textId="77777777" w:rsidR="00FE32A6" w:rsidRPr="008A1DB4" w:rsidRDefault="00FE32A6" w:rsidP="00956E97">
      <w:pPr>
        <w:pStyle w:val="ListParagraph"/>
        <w:tabs>
          <w:tab w:val="left" w:pos="284"/>
          <w:tab w:val="left" w:pos="567"/>
        </w:tabs>
        <w:ind w:left="1440"/>
        <w:rPr>
          <w:spacing w:val="-2"/>
          <w:sz w:val="18"/>
          <w:szCs w:val="18"/>
          <w:lang w:val="en-US"/>
        </w:rPr>
      </w:pPr>
    </w:p>
    <w:p w14:paraId="561F8F97" w14:textId="4BF79C78" w:rsidR="00FE32A6" w:rsidRPr="008A1DB4" w:rsidRDefault="00A3310A" w:rsidP="00956E97">
      <w:pPr>
        <w:pStyle w:val="ListParagraph"/>
        <w:numPr>
          <w:ilvl w:val="1"/>
          <w:numId w:val="6"/>
        </w:numPr>
        <w:tabs>
          <w:tab w:val="left" w:pos="284"/>
          <w:tab w:val="left" w:pos="567"/>
        </w:tabs>
        <w:rPr>
          <w:spacing w:val="-2"/>
          <w:sz w:val="18"/>
          <w:szCs w:val="18"/>
          <w:lang w:val="en-US"/>
        </w:rPr>
      </w:pPr>
      <w:r w:rsidRPr="008A1DB4">
        <w:rPr>
          <w:rFonts w:cs="Times New Roman"/>
          <w:spacing w:val="-2"/>
          <w:sz w:val="18"/>
          <w:szCs w:val="18"/>
          <w:u w:val="single"/>
          <w:lang w:val="en-US"/>
        </w:rPr>
        <w:t>Fourth</w:t>
      </w:r>
      <w:r w:rsidR="00FE32A6" w:rsidRPr="008A1DB4">
        <w:rPr>
          <w:rFonts w:cs="Times New Roman"/>
          <w:spacing w:val="-2"/>
          <w:sz w:val="18"/>
          <w:szCs w:val="18"/>
          <w:u w:val="single"/>
          <w:lang w:val="en-US"/>
        </w:rPr>
        <w:t xml:space="preserve"> </w:t>
      </w:r>
      <w:r w:rsidR="004350FD" w:rsidRPr="008A1DB4">
        <w:rPr>
          <w:rFonts w:cs="Times New Roman"/>
          <w:spacing w:val="-2"/>
          <w:sz w:val="18"/>
          <w:szCs w:val="18"/>
          <w:u w:val="single"/>
          <w:lang w:val="en-US"/>
        </w:rPr>
        <w:t>diplomatic note</w:t>
      </w:r>
      <w:r w:rsidR="00FE32A6" w:rsidRPr="008A1DB4">
        <w:rPr>
          <w:rFonts w:cs="Times New Roman"/>
          <w:spacing w:val="-2"/>
          <w:sz w:val="18"/>
          <w:szCs w:val="18"/>
          <w:lang w:val="en-US"/>
        </w:rPr>
        <w:t>:</w:t>
      </w:r>
      <w:r w:rsidR="004350FD" w:rsidRPr="008A1DB4">
        <w:rPr>
          <w:rFonts w:cs="Times New Roman"/>
          <w:spacing w:val="-2"/>
          <w:sz w:val="18"/>
          <w:szCs w:val="18"/>
          <w:lang w:val="en-US"/>
        </w:rPr>
        <w:t xml:space="preserve"> note of </w:t>
      </w:r>
      <w:r w:rsidR="00C168D8" w:rsidRPr="008A1DB4">
        <w:rPr>
          <w:rFonts w:cs="Times New Roman"/>
          <w:spacing w:val="-2"/>
          <w:sz w:val="18"/>
          <w:szCs w:val="18"/>
          <w:lang w:val="en-US"/>
        </w:rPr>
        <w:t xml:space="preserve">December </w:t>
      </w:r>
      <w:r w:rsidRPr="008A1DB4">
        <w:rPr>
          <w:rFonts w:cs="Times New Roman"/>
          <w:spacing w:val="-2"/>
          <w:sz w:val="18"/>
          <w:szCs w:val="18"/>
          <w:lang w:val="en-US"/>
        </w:rPr>
        <w:t>2</w:t>
      </w:r>
      <w:r w:rsidR="00C168D8" w:rsidRPr="008A1DB4">
        <w:rPr>
          <w:rFonts w:cs="Times New Roman"/>
          <w:spacing w:val="-2"/>
          <w:sz w:val="18"/>
          <w:szCs w:val="18"/>
          <w:lang w:val="en-US"/>
        </w:rPr>
        <w:t>9,</w:t>
      </w:r>
      <w:r w:rsidR="00FE32A6" w:rsidRPr="008A1DB4">
        <w:rPr>
          <w:rFonts w:cs="Times New Roman"/>
          <w:spacing w:val="-2"/>
          <w:sz w:val="18"/>
          <w:szCs w:val="18"/>
          <w:lang w:val="en-US"/>
        </w:rPr>
        <w:t xml:space="preserve"> 2009 </w:t>
      </w:r>
    </w:p>
    <w:p w14:paraId="13D48646" w14:textId="78410B89" w:rsidR="00FE32A6" w:rsidRPr="008A1DB4" w:rsidRDefault="00E022F9" w:rsidP="00956E97">
      <w:pPr>
        <w:pStyle w:val="ListParagraph"/>
        <w:tabs>
          <w:tab w:val="left" w:pos="284"/>
          <w:tab w:val="left" w:pos="567"/>
        </w:tabs>
        <w:ind w:left="1440"/>
        <w:rPr>
          <w:spacing w:val="-2"/>
          <w:sz w:val="18"/>
          <w:szCs w:val="18"/>
          <w:lang w:val="en-US"/>
        </w:rPr>
      </w:pPr>
      <w:r w:rsidRPr="008A1DB4">
        <w:rPr>
          <w:spacing w:val="-2"/>
          <w:sz w:val="18"/>
          <w:szCs w:val="18"/>
          <w:lang w:val="en-US"/>
        </w:rPr>
        <w:t>The Ambassador</w:t>
      </w:r>
      <w:r w:rsidR="00FE32A6" w:rsidRPr="008A1DB4">
        <w:rPr>
          <w:spacing w:val="-2"/>
          <w:sz w:val="18"/>
          <w:szCs w:val="18"/>
          <w:lang w:val="en-US"/>
        </w:rPr>
        <w:t xml:space="preserve"> </w:t>
      </w:r>
      <w:r w:rsidR="004350FD" w:rsidRPr="008A1DB4">
        <w:rPr>
          <w:spacing w:val="-2"/>
          <w:sz w:val="18"/>
          <w:szCs w:val="18"/>
          <w:lang w:val="en-US"/>
        </w:rPr>
        <w:t>Extraordinary and Plenipotentiary</w:t>
      </w:r>
      <w:r w:rsidR="002D1CFC" w:rsidRPr="008A1DB4">
        <w:rPr>
          <w:spacing w:val="-2"/>
          <w:sz w:val="18"/>
          <w:szCs w:val="18"/>
          <w:lang w:val="en-US"/>
        </w:rPr>
        <w:t xml:space="preserve"> of the </w:t>
      </w:r>
      <w:r w:rsidR="00FE5E87" w:rsidRPr="008A1DB4">
        <w:rPr>
          <w:spacing w:val="-2"/>
          <w:sz w:val="18"/>
          <w:szCs w:val="18"/>
          <w:lang w:val="en-US"/>
        </w:rPr>
        <w:t xml:space="preserve">People’s Republic of </w:t>
      </w:r>
      <w:r w:rsidR="004350FD" w:rsidRPr="008A1DB4">
        <w:rPr>
          <w:spacing w:val="-2"/>
          <w:sz w:val="18"/>
          <w:szCs w:val="18"/>
          <w:lang w:val="en-US"/>
        </w:rPr>
        <w:t>China to Peru</w:t>
      </w:r>
      <w:r w:rsidR="00FE32A6" w:rsidRPr="008A1DB4">
        <w:rPr>
          <w:spacing w:val="-2"/>
          <w:sz w:val="18"/>
          <w:szCs w:val="18"/>
          <w:lang w:val="en-US"/>
        </w:rPr>
        <w:t xml:space="preserve"> </w:t>
      </w:r>
      <w:r w:rsidR="00186FB2" w:rsidRPr="008A1DB4">
        <w:rPr>
          <w:spacing w:val="-2"/>
          <w:sz w:val="18"/>
          <w:szCs w:val="18"/>
          <w:lang w:val="en-US"/>
        </w:rPr>
        <w:t>sent the</w:t>
      </w:r>
      <w:r w:rsidR="002D1CFC" w:rsidRPr="008A1DB4">
        <w:rPr>
          <w:spacing w:val="-2"/>
          <w:sz w:val="18"/>
          <w:szCs w:val="18"/>
          <w:lang w:val="en-US"/>
        </w:rPr>
        <w:t xml:space="preserve"> </w:t>
      </w:r>
      <w:r w:rsidR="00FC5891" w:rsidRPr="008A1DB4">
        <w:rPr>
          <w:spacing w:val="-2"/>
          <w:sz w:val="18"/>
          <w:szCs w:val="18"/>
          <w:lang w:val="en-US"/>
        </w:rPr>
        <w:t>Permanent Criminal Chamber</w:t>
      </w:r>
      <w:r w:rsidR="00F36400" w:rsidRPr="008A1DB4">
        <w:rPr>
          <w:spacing w:val="-2"/>
          <w:sz w:val="18"/>
          <w:szCs w:val="18"/>
          <w:lang w:val="en-US"/>
        </w:rPr>
        <w:t xml:space="preserve"> of </w:t>
      </w:r>
      <w:r w:rsidR="00B67AC5" w:rsidRPr="008A1DB4">
        <w:rPr>
          <w:spacing w:val="-2"/>
          <w:sz w:val="18"/>
          <w:szCs w:val="18"/>
          <w:lang w:val="en-US"/>
        </w:rPr>
        <w:t xml:space="preserve">the </w:t>
      </w:r>
      <w:r w:rsidR="001E7113" w:rsidRPr="008A1DB4">
        <w:rPr>
          <w:spacing w:val="-2"/>
          <w:sz w:val="18"/>
          <w:szCs w:val="18"/>
          <w:lang w:val="en-US"/>
        </w:rPr>
        <w:t>Supreme Court of Justice</w:t>
      </w:r>
      <w:r w:rsidR="00FE32A6" w:rsidRPr="008A1DB4">
        <w:rPr>
          <w:spacing w:val="-2"/>
          <w:sz w:val="18"/>
          <w:szCs w:val="18"/>
          <w:lang w:val="en-US"/>
        </w:rPr>
        <w:t xml:space="preserve"> </w:t>
      </w:r>
      <w:r w:rsidR="00186FB2" w:rsidRPr="008A1DB4">
        <w:rPr>
          <w:spacing w:val="-2"/>
          <w:sz w:val="18"/>
          <w:szCs w:val="18"/>
          <w:lang w:val="en-US"/>
        </w:rPr>
        <w:t xml:space="preserve">a copy and the translation of the decision issued by </w:t>
      </w:r>
      <w:r w:rsidR="00F36400" w:rsidRPr="008A1DB4">
        <w:rPr>
          <w:spacing w:val="-2"/>
          <w:sz w:val="18"/>
          <w:szCs w:val="18"/>
          <w:lang w:val="en-US"/>
        </w:rPr>
        <w:t xml:space="preserve">the </w:t>
      </w:r>
      <w:r w:rsidR="008065B7" w:rsidRPr="008A1DB4">
        <w:rPr>
          <w:spacing w:val="-2"/>
          <w:sz w:val="18"/>
          <w:szCs w:val="18"/>
          <w:lang w:val="en-US"/>
        </w:rPr>
        <w:t>People’s Supreme Court</w:t>
      </w:r>
      <w:r w:rsidR="00FE32A6" w:rsidRPr="008A1DB4">
        <w:rPr>
          <w:rFonts w:cs="Times New Roman"/>
          <w:spacing w:val="-2"/>
          <w:sz w:val="18"/>
          <w:szCs w:val="18"/>
          <w:lang w:val="en-US"/>
        </w:rPr>
        <w:t xml:space="preserve">, </w:t>
      </w:r>
      <w:r w:rsidR="00186FB2" w:rsidRPr="008A1DB4">
        <w:rPr>
          <w:rFonts w:cs="Times New Roman"/>
          <w:spacing w:val="-2"/>
          <w:sz w:val="18"/>
          <w:szCs w:val="18"/>
          <w:lang w:val="en-US"/>
        </w:rPr>
        <w:t xml:space="preserve">establishing that: “[if he is extradited from Peru to China and if] a court finds that </w:t>
      </w:r>
      <w:r w:rsidR="00FE32A6" w:rsidRPr="008A1DB4">
        <w:rPr>
          <w:spacing w:val="-2"/>
          <w:sz w:val="18"/>
          <w:szCs w:val="18"/>
          <w:lang w:val="en-US"/>
        </w:rPr>
        <w:t xml:space="preserve">Wong Ho Wing </w:t>
      </w:r>
      <w:r w:rsidR="00186FB2" w:rsidRPr="008A1DB4">
        <w:rPr>
          <w:spacing w:val="-2"/>
          <w:sz w:val="18"/>
          <w:szCs w:val="18"/>
          <w:lang w:val="en-US"/>
        </w:rPr>
        <w:t xml:space="preserve">is guilty, the court will not sentence Wong Ho Wing to </w:t>
      </w:r>
      <w:r w:rsidR="00A3310A" w:rsidRPr="008A1DB4">
        <w:rPr>
          <w:spacing w:val="-2"/>
          <w:sz w:val="18"/>
          <w:szCs w:val="18"/>
          <w:lang w:val="en-US"/>
        </w:rPr>
        <w:t xml:space="preserve">death </w:t>
      </w:r>
      <w:r w:rsidR="00FE32A6" w:rsidRPr="008A1DB4">
        <w:rPr>
          <w:spacing w:val="-2"/>
          <w:sz w:val="18"/>
          <w:szCs w:val="18"/>
          <w:lang w:val="en-US"/>
        </w:rPr>
        <w:t>(inclu</w:t>
      </w:r>
      <w:r w:rsidR="00186FB2" w:rsidRPr="008A1DB4">
        <w:rPr>
          <w:spacing w:val="-2"/>
          <w:sz w:val="18"/>
          <w:szCs w:val="18"/>
          <w:lang w:val="en-US"/>
        </w:rPr>
        <w:t>ding</w:t>
      </w:r>
      <w:r w:rsidR="00FE32A6" w:rsidRPr="008A1DB4">
        <w:rPr>
          <w:spacing w:val="-2"/>
          <w:sz w:val="18"/>
          <w:szCs w:val="18"/>
          <w:lang w:val="en-US"/>
        </w:rPr>
        <w:t xml:space="preserve"> </w:t>
      </w:r>
      <w:r w:rsidR="00A3310A" w:rsidRPr="008A1DB4">
        <w:rPr>
          <w:spacing w:val="-2"/>
          <w:sz w:val="18"/>
          <w:szCs w:val="18"/>
          <w:lang w:val="en-US"/>
        </w:rPr>
        <w:t xml:space="preserve">the </w:t>
      </w:r>
      <w:r w:rsidR="00047569" w:rsidRPr="008A1DB4">
        <w:rPr>
          <w:spacing w:val="-2"/>
          <w:sz w:val="18"/>
          <w:szCs w:val="18"/>
          <w:lang w:val="en-US"/>
        </w:rPr>
        <w:t xml:space="preserve">immediate </w:t>
      </w:r>
      <w:r w:rsidR="00A3310A" w:rsidRPr="008A1DB4">
        <w:rPr>
          <w:spacing w:val="-2"/>
          <w:sz w:val="18"/>
          <w:szCs w:val="18"/>
          <w:lang w:val="en-US"/>
        </w:rPr>
        <w:t>death penalty</w:t>
      </w:r>
      <w:r w:rsidR="00FE32A6" w:rsidRPr="008A1DB4">
        <w:rPr>
          <w:spacing w:val="-2"/>
          <w:sz w:val="18"/>
          <w:szCs w:val="18"/>
          <w:lang w:val="en-US"/>
        </w:rPr>
        <w:t xml:space="preserve"> </w:t>
      </w:r>
      <w:r w:rsidR="00186FB2" w:rsidRPr="008A1DB4">
        <w:rPr>
          <w:spacing w:val="-2"/>
          <w:sz w:val="18"/>
          <w:szCs w:val="18"/>
          <w:lang w:val="en-US"/>
        </w:rPr>
        <w:t xml:space="preserve">or </w:t>
      </w:r>
      <w:r w:rsidR="00047569" w:rsidRPr="008A1DB4">
        <w:rPr>
          <w:spacing w:val="-2"/>
          <w:sz w:val="18"/>
          <w:szCs w:val="18"/>
          <w:lang w:val="en-US"/>
        </w:rPr>
        <w:t xml:space="preserve">the death penalty </w:t>
      </w:r>
      <w:r w:rsidR="00186FB2" w:rsidRPr="008A1DB4">
        <w:rPr>
          <w:spacing w:val="-2"/>
          <w:sz w:val="18"/>
          <w:szCs w:val="18"/>
          <w:lang w:val="en-US"/>
        </w:rPr>
        <w:t xml:space="preserve">with a temporary two-year suspension) </w:t>
      </w:r>
      <w:r w:rsidR="00FE32A6" w:rsidRPr="008A1DB4">
        <w:rPr>
          <w:spacing w:val="-2"/>
          <w:sz w:val="18"/>
          <w:szCs w:val="18"/>
          <w:lang w:val="en-US"/>
        </w:rPr>
        <w:t>[…]</w:t>
      </w:r>
      <w:r w:rsidR="00186FB2" w:rsidRPr="008A1DB4">
        <w:rPr>
          <w:spacing w:val="-2"/>
          <w:sz w:val="18"/>
          <w:szCs w:val="18"/>
          <w:lang w:val="en-US"/>
        </w:rPr>
        <w:t xml:space="preserve">, even though his crime is </w:t>
      </w:r>
      <w:r w:rsidR="00201E4D">
        <w:rPr>
          <w:spacing w:val="-2"/>
          <w:sz w:val="18"/>
          <w:szCs w:val="18"/>
          <w:lang w:val="en-US"/>
        </w:rPr>
        <w:t xml:space="preserve">legally </w:t>
      </w:r>
      <w:r w:rsidR="00186FB2" w:rsidRPr="008A1DB4">
        <w:rPr>
          <w:spacing w:val="-2"/>
          <w:sz w:val="18"/>
          <w:szCs w:val="18"/>
          <w:lang w:val="en-US"/>
        </w:rPr>
        <w:t>subject to the death penalty.</w:t>
      </w:r>
      <w:r w:rsidR="00FE32A6" w:rsidRPr="008A1DB4">
        <w:rPr>
          <w:spacing w:val="-2"/>
          <w:sz w:val="18"/>
          <w:szCs w:val="18"/>
          <w:lang w:val="en-US"/>
        </w:rPr>
        <w:t>”</w:t>
      </w:r>
      <w:r w:rsidR="00FE32A6" w:rsidRPr="008A1DB4">
        <w:rPr>
          <w:rStyle w:val="FootnoteReference"/>
          <w:rFonts w:cs="Times New Roman"/>
          <w:spacing w:val="-2"/>
          <w:sz w:val="18"/>
          <w:szCs w:val="18"/>
          <w:lang w:val="en-US"/>
        </w:rPr>
        <w:footnoteReference w:id="124"/>
      </w:r>
    </w:p>
    <w:p w14:paraId="64D718A8" w14:textId="77777777" w:rsidR="0099268D" w:rsidRPr="008A1DB4" w:rsidRDefault="0099268D" w:rsidP="00956E97">
      <w:pPr>
        <w:tabs>
          <w:tab w:val="left" w:pos="284"/>
          <w:tab w:val="left" w:pos="567"/>
        </w:tabs>
        <w:rPr>
          <w:spacing w:val="-2"/>
          <w:szCs w:val="20"/>
          <w:lang w:val="en-US"/>
        </w:rPr>
      </w:pPr>
    </w:p>
    <w:p w14:paraId="58A0C3C5" w14:textId="7462BFC3" w:rsidR="00FE32A6" w:rsidRPr="008A1DB4" w:rsidRDefault="00A3310A" w:rsidP="00956E97">
      <w:pPr>
        <w:pStyle w:val="PrrafodeSentencia"/>
        <w:rPr>
          <w:spacing w:val="-2"/>
          <w:lang w:val="en-US"/>
        </w:rPr>
      </w:pPr>
      <w:bookmarkStart w:id="569" w:name="_Ref419390124"/>
      <w:r w:rsidRPr="008A1DB4">
        <w:rPr>
          <w:spacing w:val="-2"/>
          <w:lang w:val="en-US"/>
        </w:rPr>
        <w:t xml:space="preserve">Following the second </w:t>
      </w:r>
      <w:r w:rsidR="002D1CFC" w:rsidRPr="008A1DB4">
        <w:rPr>
          <w:spacing w:val="-2"/>
          <w:lang w:val="en-US"/>
        </w:rPr>
        <w:t>advisory decision</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3F4C7C" w:rsidRPr="008A1DB4">
        <w:rPr>
          <w:spacing w:val="-2"/>
          <w:lang w:val="en-US"/>
        </w:rPr>
        <w:t xml:space="preserve"> </w:t>
      </w:r>
      <w:r w:rsidRPr="008A1DB4">
        <w:rPr>
          <w:spacing w:val="-2"/>
          <w:lang w:val="en-US"/>
        </w:rPr>
        <w:t xml:space="preserve">and up until August </w:t>
      </w:r>
      <w:r w:rsidR="003F4C7C" w:rsidRPr="008A1DB4">
        <w:rPr>
          <w:spacing w:val="-2"/>
          <w:lang w:val="en-US"/>
        </w:rPr>
        <w:t xml:space="preserve">2014, </w:t>
      </w:r>
      <w:r w:rsidR="00186FB2" w:rsidRPr="008A1DB4">
        <w:rPr>
          <w:spacing w:val="-2"/>
          <w:lang w:val="en-US"/>
        </w:rPr>
        <w:t xml:space="preserve">the following </w:t>
      </w:r>
      <w:r w:rsidR="00201E4D">
        <w:rPr>
          <w:spacing w:val="-2"/>
          <w:lang w:val="en-US"/>
        </w:rPr>
        <w:t xml:space="preserve">assurances </w:t>
      </w:r>
      <w:r w:rsidR="00186FB2" w:rsidRPr="008A1DB4">
        <w:rPr>
          <w:spacing w:val="-2"/>
          <w:lang w:val="en-US"/>
        </w:rPr>
        <w:t xml:space="preserve">were </w:t>
      </w:r>
      <w:r w:rsidR="00201E4D">
        <w:rPr>
          <w:spacing w:val="-2"/>
          <w:lang w:val="en-US"/>
        </w:rPr>
        <w:t>provided</w:t>
      </w:r>
      <w:r w:rsidR="00186FB2" w:rsidRPr="008A1DB4">
        <w:rPr>
          <w:spacing w:val="-2"/>
          <w:lang w:val="en-US"/>
        </w:rPr>
        <w:t>:</w:t>
      </w:r>
      <w:bookmarkEnd w:id="569"/>
    </w:p>
    <w:p w14:paraId="2A833296" w14:textId="77777777" w:rsidR="00FE32A6" w:rsidRPr="008A1DB4" w:rsidRDefault="00FE32A6" w:rsidP="00956E97">
      <w:pPr>
        <w:pStyle w:val="ListParagraph"/>
        <w:tabs>
          <w:tab w:val="left" w:pos="284"/>
          <w:tab w:val="left" w:pos="567"/>
        </w:tabs>
        <w:ind w:left="1440"/>
        <w:rPr>
          <w:spacing w:val="-2"/>
          <w:sz w:val="18"/>
          <w:szCs w:val="18"/>
          <w:lang w:val="en-US"/>
        </w:rPr>
      </w:pPr>
    </w:p>
    <w:p w14:paraId="06386C0D" w14:textId="3FCEDD31" w:rsidR="00FE32A6" w:rsidRPr="008A1DB4" w:rsidRDefault="00A3310A" w:rsidP="00956E97">
      <w:pPr>
        <w:pStyle w:val="ListParagraph"/>
        <w:numPr>
          <w:ilvl w:val="1"/>
          <w:numId w:val="6"/>
        </w:numPr>
        <w:tabs>
          <w:tab w:val="left" w:pos="284"/>
          <w:tab w:val="left" w:pos="567"/>
        </w:tabs>
        <w:rPr>
          <w:spacing w:val="-2"/>
          <w:sz w:val="18"/>
          <w:szCs w:val="18"/>
          <w:lang w:val="en-US"/>
        </w:rPr>
      </w:pPr>
      <w:r w:rsidRPr="008A1DB4">
        <w:rPr>
          <w:rFonts w:cs="Times New Roman"/>
          <w:spacing w:val="-2"/>
          <w:sz w:val="18"/>
          <w:szCs w:val="18"/>
          <w:u w:val="single"/>
          <w:lang w:val="en-US"/>
        </w:rPr>
        <w:t>Fifth</w:t>
      </w:r>
      <w:r w:rsidR="00FE32A6" w:rsidRPr="008A1DB4">
        <w:rPr>
          <w:rFonts w:cs="Times New Roman"/>
          <w:spacing w:val="-2"/>
          <w:sz w:val="18"/>
          <w:szCs w:val="18"/>
          <w:u w:val="single"/>
          <w:lang w:val="en-US"/>
        </w:rPr>
        <w:t xml:space="preserve"> </w:t>
      </w:r>
      <w:r w:rsidR="004350FD" w:rsidRPr="008A1DB4">
        <w:rPr>
          <w:rFonts w:cs="Times New Roman"/>
          <w:spacing w:val="-2"/>
          <w:sz w:val="18"/>
          <w:szCs w:val="18"/>
          <w:u w:val="single"/>
          <w:lang w:val="en-US"/>
        </w:rPr>
        <w:t>diplomatic note</w:t>
      </w:r>
      <w:r w:rsidR="00FE32A6" w:rsidRPr="008A1DB4">
        <w:rPr>
          <w:rFonts w:cs="Times New Roman"/>
          <w:spacing w:val="-2"/>
          <w:sz w:val="18"/>
          <w:szCs w:val="18"/>
          <w:lang w:val="en-US"/>
        </w:rPr>
        <w:t>:</w:t>
      </w:r>
      <w:r w:rsidR="004350FD" w:rsidRPr="008A1DB4">
        <w:rPr>
          <w:rFonts w:cs="Times New Roman"/>
          <w:spacing w:val="-2"/>
          <w:sz w:val="18"/>
          <w:szCs w:val="18"/>
          <w:lang w:val="en-US"/>
        </w:rPr>
        <w:t xml:space="preserve"> note of </w:t>
      </w:r>
      <w:r w:rsidR="00E022F9" w:rsidRPr="008A1DB4">
        <w:rPr>
          <w:rFonts w:cs="Times New Roman"/>
          <w:spacing w:val="-2"/>
          <w:sz w:val="18"/>
          <w:szCs w:val="18"/>
          <w:lang w:val="en-US"/>
        </w:rPr>
        <w:t xml:space="preserve">February </w:t>
      </w:r>
      <w:r w:rsidRPr="008A1DB4">
        <w:rPr>
          <w:rFonts w:cs="Times New Roman"/>
          <w:spacing w:val="-2"/>
          <w:sz w:val="18"/>
          <w:szCs w:val="18"/>
          <w:lang w:val="en-US"/>
        </w:rPr>
        <w:t>2</w:t>
      </w:r>
      <w:r w:rsidR="00E022F9" w:rsidRPr="008A1DB4">
        <w:rPr>
          <w:rFonts w:cs="Times New Roman"/>
          <w:spacing w:val="-2"/>
          <w:sz w:val="18"/>
          <w:szCs w:val="18"/>
          <w:lang w:val="en-US"/>
        </w:rPr>
        <w:t>2,</w:t>
      </w:r>
      <w:r w:rsidR="00FE32A6" w:rsidRPr="008A1DB4">
        <w:rPr>
          <w:rFonts w:cs="Times New Roman"/>
          <w:spacing w:val="-2"/>
          <w:sz w:val="18"/>
          <w:szCs w:val="18"/>
          <w:lang w:val="en-US"/>
        </w:rPr>
        <w:t xml:space="preserve"> 2011 </w:t>
      </w:r>
    </w:p>
    <w:p w14:paraId="3D95F41B" w14:textId="58A92D23" w:rsidR="00FE32A6" w:rsidRPr="008A1DB4" w:rsidRDefault="00E022F9" w:rsidP="00956E97">
      <w:pPr>
        <w:pStyle w:val="ListParagraph"/>
        <w:tabs>
          <w:tab w:val="left" w:pos="567"/>
        </w:tabs>
        <w:autoSpaceDE w:val="0"/>
        <w:autoSpaceDN w:val="0"/>
        <w:adjustRightInd w:val="0"/>
        <w:ind w:left="1494"/>
        <w:rPr>
          <w:rFonts w:cs="Times New Roman"/>
          <w:spacing w:val="-2"/>
          <w:sz w:val="18"/>
          <w:szCs w:val="18"/>
          <w:lang w:val="en-US"/>
        </w:rPr>
      </w:pPr>
      <w:r w:rsidRPr="008A1DB4">
        <w:rPr>
          <w:rFonts w:cs="Times New Roman"/>
          <w:spacing w:val="-2"/>
          <w:sz w:val="18"/>
          <w:szCs w:val="18"/>
          <w:lang w:val="en-US"/>
        </w:rPr>
        <w:t>The Ambassador</w:t>
      </w:r>
      <w:r w:rsidR="002D1CFC" w:rsidRPr="008A1DB4">
        <w:rPr>
          <w:rFonts w:cs="Times New Roman"/>
          <w:spacing w:val="-2"/>
          <w:sz w:val="18"/>
          <w:szCs w:val="18"/>
          <w:lang w:val="en-US"/>
        </w:rPr>
        <w:t xml:space="preserve"> of the </w:t>
      </w:r>
      <w:r w:rsidR="00FE5E87" w:rsidRPr="008A1DB4">
        <w:rPr>
          <w:rFonts w:cs="Times New Roman"/>
          <w:spacing w:val="-2"/>
          <w:sz w:val="18"/>
          <w:szCs w:val="18"/>
          <w:lang w:val="en-US"/>
        </w:rPr>
        <w:t>People’s Republic of China</w:t>
      </w:r>
      <w:r w:rsidR="00FE32A6" w:rsidRPr="008A1DB4">
        <w:rPr>
          <w:rFonts w:cs="Times New Roman"/>
          <w:spacing w:val="-2"/>
          <w:sz w:val="18"/>
          <w:szCs w:val="18"/>
          <w:lang w:val="en-US"/>
        </w:rPr>
        <w:t xml:space="preserve"> </w:t>
      </w:r>
      <w:r w:rsidR="00A3310A" w:rsidRPr="008A1DB4">
        <w:rPr>
          <w:rFonts w:cs="Times New Roman"/>
          <w:spacing w:val="-2"/>
          <w:sz w:val="18"/>
          <w:szCs w:val="18"/>
          <w:lang w:val="en-US"/>
        </w:rPr>
        <w:t>informed the Minister of Justice of</w:t>
      </w:r>
      <w:r w:rsidRPr="008A1DB4">
        <w:rPr>
          <w:rFonts w:cs="Times New Roman"/>
          <w:spacing w:val="-2"/>
          <w:sz w:val="18"/>
          <w:szCs w:val="18"/>
          <w:lang w:val="en-US"/>
        </w:rPr>
        <w:t xml:space="preserve"> Peru</w:t>
      </w:r>
      <w:r w:rsidR="00186FB2" w:rsidRPr="008A1DB4">
        <w:rPr>
          <w:rFonts w:cs="Times New Roman"/>
          <w:spacing w:val="-2"/>
          <w:sz w:val="18"/>
          <w:szCs w:val="18"/>
          <w:lang w:val="en-US"/>
        </w:rPr>
        <w:t>, that</w:t>
      </w:r>
      <w:r w:rsidR="00FE32A6" w:rsidRPr="008A1DB4">
        <w:rPr>
          <w:rFonts w:cs="Times New Roman"/>
          <w:spacing w:val="-2"/>
          <w:sz w:val="18"/>
          <w:szCs w:val="18"/>
          <w:lang w:val="en-US"/>
        </w:rPr>
        <w:t xml:space="preserve"> “</w:t>
      </w:r>
      <w:r w:rsidR="002D1CFC" w:rsidRPr="008A1DB4">
        <w:rPr>
          <w:rFonts w:cs="Times New Roman"/>
          <w:spacing w:val="-2"/>
          <w:sz w:val="18"/>
          <w:szCs w:val="18"/>
          <w:lang w:val="en-US"/>
        </w:rPr>
        <w:t>the Government</w:t>
      </w:r>
      <w:r w:rsidR="00FE32A6" w:rsidRPr="008A1DB4">
        <w:rPr>
          <w:rFonts w:cs="Times New Roman"/>
          <w:spacing w:val="-2"/>
          <w:sz w:val="18"/>
          <w:szCs w:val="18"/>
          <w:lang w:val="en-US"/>
        </w:rPr>
        <w:t xml:space="preserve"> Chino </w:t>
      </w:r>
      <w:r w:rsidR="00186FB2" w:rsidRPr="008A1DB4">
        <w:rPr>
          <w:rFonts w:cs="Times New Roman"/>
          <w:spacing w:val="-2"/>
          <w:sz w:val="18"/>
          <w:szCs w:val="18"/>
          <w:lang w:val="en-US"/>
        </w:rPr>
        <w:t xml:space="preserve">undertakes formally, apart from the </w:t>
      </w:r>
      <w:r w:rsidR="00201E4D">
        <w:rPr>
          <w:rFonts w:cs="Times New Roman"/>
          <w:spacing w:val="-2"/>
          <w:sz w:val="18"/>
          <w:szCs w:val="18"/>
          <w:lang w:val="en-US"/>
        </w:rPr>
        <w:t>commitment</w:t>
      </w:r>
      <w:r w:rsidR="00186FB2" w:rsidRPr="008A1DB4">
        <w:rPr>
          <w:rFonts w:cs="Times New Roman"/>
          <w:spacing w:val="-2"/>
          <w:sz w:val="18"/>
          <w:szCs w:val="18"/>
          <w:lang w:val="en-US"/>
        </w:rPr>
        <w:t xml:space="preserve"> </w:t>
      </w:r>
      <w:r w:rsidR="00201E4D">
        <w:rPr>
          <w:rFonts w:cs="Times New Roman"/>
          <w:spacing w:val="-2"/>
          <w:sz w:val="18"/>
          <w:szCs w:val="18"/>
          <w:lang w:val="en-US"/>
        </w:rPr>
        <w:t>not to apply</w:t>
      </w:r>
      <w:r w:rsidR="00186FB2" w:rsidRPr="008A1DB4">
        <w:rPr>
          <w:rFonts w:cs="Times New Roman"/>
          <w:spacing w:val="-2"/>
          <w:sz w:val="18"/>
          <w:szCs w:val="18"/>
          <w:lang w:val="en-US"/>
        </w:rPr>
        <w:t xml:space="preserve"> the death sentence […], to invite the Peruvian Government to send observers to be present during the hearings held in [the proceedings] against Mr. </w:t>
      </w:r>
      <w:r w:rsidR="00947926" w:rsidRPr="008A1DB4">
        <w:rPr>
          <w:rFonts w:cs="Times New Roman"/>
          <w:spacing w:val="-2"/>
          <w:sz w:val="18"/>
          <w:szCs w:val="18"/>
          <w:lang w:val="en-US"/>
        </w:rPr>
        <w:t>Wong</w:t>
      </w:r>
      <w:r w:rsidR="00186FB2" w:rsidRPr="008A1DB4">
        <w:rPr>
          <w:rFonts w:cs="Times New Roman"/>
          <w:spacing w:val="-2"/>
          <w:sz w:val="18"/>
          <w:szCs w:val="18"/>
          <w:lang w:val="en-US"/>
        </w:rPr>
        <w:t xml:space="preserve"> and to monitor compliance with the</w:t>
      </w:r>
      <w:r w:rsidR="00FE32A6" w:rsidRPr="008A1DB4">
        <w:rPr>
          <w:rFonts w:cs="Times New Roman"/>
          <w:spacing w:val="-2"/>
          <w:sz w:val="18"/>
          <w:szCs w:val="18"/>
          <w:lang w:val="en-US"/>
        </w:rPr>
        <w:t xml:space="preserve"> [eventual] </w:t>
      </w:r>
      <w:r w:rsidR="00186FB2" w:rsidRPr="008A1DB4">
        <w:rPr>
          <w:rFonts w:cs="Times New Roman"/>
          <w:spacing w:val="-2"/>
          <w:sz w:val="18"/>
          <w:szCs w:val="18"/>
          <w:lang w:val="en-US"/>
        </w:rPr>
        <w:t>judgment.</w:t>
      </w:r>
      <w:r w:rsidR="00FE32A6" w:rsidRPr="008A1DB4">
        <w:rPr>
          <w:rFonts w:cs="Times New Roman"/>
          <w:spacing w:val="-2"/>
          <w:sz w:val="18"/>
          <w:szCs w:val="18"/>
          <w:lang w:val="en-US"/>
        </w:rPr>
        <w:t>”</w:t>
      </w:r>
      <w:r w:rsidR="00FE32A6" w:rsidRPr="008A1DB4">
        <w:rPr>
          <w:rStyle w:val="FootnoteReference"/>
          <w:rFonts w:cs="Times New Roman"/>
          <w:spacing w:val="-2"/>
          <w:sz w:val="18"/>
          <w:szCs w:val="18"/>
          <w:lang w:val="en-US"/>
        </w:rPr>
        <w:footnoteReference w:id="125"/>
      </w:r>
    </w:p>
    <w:p w14:paraId="3CC2914A" w14:textId="77777777" w:rsidR="00FE32A6" w:rsidRPr="008A1DB4" w:rsidRDefault="00FE32A6" w:rsidP="00956E97">
      <w:pPr>
        <w:pStyle w:val="ListParagraph"/>
        <w:tabs>
          <w:tab w:val="left" w:pos="284"/>
          <w:tab w:val="left" w:pos="567"/>
        </w:tabs>
        <w:ind w:left="1440"/>
        <w:rPr>
          <w:spacing w:val="-2"/>
          <w:sz w:val="18"/>
          <w:szCs w:val="18"/>
          <w:lang w:val="en-US"/>
        </w:rPr>
      </w:pPr>
    </w:p>
    <w:p w14:paraId="0F4CA9CA" w14:textId="7EA6CD3F" w:rsidR="00FE32A6" w:rsidRPr="008A1DB4" w:rsidRDefault="00A3310A" w:rsidP="00956E97">
      <w:pPr>
        <w:pStyle w:val="ListParagraph"/>
        <w:numPr>
          <w:ilvl w:val="1"/>
          <w:numId w:val="6"/>
        </w:numPr>
        <w:tabs>
          <w:tab w:val="left" w:pos="284"/>
          <w:tab w:val="left" w:pos="567"/>
        </w:tabs>
        <w:rPr>
          <w:spacing w:val="-2"/>
          <w:sz w:val="18"/>
          <w:szCs w:val="18"/>
          <w:lang w:val="en-US"/>
        </w:rPr>
      </w:pPr>
      <w:r w:rsidRPr="008A1DB4">
        <w:rPr>
          <w:rFonts w:cs="Times New Roman"/>
          <w:spacing w:val="-2"/>
          <w:sz w:val="18"/>
          <w:szCs w:val="18"/>
          <w:u w:val="single"/>
          <w:lang w:val="en-US"/>
        </w:rPr>
        <w:t>Sixth</w:t>
      </w:r>
      <w:r w:rsidR="00FE32A6" w:rsidRPr="008A1DB4">
        <w:rPr>
          <w:rFonts w:cs="Times New Roman"/>
          <w:spacing w:val="-2"/>
          <w:sz w:val="18"/>
          <w:szCs w:val="18"/>
          <w:u w:val="single"/>
          <w:lang w:val="en-US"/>
        </w:rPr>
        <w:t xml:space="preserve"> </w:t>
      </w:r>
      <w:r w:rsidR="004350FD" w:rsidRPr="008A1DB4">
        <w:rPr>
          <w:rFonts w:cs="Times New Roman"/>
          <w:spacing w:val="-2"/>
          <w:sz w:val="18"/>
          <w:szCs w:val="18"/>
          <w:u w:val="single"/>
          <w:lang w:val="en-US"/>
        </w:rPr>
        <w:t>diplomatic note</w:t>
      </w:r>
      <w:r w:rsidR="00FE32A6" w:rsidRPr="008A1DB4">
        <w:rPr>
          <w:rFonts w:cs="Times New Roman"/>
          <w:spacing w:val="-2"/>
          <w:sz w:val="18"/>
          <w:szCs w:val="18"/>
          <w:lang w:val="en-US"/>
        </w:rPr>
        <w:t>:</w:t>
      </w:r>
      <w:r w:rsidR="004350FD" w:rsidRPr="008A1DB4">
        <w:rPr>
          <w:rFonts w:cs="Times New Roman"/>
          <w:spacing w:val="-2"/>
          <w:sz w:val="18"/>
          <w:szCs w:val="18"/>
          <w:lang w:val="en-US"/>
        </w:rPr>
        <w:t xml:space="preserve"> note of </w:t>
      </w:r>
      <w:r w:rsidRPr="008A1DB4">
        <w:rPr>
          <w:rFonts w:cs="Times New Roman"/>
          <w:spacing w:val="-2"/>
          <w:sz w:val="18"/>
          <w:szCs w:val="18"/>
          <w:lang w:val="en-US"/>
        </w:rPr>
        <w:t>June 10,</w:t>
      </w:r>
      <w:r w:rsidR="00FE32A6" w:rsidRPr="008A1DB4">
        <w:rPr>
          <w:rFonts w:cs="Times New Roman"/>
          <w:spacing w:val="-2"/>
          <w:sz w:val="18"/>
          <w:szCs w:val="18"/>
          <w:lang w:val="en-US"/>
        </w:rPr>
        <w:t xml:space="preserve"> 2011</w:t>
      </w:r>
    </w:p>
    <w:p w14:paraId="0B1A5F10" w14:textId="3D72224D" w:rsidR="00FE32A6" w:rsidRPr="008A1DB4" w:rsidRDefault="00E022F9" w:rsidP="00186FB2">
      <w:pPr>
        <w:pStyle w:val="ListParagraph"/>
        <w:tabs>
          <w:tab w:val="left" w:pos="567"/>
        </w:tabs>
        <w:autoSpaceDE w:val="0"/>
        <w:autoSpaceDN w:val="0"/>
        <w:adjustRightInd w:val="0"/>
        <w:ind w:left="1440"/>
        <w:rPr>
          <w:rFonts w:cs="Times New Roman"/>
          <w:spacing w:val="-2"/>
          <w:sz w:val="18"/>
          <w:szCs w:val="18"/>
          <w:lang w:val="en-US"/>
        </w:rPr>
      </w:pPr>
      <w:r w:rsidRPr="008A1DB4">
        <w:rPr>
          <w:rFonts w:cs="Times New Roman"/>
          <w:spacing w:val="-2"/>
          <w:sz w:val="18"/>
          <w:szCs w:val="18"/>
          <w:lang w:val="en-US"/>
        </w:rPr>
        <w:t>The Ambassador</w:t>
      </w:r>
      <w:r w:rsidR="002D1CFC" w:rsidRPr="008A1DB4">
        <w:rPr>
          <w:rFonts w:cs="Times New Roman"/>
          <w:spacing w:val="-2"/>
          <w:sz w:val="18"/>
          <w:szCs w:val="18"/>
          <w:lang w:val="en-US"/>
        </w:rPr>
        <w:t xml:space="preserve"> of the </w:t>
      </w:r>
      <w:r w:rsidR="00FE5E87" w:rsidRPr="008A1DB4">
        <w:rPr>
          <w:rFonts w:cs="Times New Roman"/>
          <w:spacing w:val="-2"/>
          <w:sz w:val="18"/>
          <w:szCs w:val="18"/>
          <w:lang w:val="en-US"/>
        </w:rPr>
        <w:t>People’s Republic of China</w:t>
      </w:r>
      <w:r w:rsidR="00FE32A6" w:rsidRPr="008A1DB4">
        <w:rPr>
          <w:rFonts w:cs="Times New Roman"/>
          <w:spacing w:val="-2"/>
          <w:sz w:val="18"/>
          <w:szCs w:val="18"/>
          <w:lang w:val="en-US"/>
        </w:rPr>
        <w:t xml:space="preserve"> </w:t>
      </w:r>
      <w:r w:rsidR="00201E4D">
        <w:rPr>
          <w:rFonts w:cs="Times New Roman"/>
          <w:spacing w:val="-2"/>
          <w:sz w:val="18"/>
          <w:szCs w:val="18"/>
          <w:lang w:val="en-US"/>
        </w:rPr>
        <w:t>advised</w:t>
      </w:r>
      <w:r w:rsidR="00A3310A" w:rsidRPr="008A1DB4">
        <w:rPr>
          <w:rFonts w:cs="Times New Roman"/>
          <w:spacing w:val="-2"/>
          <w:sz w:val="18"/>
          <w:szCs w:val="18"/>
          <w:lang w:val="en-US"/>
        </w:rPr>
        <w:t xml:space="preserve"> the Minister of Justice</w:t>
      </w:r>
      <w:r w:rsidR="00FE32A6" w:rsidRPr="008A1DB4">
        <w:rPr>
          <w:rFonts w:cs="Times New Roman"/>
          <w:spacing w:val="-2"/>
          <w:sz w:val="18"/>
          <w:szCs w:val="18"/>
          <w:lang w:val="en-US"/>
        </w:rPr>
        <w:t>, a</w:t>
      </w:r>
      <w:r w:rsidR="00186FB2" w:rsidRPr="008A1DB4">
        <w:rPr>
          <w:rFonts w:cs="Times New Roman"/>
          <w:spacing w:val="-2"/>
          <w:sz w:val="18"/>
          <w:szCs w:val="18"/>
          <w:lang w:val="en-US"/>
        </w:rPr>
        <w:t>ttaching the translation of a</w:t>
      </w:r>
      <w:r w:rsidR="0058668C" w:rsidRPr="008A1DB4">
        <w:rPr>
          <w:rFonts w:cs="Times New Roman"/>
          <w:spacing w:val="-2"/>
          <w:sz w:val="18"/>
          <w:szCs w:val="18"/>
          <w:lang w:val="en-US"/>
        </w:rPr>
        <w:t>rticle</w:t>
      </w:r>
      <w:r w:rsidR="00FE32A6" w:rsidRPr="008A1DB4">
        <w:rPr>
          <w:rFonts w:cs="Times New Roman"/>
          <w:spacing w:val="-2"/>
          <w:sz w:val="18"/>
          <w:szCs w:val="18"/>
          <w:lang w:val="en-US"/>
        </w:rPr>
        <w:t xml:space="preserve"> 12 </w:t>
      </w:r>
      <w:r w:rsidR="001E7113" w:rsidRPr="008A1DB4">
        <w:rPr>
          <w:rFonts w:cs="Times New Roman"/>
          <w:spacing w:val="-2"/>
          <w:sz w:val="18"/>
          <w:szCs w:val="18"/>
          <w:lang w:val="en-US"/>
        </w:rPr>
        <w:t xml:space="preserve">of the </w:t>
      </w:r>
      <w:r w:rsidR="00087CF8" w:rsidRPr="008A1DB4">
        <w:rPr>
          <w:rFonts w:cs="Times New Roman"/>
          <w:spacing w:val="-2"/>
          <w:sz w:val="18"/>
          <w:szCs w:val="18"/>
          <w:lang w:val="en-US"/>
        </w:rPr>
        <w:t>Chinese Criminal Code</w:t>
      </w:r>
      <w:r w:rsidR="00201E4D">
        <w:rPr>
          <w:rFonts w:cs="Times New Roman"/>
          <w:spacing w:val="-2"/>
          <w:sz w:val="18"/>
          <w:szCs w:val="18"/>
          <w:lang w:val="en-US"/>
        </w:rPr>
        <w:t>,</w:t>
      </w:r>
      <w:r w:rsidR="00186FB2" w:rsidRPr="008A1DB4">
        <w:rPr>
          <w:rFonts w:cs="Times New Roman"/>
          <w:spacing w:val="-2"/>
          <w:sz w:val="18"/>
          <w:szCs w:val="18"/>
          <w:lang w:val="en-US"/>
        </w:rPr>
        <w:t xml:space="preserve"> that </w:t>
      </w:r>
      <w:r w:rsidR="00201E4D">
        <w:rPr>
          <w:rFonts w:cs="Times New Roman"/>
          <w:spacing w:val="-2"/>
          <w:sz w:val="18"/>
          <w:szCs w:val="18"/>
          <w:lang w:val="en-US"/>
        </w:rPr>
        <w:t xml:space="preserve">he officially confirmed </w:t>
      </w:r>
      <w:r w:rsidR="00186FB2" w:rsidRPr="008A1DB4">
        <w:rPr>
          <w:rFonts w:cs="Times New Roman"/>
          <w:spacing w:val="-2"/>
          <w:sz w:val="18"/>
          <w:szCs w:val="18"/>
          <w:lang w:val="en-US"/>
        </w:rPr>
        <w:t xml:space="preserve">that </w:t>
      </w:r>
      <w:r w:rsidR="00AB4E6D" w:rsidRPr="008A1DB4">
        <w:rPr>
          <w:rFonts w:cs="Times New Roman"/>
          <w:spacing w:val="-2"/>
          <w:sz w:val="18"/>
          <w:szCs w:val="18"/>
          <w:lang w:val="en-US"/>
        </w:rPr>
        <w:t>the eighth amendment</w:t>
      </w:r>
      <w:r w:rsidR="00FE32A6" w:rsidRPr="008A1DB4">
        <w:rPr>
          <w:rFonts w:cs="Times New Roman"/>
          <w:spacing w:val="-2"/>
          <w:sz w:val="18"/>
          <w:szCs w:val="18"/>
          <w:lang w:val="en-US"/>
        </w:rPr>
        <w:t xml:space="preserve"> </w:t>
      </w:r>
      <w:r w:rsidR="001E7113" w:rsidRPr="008A1DB4">
        <w:rPr>
          <w:rFonts w:cs="Times New Roman"/>
          <w:spacing w:val="-2"/>
          <w:sz w:val="18"/>
          <w:szCs w:val="18"/>
          <w:lang w:val="en-US"/>
        </w:rPr>
        <w:t xml:space="preserve">of the </w:t>
      </w:r>
      <w:r w:rsidR="00087CF8" w:rsidRPr="008A1DB4">
        <w:rPr>
          <w:rFonts w:cs="Times New Roman"/>
          <w:spacing w:val="-2"/>
          <w:sz w:val="18"/>
          <w:szCs w:val="18"/>
          <w:lang w:val="en-US"/>
        </w:rPr>
        <w:t>Chinese Criminal Code</w:t>
      </w:r>
      <w:r w:rsidR="00A039F8" w:rsidRPr="008A1DB4">
        <w:rPr>
          <w:rFonts w:cs="Times New Roman"/>
          <w:spacing w:val="-2"/>
          <w:sz w:val="18"/>
          <w:szCs w:val="18"/>
          <w:lang w:val="en-US"/>
        </w:rPr>
        <w:t xml:space="preserve"> </w:t>
      </w:r>
      <w:r w:rsidR="00186FB2" w:rsidRPr="008A1DB4">
        <w:rPr>
          <w:rFonts w:cs="Times New Roman"/>
          <w:spacing w:val="-2"/>
          <w:sz w:val="18"/>
          <w:szCs w:val="18"/>
          <w:lang w:val="en-US"/>
        </w:rPr>
        <w:t>w</w:t>
      </w:r>
      <w:r w:rsidR="00201E4D">
        <w:rPr>
          <w:rFonts w:cs="Times New Roman"/>
          <w:spacing w:val="-2"/>
          <w:sz w:val="18"/>
          <w:szCs w:val="18"/>
          <w:lang w:val="en-US"/>
        </w:rPr>
        <w:t>ould</w:t>
      </w:r>
      <w:r w:rsidR="00186FB2" w:rsidRPr="008A1DB4">
        <w:rPr>
          <w:rFonts w:cs="Times New Roman"/>
          <w:spacing w:val="-2"/>
          <w:sz w:val="18"/>
          <w:szCs w:val="18"/>
          <w:lang w:val="en-US"/>
        </w:rPr>
        <w:t xml:space="preserve"> be applicable to </w:t>
      </w:r>
      <w:r w:rsidR="00B43F84" w:rsidRPr="008A1DB4">
        <w:rPr>
          <w:rFonts w:cs="Times New Roman"/>
          <w:spacing w:val="-2"/>
          <w:sz w:val="18"/>
          <w:szCs w:val="18"/>
          <w:lang w:val="en-US"/>
        </w:rPr>
        <w:t>Wong</w:t>
      </w:r>
      <w:r w:rsidR="00FE32A6" w:rsidRPr="008A1DB4">
        <w:rPr>
          <w:rFonts w:cs="Times New Roman"/>
          <w:spacing w:val="-2"/>
          <w:sz w:val="18"/>
          <w:szCs w:val="18"/>
          <w:lang w:val="en-US"/>
        </w:rPr>
        <w:t xml:space="preserve"> Ho Wing</w:t>
      </w:r>
      <w:r w:rsidR="00201E4D">
        <w:rPr>
          <w:rFonts w:cs="Times New Roman"/>
          <w:spacing w:val="-2"/>
          <w:sz w:val="18"/>
          <w:szCs w:val="18"/>
          <w:lang w:val="en-US"/>
        </w:rPr>
        <w:t xml:space="preserve">’s case </w:t>
      </w:r>
      <w:r w:rsidR="00326562" w:rsidRPr="008A1DB4">
        <w:rPr>
          <w:rFonts w:cs="Times New Roman"/>
          <w:iCs/>
          <w:spacing w:val="-2"/>
          <w:sz w:val="18"/>
          <w:szCs w:val="18"/>
          <w:lang w:val="en-US"/>
        </w:rPr>
        <w:t>“</w:t>
      </w:r>
      <w:r w:rsidR="00186FB2" w:rsidRPr="008A1DB4">
        <w:rPr>
          <w:rFonts w:cs="Times New Roman"/>
          <w:iCs/>
          <w:spacing w:val="-2"/>
          <w:sz w:val="18"/>
          <w:szCs w:val="18"/>
          <w:lang w:val="en-US"/>
        </w:rPr>
        <w:t xml:space="preserve">because a preliminary hearing has not yet been held; which proves that the annulment </w:t>
      </w:r>
      <w:r w:rsidR="00BB44A4" w:rsidRPr="008A1DB4">
        <w:rPr>
          <w:rFonts w:cs="Times New Roman"/>
          <w:iCs/>
          <w:spacing w:val="-2"/>
          <w:sz w:val="18"/>
          <w:szCs w:val="18"/>
          <w:lang w:val="en-US"/>
        </w:rPr>
        <w:t xml:space="preserve">of the </w:t>
      </w:r>
      <w:r w:rsidR="00A3310A" w:rsidRPr="008A1DB4">
        <w:rPr>
          <w:rFonts w:cs="Times New Roman"/>
          <w:iCs/>
          <w:spacing w:val="-2"/>
          <w:sz w:val="18"/>
          <w:szCs w:val="18"/>
          <w:lang w:val="en-US"/>
        </w:rPr>
        <w:t>death penalty</w:t>
      </w:r>
      <w:r w:rsidR="00FE32A6" w:rsidRPr="008A1DB4">
        <w:rPr>
          <w:rFonts w:cs="Times New Roman"/>
          <w:iCs/>
          <w:spacing w:val="-2"/>
          <w:sz w:val="18"/>
          <w:szCs w:val="18"/>
          <w:lang w:val="en-US"/>
        </w:rPr>
        <w:t xml:space="preserve"> </w:t>
      </w:r>
      <w:r w:rsidR="00201E4D">
        <w:rPr>
          <w:rFonts w:cs="Times New Roman"/>
          <w:iCs/>
          <w:spacing w:val="-2"/>
          <w:sz w:val="18"/>
          <w:szCs w:val="18"/>
          <w:lang w:val="en-US"/>
        </w:rPr>
        <w:t xml:space="preserve">will be applicable to him; thus, </w:t>
      </w:r>
      <w:r w:rsidR="00186FB2" w:rsidRPr="008A1DB4">
        <w:rPr>
          <w:rFonts w:cs="Times New Roman"/>
          <w:iCs/>
          <w:spacing w:val="-2"/>
          <w:sz w:val="18"/>
          <w:szCs w:val="18"/>
          <w:lang w:val="en-US"/>
        </w:rPr>
        <w:t xml:space="preserve">there is no risk </w:t>
      </w:r>
      <w:r w:rsidR="00201E4D">
        <w:rPr>
          <w:rFonts w:cs="Times New Roman"/>
          <w:iCs/>
          <w:spacing w:val="-2"/>
          <w:sz w:val="18"/>
          <w:szCs w:val="18"/>
          <w:lang w:val="en-US"/>
        </w:rPr>
        <w:t>that</w:t>
      </w:r>
      <w:r w:rsidR="00186FB2" w:rsidRPr="008A1DB4">
        <w:rPr>
          <w:rFonts w:cs="Times New Roman"/>
          <w:iCs/>
          <w:spacing w:val="-2"/>
          <w:sz w:val="18"/>
          <w:szCs w:val="18"/>
          <w:lang w:val="en-US"/>
        </w:rPr>
        <w:t xml:space="preserve"> this punishment</w:t>
      </w:r>
      <w:r w:rsidR="00201E4D">
        <w:rPr>
          <w:rFonts w:cs="Times New Roman"/>
          <w:iCs/>
          <w:spacing w:val="-2"/>
          <w:sz w:val="18"/>
          <w:szCs w:val="18"/>
          <w:lang w:val="en-US"/>
        </w:rPr>
        <w:t xml:space="preserve"> will be imposed</w:t>
      </w:r>
      <w:r w:rsidR="00186FB2" w:rsidRPr="008A1DB4">
        <w:rPr>
          <w:rFonts w:cs="Times New Roman"/>
          <w:iCs/>
          <w:spacing w:val="-2"/>
          <w:sz w:val="18"/>
          <w:szCs w:val="18"/>
          <w:lang w:val="en-US"/>
        </w:rPr>
        <w:t>.</w:t>
      </w:r>
      <w:r w:rsidR="00200760" w:rsidRPr="008A1DB4">
        <w:rPr>
          <w:rFonts w:cs="Times New Roman"/>
          <w:iCs/>
          <w:spacing w:val="-2"/>
          <w:sz w:val="18"/>
          <w:szCs w:val="18"/>
          <w:lang w:val="en-US"/>
        </w:rPr>
        <w:t>”</w:t>
      </w:r>
      <w:r w:rsidR="00FE32A6" w:rsidRPr="008A1DB4">
        <w:rPr>
          <w:rStyle w:val="FootnoteReference"/>
          <w:rFonts w:cs="Times New Roman"/>
          <w:iCs/>
          <w:spacing w:val="-2"/>
          <w:sz w:val="18"/>
          <w:szCs w:val="18"/>
          <w:lang w:val="en-US"/>
        </w:rPr>
        <w:footnoteReference w:id="126"/>
      </w:r>
    </w:p>
    <w:p w14:paraId="0DBD9087" w14:textId="77777777" w:rsidR="00FE32A6" w:rsidRPr="008A1DB4" w:rsidRDefault="00FE32A6" w:rsidP="00956E97">
      <w:pPr>
        <w:pStyle w:val="ListParagraph"/>
        <w:tabs>
          <w:tab w:val="left" w:pos="284"/>
          <w:tab w:val="left" w:pos="567"/>
        </w:tabs>
        <w:ind w:left="1440"/>
        <w:rPr>
          <w:spacing w:val="-2"/>
          <w:sz w:val="18"/>
          <w:szCs w:val="18"/>
          <w:lang w:val="en-US"/>
        </w:rPr>
      </w:pPr>
    </w:p>
    <w:p w14:paraId="3C5E48DC" w14:textId="22985CDC" w:rsidR="00FE32A6" w:rsidRPr="008A1DB4" w:rsidRDefault="00FE32A6" w:rsidP="00956E97">
      <w:pPr>
        <w:pStyle w:val="ListParagraph"/>
        <w:numPr>
          <w:ilvl w:val="1"/>
          <w:numId w:val="6"/>
        </w:numPr>
        <w:tabs>
          <w:tab w:val="left" w:pos="284"/>
          <w:tab w:val="left" w:pos="567"/>
        </w:tabs>
        <w:rPr>
          <w:spacing w:val="-2"/>
          <w:sz w:val="18"/>
          <w:szCs w:val="18"/>
          <w:lang w:val="en-US"/>
        </w:rPr>
      </w:pPr>
      <w:r w:rsidRPr="008A1DB4">
        <w:rPr>
          <w:rFonts w:cs="Times New Roman"/>
          <w:spacing w:val="-2"/>
          <w:sz w:val="18"/>
          <w:szCs w:val="18"/>
          <w:u w:val="single"/>
          <w:lang w:val="en-US"/>
        </w:rPr>
        <w:t>S</w:t>
      </w:r>
      <w:r w:rsidR="00A3310A" w:rsidRPr="008A1DB4">
        <w:rPr>
          <w:rFonts w:cs="Times New Roman"/>
          <w:spacing w:val="-2"/>
          <w:sz w:val="18"/>
          <w:szCs w:val="18"/>
          <w:u w:val="single"/>
          <w:lang w:val="en-US"/>
        </w:rPr>
        <w:t>eventh</w:t>
      </w:r>
      <w:r w:rsidRPr="008A1DB4">
        <w:rPr>
          <w:rFonts w:cs="Times New Roman"/>
          <w:spacing w:val="-2"/>
          <w:sz w:val="18"/>
          <w:szCs w:val="18"/>
          <w:u w:val="single"/>
          <w:lang w:val="en-US"/>
        </w:rPr>
        <w:t xml:space="preserve"> </w:t>
      </w:r>
      <w:r w:rsidR="004350FD" w:rsidRPr="008A1DB4">
        <w:rPr>
          <w:rFonts w:cs="Times New Roman"/>
          <w:spacing w:val="-2"/>
          <w:sz w:val="18"/>
          <w:szCs w:val="18"/>
          <w:u w:val="single"/>
          <w:lang w:val="en-US"/>
        </w:rPr>
        <w:t>diplomatic note</w:t>
      </w:r>
      <w:r w:rsidRPr="008A1DB4">
        <w:rPr>
          <w:rFonts w:cs="Times New Roman"/>
          <w:spacing w:val="-2"/>
          <w:sz w:val="18"/>
          <w:szCs w:val="18"/>
          <w:lang w:val="en-US"/>
        </w:rPr>
        <w:t>: rec</w:t>
      </w:r>
      <w:r w:rsidR="00186FB2" w:rsidRPr="008A1DB4">
        <w:rPr>
          <w:rFonts w:cs="Times New Roman"/>
          <w:spacing w:val="-2"/>
          <w:sz w:val="18"/>
          <w:szCs w:val="18"/>
          <w:lang w:val="en-US"/>
        </w:rPr>
        <w:t>eived</w:t>
      </w:r>
      <w:r w:rsidRPr="008A1DB4">
        <w:rPr>
          <w:rFonts w:cs="Times New Roman"/>
          <w:spacing w:val="-2"/>
          <w:sz w:val="18"/>
          <w:szCs w:val="18"/>
          <w:lang w:val="en-US"/>
        </w:rPr>
        <w:t xml:space="preserve"> </w:t>
      </w:r>
      <w:r w:rsidR="00AB4E6D" w:rsidRPr="008A1DB4">
        <w:rPr>
          <w:rFonts w:cs="Times New Roman"/>
          <w:spacing w:val="-2"/>
          <w:sz w:val="18"/>
          <w:szCs w:val="18"/>
          <w:lang w:val="en-US"/>
        </w:rPr>
        <w:t>on December 22,</w:t>
      </w:r>
      <w:r w:rsidR="00DB2E36" w:rsidRPr="008A1DB4">
        <w:rPr>
          <w:rFonts w:cs="Times New Roman"/>
          <w:spacing w:val="-2"/>
          <w:sz w:val="18"/>
          <w:szCs w:val="18"/>
          <w:lang w:val="en-US"/>
        </w:rPr>
        <w:t xml:space="preserve"> </w:t>
      </w:r>
      <w:r w:rsidRPr="008A1DB4">
        <w:rPr>
          <w:rFonts w:cs="Times New Roman"/>
          <w:spacing w:val="-2"/>
          <w:sz w:val="18"/>
          <w:szCs w:val="18"/>
          <w:lang w:val="en-US"/>
        </w:rPr>
        <w:t>201</w:t>
      </w:r>
      <w:r w:rsidR="002B35B4" w:rsidRPr="008A1DB4">
        <w:rPr>
          <w:rFonts w:cs="Times New Roman"/>
          <w:spacing w:val="-2"/>
          <w:sz w:val="18"/>
          <w:szCs w:val="18"/>
          <w:lang w:val="en-US"/>
        </w:rPr>
        <w:t>1</w:t>
      </w:r>
    </w:p>
    <w:p w14:paraId="46236027" w14:textId="6E4BBEC9" w:rsidR="00EF0322" w:rsidRPr="008A1DB4" w:rsidRDefault="00E022F9" w:rsidP="00186FB2">
      <w:pPr>
        <w:pStyle w:val="ListParagraph"/>
        <w:tabs>
          <w:tab w:val="left" w:pos="567"/>
        </w:tabs>
        <w:ind w:left="1440"/>
        <w:rPr>
          <w:rFonts w:cs="Times New Roman"/>
          <w:spacing w:val="-2"/>
          <w:sz w:val="18"/>
          <w:szCs w:val="18"/>
          <w:lang w:val="en-US"/>
        </w:rPr>
      </w:pPr>
      <w:r w:rsidRPr="008A1DB4">
        <w:rPr>
          <w:rFonts w:cs="Times New Roman"/>
          <w:spacing w:val="-2"/>
          <w:sz w:val="18"/>
          <w:szCs w:val="18"/>
          <w:lang w:val="en-US"/>
        </w:rPr>
        <w:t>The Embassy</w:t>
      </w:r>
      <w:r w:rsidR="002D1CFC" w:rsidRPr="008A1DB4">
        <w:rPr>
          <w:rFonts w:cs="Times New Roman"/>
          <w:spacing w:val="-2"/>
          <w:sz w:val="18"/>
          <w:szCs w:val="18"/>
          <w:lang w:val="en-US"/>
        </w:rPr>
        <w:t xml:space="preserve"> of the </w:t>
      </w:r>
      <w:r w:rsidR="00FE5E87" w:rsidRPr="008A1DB4">
        <w:rPr>
          <w:rFonts w:cs="Times New Roman"/>
          <w:spacing w:val="-2"/>
          <w:sz w:val="18"/>
          <w:szCs w:val="18"/>
          <w:lang w:val="en-US"/>
        </w:rPr>
        <w:t>People’s Republic of China</w:t>
      </w:r>
      <w:r w:rsidR="00FE32A6" w:rsidRPr="008A1DB4">
        <w:rPr>
          <w:rFonts w:cs="Times New Roman"/>
          <w:spacing w:val="-2"/>
          <w:sz w:val="18"/>
          <w:szCs w:val="18"/>
          <w:lang w:val="en-US"/>
        </w:rPr>
        <w:t xml:space="preserve"> </w:t>
      </w:r>
      <w:r w:rsidR="00186FB2" w:rsidRPr="008A1DB4">
        <w:rPr>
          <w:rFonts w:cs="Times New Roman"/>
          <w:spacing w:val="-2"/>
          <w:sz w:val="18"/>
          <w:szCs w:val="18"/>
          <w:lang w:val="en-US"/>
        </w:rPr>
        <w:t xml:space="preserve">addressed a communication to the </w:t>
      </w:r>
      <w:r w:rsidR="00A3310A" w:rsidRPr="008A1DB4">
        <w:rPr>
          <w:rFonts w:cs="Times New Roman"/>
          <w:spacing w:val="-2"/>
          <w:sz w:val="18"/>
          <w:szCs w:val="18"/>
          <w:lang w:val="en-US"/>
        </w:rPr>
        <w:t>Ministry of Foreign Affairs</w:t>
      </w:r>
      <w:r w:rsidR="002B35B4" w:rsidRPr="008A1DB4">
        <w:rPr>
          <w:rFonts w:cs="Times New Roman"/>
          <w:spacing w:val="-2"/>
          <w:sz w:val="18"/>
          <w:szCs w:val="18"/>
          <w:lang w:val="en-US"/>
        </w:rPr>
        <w:t xml:space="preserve"> </w:t>
      </w:r>
      <w:r w:rsidRPr="008A1DB4">
        <w:rPr>
          <w:rFonts w:cs="Times New Roman"/>
          <w:spacing w:val="-2"/>
          <w:sz w:val="18"/>
          <w:szCs w:val="18"/>
          <w:lang w:val="en-US"/>
        </w:rPr>
        <w:t>of Peru</w:t>
      </w:r>
      <w:r w:rsidR="00257ED4" w:rsidRPr="008A1DB4">
        <w:rPr>
          <w:rFonts w:cs="Times New Roman"/>
          <w:spacing w:val="-2"/>
          <w:sz w:val="18"/>
          <w:szCs w:val="18"/>
          <w:lang w:val="en-US"/>
        </w:rPr>
        <w:t xml:space="preserve"> (</w:t>
      </w:r>
      <w:r w:rsidR="00257ED4" w:rsidRPr="008A1DB4">
        <w:rPr>
          <w:rFonts w:cs="Times New Roman"/>
          <w:i/>
          <w:spacing w:val="-2"/>
          <w:sz w:val="18"/>
          <w:szCs w:val="18"/>
          <w:lang w:val="en-US"/>
        </w:rPr>
        <w:t>supra</w:t>
      </w:r>
      <w:r w:rsidR="00257ED4" w:rsidRPr="008A1DB4">
        <w:rPr>
          <w:rFonts w:cs="Times New Roman"/>
          <w:spacing w:val="-2"/>
          <w:sz w:val="18"/>
          <w:szCs w:val="18"/>
          <w:lang w:val="en-US"/>
        </w:rPr>
        <w:t xml:space="preserve"> </w:t>
      </w:r>
      <w:r w:rsidR="00C45946" w:rsidRPr="008A1DB4">
        <w:rPr>
          <w:rFonts w:cs="Times New Roman"/>
          <w:spacing w:val="-2"/>
          <w:sz w:val="18"/>
          <w:szCs w:val="18"/>
          <w:lang w:val="en-US"/>
        </w:rPr>
        <w:t xml:space="preserve">para. </w:t>
      </w:r>
      <w:r w:rsidR="00257ED4" w:rsidRPr="008A1DB4">
        <w:rPr>
          <w:rFonts w:cs="Times New Roman"/>
          <w:spacing w:val="-2"/>
          <w:sz w:val="18"/>
          <w:szCs w:val="18"/>
          <w:lang w:val="en-US"/>
        </w:rPr>
        <w:fldChar w:fldCharType="begin"/>
      </w:r>
      <w:r w:rsidR="00257ED4" w:rsidRPr="008A1DB4">
        <w:rPr>
          <w:rFonts w:cs="Times New Roman"/>
          <w:spacing w:val="-2"/>
          <w:sz w:val="18"/>
          <w:szCs w:val="18"/>
          <w:lang w:val="en-US"/>
        </w:rPr>
        <w:instrText xml:space="preserve"> REF _Ref429756572 \r \h </w:instrText>
      </w:r>
      <w:r w:rsidR="00EB3BAE" w:rsidRPr="008A1DB4">
        <w:rPr>
          <w:rFonts w:cs="Times New Roman"/>
          <w:spacing w:val="-2"/>
          <w:sz w:val="18"/>
          <w:szCs w:val="18"/>
          <w:lang w:val="en-US"/>
        </w:rPr>
        <w:instrText xml:space="preserve"> \* MERGEFORMAT </w:instrText>
      </w:r>
      <w:r w:rsidR="00257ED4" w:rsidRPr="008A1DB4">
        <w:rPr>
          <w:rFonts w:cs="Times New Roman"/>
          <w:spacing w:val="-2"/>
          <w:sz w:val="18"/>
          <w:szCs w:val="18"/>
          <w:lang w:val="en-US"/>
        </w:rPr>
      </w:r>
      <w:r w:rsidR="00257ED4" w:rsidRPr="008A1DB4">
        <w:rPr>
          <w:rFonts w:cs="Times New Roman"/>
          <w:spacing w:val="-2"/>
          <w:sz w:val="18"/>
          <w:szCs w:val="18"/>
          <w:lang w:val="en-US"/>
        </w:rPr>
        <w:fldChar w:fldCharType="separate"/>
      </w:r>
      <w:r w:rsidR="00E961FA" w:rsidRPr="008A1DB4">
        <w:rPr>
          <w:rFonts w:cs="Times New Roman"/>
          <w:spacing w:val="-2"/>
          <w:sz w:val="18"/>
          <w:szCs w:val="18"/>
          <w:lang w:val="en-US"/>
        </w:rPr>
        <w:t>87</w:t>
      </w:r>
      <w:r w:rsidR="00257ED4" w:rsidRPr="008A1DB4">
        <w:rPr>
          <w:rFonts w:cs="Times New Roman"/>
          <w:spacing w:val="-2"/>
          <w:sz w:val="18"/>
          <w:szCs w:val="18"/>
          <w:lang w:val="en-US"/>
        </w:rPr>
        <w:fldChar w:fldCharType="end"/>
      </w:r>
      <w:r w:rsidR="00257ED4" w:rsidRPr="008A1DB4">
        <w:rPr>
          <w:rFonts w:cs="Times New Roman"/>
          <w:spacing w:val="-2"/>
          <w:sz w:val="18"/>
          <w:szCs w:val="18"/>
          <w:lang w:val="en-US"/>
        </w:rPr>
        <w:t>)</w:t>
      </w:r>
      <w:r w:rsidR="00FE32A6" w:rsidRPr="008A1DB4">
        <w:rPr>
          <w:rFonts w:cs="Times New Roman"/>
          <w:spacing w:val="-2"/>
          <w:sz w:val="18"/>
          <w:szCs w:val="18"/>
          <w:lang w:val="en-US"/>
        </w:rPr>
        <w:t xml:space="preserve">, </w:t>
      </w:r>
      <w:r w:rsidR="00186FB2" w:rsidRPr="008A1DB4">
        <w:rPr>
          <w:rFonts w:cs="Times New Roman"/>
          <w:spacing w:val="-2"/>
          <w:sz w:val="18"/>
          <w:szCs w:val="18"/>
          <w:lang w:val="en-US"/>
        </w:rPr>
        <w:t>in which it indicated that</w:t>
      </w:r>
      <w:r w:rsidR="00EF0322" w:rsidRPr="008A1DB4">
        <w:rPr>
          <w:rFonts w:cs="Times New Roman"/>
          <w:spacing w:val="-2"/>
          <w:sz w:val="18"/>
          <w:szCs w:val="18"/>
          <w:lang w:val="en-US"/>
        </w:rPr>
        <w:t>:</w:t>
      </w:r>
    </w:p>
    <w:p w14:paraId="2FA9066C" w14:textId="77777777" w:rsidR="00200760" w:rsidRPr="008A1DB4" w:rsidRDefault="00200760" w:rsidP="00222C10">
      <w:pPr>
        <w:pStyle w:val="ListParagraph"/>
        <w:tabs>
          <w:tab w:val="left" w:pos="567"/>
        </w:tabs>
        <w:ind w:left="1494"/>
        <w:rPr>
          <w:rFonts w:cs="Times New Roman"/>
          <w:spacing w:val="-2"/>
          <w:sz w:val="18"/>
          <w:szCs w:val="18"/>
          <w:lang w:val="en-US"/>
        </w:rPr>
      </w:pPr>
    </w:p>
    <w:p w14:paraId="09218ADD" w14:textId="7CF6CAB9" w:rsidR="00EF0322" w:rsidRPr="008A1DB4" w:rsidRDefault="004710CD" w:rsidP="00EF0322">
      <w:pPr>
        <w:pStyle w:val="ListParagraph"/>
        <w:tabs>
          <w:tab w:val="left" w:pos="567"/>
        </w:tabs>
        <w:ind w:left="1701"/>
        <w:rPr>
          <w:rFonts w:cs="Times New Roman"/>
          <w:iCs/>
          <w:spacing w:val="-2"/>
          <w:sz w:val="16"/>
          <w:szCs w:val="16"/>
          <w:lang w:val="en-US"/>
        </w:rPr>
      </w:pPr>
      <w:r w:rsidRPr="008A1DB4">
        <w:rPr>
          <w:rFonts w:cs="Times New Roman"/>
          <w:iCs/>
          <w:spacing w:val="-2"/>
          <w:sz w:val="16"/>
          <w:szCs w:val="16"/>
          <w:lang w:val="en-US"/>
        </w:rPr>
        <w:t>Base</w:t>
      </w:r>
      <w:r w:rsidR="00186FB2" w:rsidRPr="008A1DB4">
        <w:rPr>
          <w:rFonts w:cs="Times New Roman"/>
          <w:iCs/>
          <w:spacing w:val="-2"/>
          <w:sz w:val="16"/>
          <w:szCs w:val="16"/>
          <w:lang w:val="en-US"/>
        </w:rPr>
        <w:t>d</w:t>
      </w:r>
      <w:r w:rsidRPr="008A1DB4">
        <w:rPr>
          <w:rFonts w:cs="Times New Roman"/>
          <w:iCs/>
          <w:spacing w:val="-2"/>
          <w:sz w:val="16"/>
          <w:szCs w:val="16"/>
          <w:lang w:val="en-US"/>
        </w:rPr>
        <w:t xml:space="preserve"> </w:t>
      </w:r>
      <w:r w:rsidR="00186FB2" w:rsidRPr="008A1DB4">
        <w:rPr>
          <w:rFonts w:cs="Times New Roman"/>
          <w:iCs/>
          <w:spacing w:val="-2"/>
          <w:sz w:val="16"/>
          <w:szCs w:val="16"/>
          <w:lang w:val="en-US"/>
        </w:rPr>
        <w:t xml:space="preserve">on the decision </w:t>
      </w:r>
      <w:r w:rsidR="00F36400" w:rsidRPr="008A1DB4">
        <w:rPr>
          <w:rFonts w:cs="Times New Roman"/>
          <w:iCs/>
          <w:spacing w:val="-2"/>
          <w:sz w:val="16"/>
          <w:szCs w:val="16"/>
          <w:lang w:val="en-US"/>
        </w:rPr>
        <w:t xml:space="preserve">of </w:t>
      </w:r>
      <w:r w:rsidR="00B67AC5" w:rsidRPr="008A1DB4">
        <w:rPr>
          <w:rFonts w:cs="Times New Roman"/>
          <w:iCs/>
          <w:spacing w:val="-2"/>
          <w:sz w:val="16"/>
          <w:szCs w:val="16"/>
          <w:lang w:val="en-US"/>
        </w:rPr>
        <w:t>the Supreme Court</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002B35B4" w:rsidRPr="008A1DB4">
        <w:rPr>
          <w:rFonts w:cs="Times New Roman"/>
          <w:iCs/>
          <w:spacing w:val="-2"/>
          <w:sz w:val="16"/>
          <w:szCs w:val="16"/>
          <w:lang w:val="en-US"/>
        </w:rPr>
        <w:t xml:space="preserve">, </w:t>
      </w:r>
      <w:r w:rsidR="00186FB2" w:rsidRPr="008A1DB4">
        <w:rPr>
          <w:rFonts w:cs="Times New Roman"/>
          <w:iCs/>
          <w:spacing w:val="-2"/>
          <w:sz w:val="16"/>
          <w:szCs w:val="16"/>
          <w:lang w:val="en-US"/>
        </w:rPr>
        <w:t xml:space="preserve">in a note dated </w:t>
      </w:r>
      <w:r w:rsidR="00A3310A" w:rsidRPr="008A1DB4">
        <w:rPr>
          <w:rFonts w:cs="Times New Roman"/>
          <w:iCs/>
          <w:spacing w:val="-2"/>
          <w:sz w:val="16"/>
          <w:szCs w:val="16"/>
          <w:lang w:val="en-US"/>
        </w:rPr>
        <w:t>December 11,</w:t>
      </w:r>
      <w:r w:rsidR="002B35B4" w:rsidRPr="008A1DB4">
        <w:rPr>
          <w:rFonts w:cs="Times New Roman"/>
          <w:iCs/>
          <w:spacing w:val="-2"/>
          <w:sz w:val="16"/>
          <w:szCs w:val="16"/>
          <w:lang w:val="en-US"/>
        </w:rPr>
        <w:t xml:space="preserve"> 2009 </w:t>
      </w:r>
      <w:r w:rsidR="00224D16" w:rsidRPr="008A1DB4">
        <w:rPr>
          <w:rFonts w:cs="Times New Roman"/>
          <w:iCs/>
          <w:spacing w:val="-2"/>
          <w:sz w:val="16"/>
          <w:szCs w:val="16"/>
          <w:lang w:val="en-US"/>
        </w:rPr>
        <w:t>[…]</w:t>
      </w:r>
      <w:r w:rsidR="002B35B4" w:rsidRPr="008A1DB4">
        <w:rPr>
          <w:rFonts w:cs="Times New Roman"/>
          <w:iCs/>
          <w:spacing w:val="-2"/>
          <w:sz w:val="16"/>
          <w:szCs w:val="16"/>
          <w:lang w:val="en-US"/>
        </w:rPr>
        <w:t xml:space="preserve">, </w:t>
      </w:r>
      <w:r w:rsidR="00186FB2" w:rsidRPr="008A1DB4">
        <w:rPr>
          <w:rFonts w:cs="Times New Roman"/>
          <w:iCs/>
          <w:spacing w:val="-2"/>
          <w:sz w:val="16"/>
          <w:szCs w:val="16"/>
          <w:lang w:val="en-US"/>
        </w:rPr>
        <w:t xml:space="preserve">the Chinese party made a formal undertaking </w:t>
      </w:r>
      <w:r w:rsidRPr="008A1DB4">
        <w:rPr>
          <w:rFonts w:cs="Times New Roman"/>
          <w:iCs/>
          <w:spacing w:val="-2"/>
          <w:sz w:val="16"/>
          <w:szCs w:val="16"/>
          <w:lang w:val="en-US"/>
        </w:rPr>
        <w:t xml:space="preserve">to the Peruvian party </w:t>
      </w:r>
      <w:r w:rsidR="00186FB2" w:rsidRPr="008A1DB4">
        <w:rPr>
          <w:rFonts w:cs="Times New Roman"/>
          <w:iCs/>
          <w:spacing w:val="-2"/>
          <w:sz w:val="16"/>
          <w:szCs w:val="16"/>
          <w:lang w:val="en-US"/>
        </w:rPr>
        <w:t xml:space="preserve">that the death </w:t>
      </w:r>
      <w:r w:rsidR="00947926" w:rsidRPr="008A1DB4">
        <w:rPr>
          <w:rFonts w:cs="Times New Roman"/>
          <w:iCs/>
          <w:spacing w:val="-2"/>
          <w:sz w:val="16"/>
          <w:szCs w:val="16"/>
          <w:lang w:val="en-US"/>
        </w:rPr>
        <w:t>penalty</w:t>
      </w:r>
      <w:r w:rsidR="00186FB2" w:rsidRPr="008A1DB4">
        <w:rPr>
          <w:rFonts w:cs="Times New Roman"/>
          <w:iCs/>
          <w:spacing w:val="-2"/>
          <w:sz w:val="16"/>
          <w:szCs w:val="16"/>
          <w:lang w:val="en-US"/>
        </w:rPr>
        <w:t xml:space="preserve"> w</w:t>
      </w:r>
      <w:r w:rsidRPr="008A1DB4">
        <w:rPr>
          <w:rFonts w:cs="Times New Roman"/>
          <w:iCs/>
          <w:spacing w:val="-2"/>
          <w:sz w:val="16"/>
          <w:szCs w:val="16"/>
          <w:lang w:val="en-US"/>
        </w:rPr>
        <w:t xml:space="preserve">ould </w:t>
      </w:r>
      <w:r w:rsidR="00186FB2" w:rsidRPr="008A1DB4">
        <w:rPr>
          <w:rFonts w:cs="Times New Roman"/>
          <w:iCs/>
          <w:spacing w:val="-2"/>
          <w:sz w:val="16"/>
          <w:szCs w:val="16"/>
          <w:lang w:val="en-US"/>
        </w:rPr>
        <w:t xml:space="preserve">not be imposed on </w:t>
      </w:r>
      <w:r w:rsidR="00222C10" w:rsidRPr="008A1DB4">
        <w:rPr>
          <w:rFonts w:cs="Times New Roman"/>
          <w:iCs/>
          <w:spacing w:val="-2"/>
          <w:sz w:val="16"/>
          <w:szCs w:val="16"/>
          <w:lang w:val="en-US"/>
        </w:rPr>
        <w:t>[Wong Ho Wing]</w:t>
      </w:r>
      <w:r w:rsidRPr="008A1DB4">
        <w:rPr>
          <w:rFonts w:cs="Times New Roman"/>
          <w:iCs/>
          <w:spacing w:val="-2"/>
          <w:sz w:val="16"/>
          <w:szCs w:val="16"/>
          <w:lang w:val="en-US"/>
        </w:rPr>
        <w:t>, even if he was tried and convicted following his extradition to China. This undertaking by the Chinese party continues to be in effect.</w:t>
      </w:r>
      <w:r w:rsidR="00222C10" w:rsidRPr="008A1DB4">
        <w:rPr>
          <w:rFonts w:cs="Times New Roman"/>
          <w:iCs/>
          <w:spacing w:val="-2"/>
          <w:sz w:val="16"/>
          <w:szCs w:val="16"/>
          <w:lang w:val="en-US"/>
        </w:rPr>
        <w:t xml:space="preserve"> </w:t>
      </w:r>
    </w:p>
    <w:p w14:paraId="2DEC5BEA" w14:textId="77777777" w:rsidR="00EF0322" w:rsidRPr="008A1DB4" w:rsidRDefault="00EF0322" w:rsidP="00EF0322">
      <w:pPr>
        <w:pStyle w:val="ListParagraph"/>
        <w:tabs>
          <w:tab w:val="left" w:pos="567"/>
        </w:tabs>
        <w:ind w:left="1701"/>
        <w:rPr>
          <w:rFonts w:cs="Times New Roman"/>
          <w:iCs/>
          <w:spacing w:val="-2"/>
          <w:sz w:val="16"/>
          <w:szCs w:val="16"/>
          <w:lang w:val="en-US"/>
        </w:rPr>
      </w:pPr>
    </w:p>
    <w:p w14:paraId="081DF425" w14:textId="5E9AB4F8" w:rsidR="00FE32A6" w:rsidRPr="008A1DB4" w:rsidRDefault="004710CD" w:rsidP="00257ED4">
      <w:pPr>
        <w:pStyle w:val="ListParagraph"/>
        <w:tabs>
          <w:tab w:val="left" w:pos="567"/>
        </w:tabs>
        <w:ind w:left="1701"/>
        <w:rPr>
          <w:rFonts w:cs="Times New Roman"/>
          <w:spacing w:val="-2"/>
          <w:sz w:val="16"/>
          <w:szCs w:val="16"/>
          <w:lang w:val="en-US"/>
        </w:rPr>
      </w:pPr>
      <w:r w:rsidRPr="008A1DB4">
        <w:rPr>
          <w:rFonts w:cs="Times New Roman"/>
          <w:iCs/>
          <w:spacing w:val="-2"/>
          <w:sz w:val="16"/>
          <w:szCs w:val="16"/>
          <w:lang w:val="en-US"/>
        </w:rPr>
        <w:t>With the entry into force of the e</w:t>
      </w:r>
      <w:r w:rsidR="00A3310A" w:rsidRPr="008A1DB4">
        <w:rPr>
          <w:rFonts w:cs="Times New Roman"/>
          <w:iCs/>
          <w:spacing w:val="-2"/>
          <w:sz w:val="16"/>
          <w:szCs w:val="16"/>
          <w:lang w:val="en-US"/>
        </w:rPr>
        <w:t>ighth amendment</w:t>
      </w:r>
      <w:r w:rsidR="00222C10" w:rsidRPr="008A1DB4">
        <w:rPr>
          <w:rFonts w:cs="Times New Roman"/>
          <w:iCs/>
          <w:spacing w:val="-2"/>
          <w:sz w:val="16"/>
          <w:szCs w:val="16"/>
          <w:lang w:val="en-US"/>
        </w:rPr>
        <w:t xml:space="preserve"> </w:t>
      </w:r>
      <w:r w:rsidRPr="008A1DB4">
        <w:rPr>
          <w:rFonts w:cs="Times New Roman"/>
          <w:iCs/>
          <w:spacing w:val="-2"/>
          <w:sz w:val="16"/>
          <w:szCs w:val="16"/>
          <w:lang w:val="en-US"/>
        </w:rPr>
        <w:t>to</w:t>
      </w:r>
      <w:r w:rsidR="001E7113" w:rsidRPr="008A1DB4">
        <w:rPr>
          <w:rFonts w:cs="Times New Roman"/>
          <w:iCs/>
          <w:spacing w:val="-2"/>
          <w:sz w:val="16"/>
          <w:szCs w:val="16"/>
          <w:lang w:val="en-US"/>
        </w:rPr>
        <w:t xml:space="preserve"> the Criminal Code</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00EF0322" w:rsidRPr="008A1DB4">
        <w:rPr>
          <w:rFonts w:cs="Times New Roman"/>
          <w:iCs/>
          <w:spacing w:val="-2"/>
          <w:sz w:val="16"/>
          <w:szCs w:val="16"/>
          <w:lang w:val="en-US"/>
        </w:rPr>
        <w:t xml:space="preserve"> </w:t>
      </w:r>
      <w:r w:rsidR="00D46A18" w:rsidRPr="008A1DB4">
        <w:rPr>
          <w:rFonts w:cs="Times New Roman"/>
          <w:iCs/>
          <w:spacing w:val="-2"/>
          <w:sz w:val="16"/>
          <w:szCs w:val="16"/>
          <w:lang w:val="en-US"/>
        </w:rPr>
        <w:t>on May 1,</w:t>
      </w:r>
      <w:r w:rsidR="00EF0322" w:rsidRPr="008A1DB4">
        <w:rPr>
          <w:rFonts w:cs="Times New Roman"/>
          <w:iCs/>
          <w:spacing w:val="-2"/>
          <w:sz w:val="16"/>
          <w:szCs w:val="16"/>
          <w:lang w:val="en-US"/>
        </w:rPr>
        <w:t xml:space="preserve"> 201</w:t>
      </w:r>
      <w:r w:rsidR="00222C10" w:rsidRPr="008A1DB4">
        <w:rPr>
          <w:rFonts w:cs="Times New Roman"/>
          <w:iCs/>
          <w:spacing w:val="-2"/>
          <w:sz w:val="16"/>
          <w:szCs w:val="16"/>
          <w:lang w:val="en-US"/>
        </w:rPr>
        <w:t xml:space="preserve">1, </w:t>
      </w:r>
      <w:r w:rsidR="00A3310A" w:rsidRPr="008A1DB4">
        <w:rPr>
          <w:rFonts w:cs="Times New Roman"/>
          <w:iCs/>
          <w:spacing w:val="-2"/>
          <w:sz w:val="16"/>
          <w:szCs w:val="16"/>
          <w:lang w:val="en-US"/>
        </w:rPr>
        <w:t>the death penalty</w:t>
      </w:r>
      <w:r w:rsidR="00222C10" w:rsidRPr="008A1DB4">
        <w:rPr>
          <w:rFonts w:cs="Times New Roman"/>
          <w:iCs/>
          <w:spacing w:val="-2"/>
          <w:sz w:val="16"/>
          <w:szCs w:val="16"/>
          <w:lang w:val="en-US"/>
        </w:rPr>
        <w:t xml:space="preserve"> </w:t>
      </w:r>
      <w:r w:rsidRPr="008A1DB4">
        <w:rPr>
          <w:rFonts w:cs="Times New Roman"/>
          <w:iCs/>
          <w:spacing w:val="-2"/>
          <w:sz w:val="16"/>
          <w:szCs w:val="16"/>
          <w:lang w:val="en-US"/>
        </w:rPr>
        <w:t xml:space="preserve">has been annulled for the offense of smuggling ordinary </w:t>
      </w:r>
      <w:r w:rsidRPr="008A1DB4">
        <w:rPr>
          <w:rFonts w:cs="Times New Roman"/>
          <w:iCs/>
          <w:spacing w:val="-2"/>
          <w:sz w:val="16"/>
          <w:szCs w:val="16"/>
          <w:lang w:val="en-US"/>
        </w:rPr>
        <w:lastRenderedPageBreak/>
        <w:t xml:space="preserve">merchandise in which </w:t>
      </w:r>
      <w:r w:rsidR="00201E4D">
        <w:rPr>
          <w:rFonts w:cs="Times New Roman"/>
          <w:iCs/>
          <w:spacing w:val="-2"/>
          <w:sz w:val="16"/>
          <w:szCs w:val="16"/>
          <w:lang w:val="en-US"/>
        </w:rPr>
        <w:t>[</w:t>
      </w:r>
      <w:r w:rsidR="00EF0322" w:rsidRPr="008A1DB4">
        <w:rPr>
          <w:rFonts w:cs="Times New Roman"/>
          <w:iCs/>
          <w:spacing w:val="-2"/>
          <w:sz w:val="16"/>
          <w:szCs w:val="16"/>
          <w:lang w:val="en-US"/>
        </w:rPr>
        <w:t>Wong Ho Wing]</w:t>
      </w:r>
      <w:r w:rsidRPr="008A1DB4">
        <w:rPr>
          <w:rFonts w:cs="Times New Roman"/>
          <w:iCs/>
          <w:spacing w:val="-2"/>
          <w:sz w:val="16"/>
          <w:szCs w:val="16"/>
          <w:lang w:val="en-US"/>
        </w:rPr>
        <w:t xml:space="preserve"> is involved. To demonstrated this, the documents with the pertinent legal provisions are attached to [this note], together with the clarification about the cases to which </w:t>
      </w:r>
      <w:r w:rsidR="00BB44A4" w:rsidRPr="008A1DB4">
        <w:rPr>
          <w:rFonts w:cs="Times New Roman"/>
          <w:iCs/>
          <w:spacing w:val="-2"/>
          <w:sz w:val="16"/>
          <w:szCs w:val="16"/>
          <w:lang w:val="en-US"/>
        </w:rPr>
        <w:t xml:space="preserve">the </w:t>
      </w:r>
      <w:r w:rsidR="00AB4E6D" w:rsidRPr="008A1DB4">
        <w:rPr>
          <w:rFonts w:cs="Times New Roman"/>
          <w:iCs/>
          <w:spacing w:val="-2"/>
          <w:sz w:val="16"/>
          <w:szCs w:val="16"/>
          <w:lang w:val="en-US"/>
        </w:rPr>
        <w:t>eighth amendment</w:t>
      </w:r>
      <w:r w:rsidR="00222C10" w:rsidRPr="008A1DB4">
        <w:rPr>
          <w:rFonts w:cs="Times New Roman"/>
          <w:iCs/>
          <w:spacing w:val="-2"/>
          <w:sz w:val="16"/>
          <w:szCs w:val="16"/>
          <w:lang w:val="en-US"/>
        </w:rPr>
        <w:t xml:space="preserve"> </w:t>
      </w:r>
      <w:r w:rsidR="001E7113" w:rsidRPr="008A1DB4">
        <w:rPr>
          <w:rFonts w:cs="Times New Roman"/>
          <w:iCs/>
          <w:spacing w:val="-2"/>
          <w:sz w:val="16"/>
          <w:szCs w:val="16"/>
          <w:lang w:val="en-US"/>
        </w:rPr>
        <w:t xml:space="preserve">of the </w:t>
      </w:r>
      <w:r w:rsidR="00087CF8" w:rsidRPr="008A1DB4">
        <w:rPr>
          <w:rFonts w:cs="Times New Roman"/>
          <w:iCs/>
          <w:spacing w:val="-2"/>
          <w:sz w:val="16"/>
          <w:szCs w:val="16"/>
          <w:lang w:val="en-US"/>
        </w:rPr>
        <w:t>Chinese Criminal Code</w:t>
      </w:r>
      <w:r w:rsidR="00222C10" w:rsidRPr="008A1DB4">
        <w:rPr>
          <w:rFonts w:cs="Times New Roman"/>
          <w:iCs/>
          <w:spacing w:val="-2"/>
          <w:sz w:val="16"/>
          <w:szCs w:val="16"/>
          <w:lang w:val="en-US"/>
        </w:rPr>
        <w:t xml:space="preserve"> </w:t>
      </w:r>
      <w:r w:rsidRPr="008A1DB4">
        <w:rPr>
          <w:rFonts w:cs="Times New Roman"/>
          <w:iCs/>
          <w:spacing w:val="-2"/>
          <w:sz w:val="16"/>
          <w:szCs w:val="16"/>
          <w:lang w:val="en-US"/>
        </w:rPr>
        <w:t>issued by</w:t>
      </w:r>
      <w:r w:rsidR="00222C10" w:rsidRPr="008A1DB4">
        <w:rPr>
          <w:rFonts w:cs="Times New Roman"/>
          <w:iCs/>
          <w:spacing w:val="-2"/>
          <w:sz w:val="16"/>
          <w:szCs w:val="16"/>
          <w:lang w:val="en-US"/>
        </w:rPr>
        <w:t xml:space="preserve"> </w:t>
      </w:r>
      <w:r w:rsidR="00B67AC5" w:rsidRPr="008A1DB4">
        <w:rPr>
          <w:rFonts w:cs="Times New Roman"/>
          <w:iCs/>
          <w:spacing w:val="-2"/>
          <w:sz w:val="16"/>
          <w:szCs w:val="16"/>
          <w:lang w:val="en-US"/>
        </w:rPr>
        <w:t>the Supreme Court</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Pr="008A1DB4">
        <w:rPr>
          <w:rFonts w:cs="Times New Roman"/>
          <w:iCs/>
          <w:spacing w:val="-2"/>
          <w:sz w:val="16"/>
          <w:szCs w:val="16"/>
          <w:lang w:val="en-US"/>
        </w:rPr>
        <w:t xml:space="preserve"> is applicable</w:t>
      </w:r>
      <w:r w:rsidR="00222C10" w:rsidRPr="008A1DB4">
        <w:rPr>
          <w:rFonts w:cs="Times New Roman"/>
          <w:iCs/>
          <w:spacing w:val="-2"/>
          <w:sz w:val="16"/>
          <w:szCs w:val="16"/>
          <w:lang w:val="en-US"/>
        </w:rPr>
        <w:t>,</w:t>
      </w:r>
      <w:r w:rsidR="00F36400" w:rsidRPr="008A1DB4">
        <w:rPr>
          <w:rFonts w:cs="Times New Roman"/>
          <w:iCs/>
          <w:spacing w:val="-2"/>
          <w:sz w:val="16"/>
          <w:szCs w:val="16"/>
          <w:lang w:val="en-US"/>
        </w:rPr>
        <w:t xml:space="preserve"> and </w:t>
      </w:r>
      <w:r w:rsidRPr="008A1DB4">
        <w:rPr>
          <w:rFonts w:cs="Times New Roman"/>
          <w:iCs/>
          <w:spacing w:val="-2"/>
          <w:sz w:val="16"/>
          <w:szCs w:val="16"/>
          <w:lang w:val="en-US"/>
        </w:rPr>
        <w:t>also the official translation into Spanish.</w:t>
      </w:r>
      <w:r w:rsidR="00FE32A6" w:rsidRPr="008A1DB4">
        <w:rPr>
          <w:rStyle w:val="FootnoteReference"/>
          <w:rFonts w:cs="Times New Roman"/>
          <w:spacing w:val="-2"/>
          <w:sz w:val="16"/>
          <w:szCs w:val="16"/>
          <w:lang w:val="en-US"/>
        </w:rPr>
        <w:footnoteReference w:id="127"/>
      </w:r>
    </w:p>
    <w:p w14:paraId="002BE937" w14:textId="77777777" w:rsidR="00FE32A6" w:rsidRPr="008A1DB4" w:rsidRDefault="00FE32A6" w:rsidP="00956E97">
      <w:pPr>
        <w:pStyle w:val="ListParagraph"/>
        <w:tabs>
          <w:tab w:val="left" w:pos="284"/>
          <w:tab w:val="left" w:pos="567"/>
        </w:tabs>
        <w:ind w:left="0"/>
        <w:rPr>
          <w:spacing w:val="-2"/>
          <w:lang w:val="en-US"/>
        </w:rPr>
      </w:pPr>
    </w:p>
    <w:p w14:paraId="2F9E982E" w14:textId="16F635C4" w:rsidR="00FE32A6" w:rsidRPr="008A1DB4" w:rsidRDefault="00A3310A" w:rsidP="00956E97">
      <w:pPr>
        <w:pStyle w:val="ListParagraph"/>
        <w:numPr>
          <w:ilvl w:val="1"/>
          <w:numId w:val="6"/>
        </w:numPr>
        <w:tabs>
          <w:tab w:val="left" w:pos="284"/>
          <w:tab w:val="left" w:pos="567"/>
        </w:tabs>
        <w:rPr>
          <w:spacing w:val="-2"/>
          <w:sz w:val="18"/>
          <w:szCs w:val="18"/>
          <w:lang w:val="en-US"/>
        </w:rPr>
      </w:pPr>
      <w:bookmarkStart w:id="570" w:name="_Ref419390127"/>
      <w:r w:rsidRPr="008A1DB4">
        <w:rPr>
          <w:spacing w:val="-2"/>
          <w:sz w:val="18"/>
          <w:szCs w:val="18"/>
          <w:u w:val="single"/>
          <w:lang w:val="en-US"/>
        </w:rPr>
        <w:t>Eighth</w:t>
      </w:r>
      <w:r w:rsidR="00FE32A6" w:rsidRPr="008A1DB4">
        <w:rPr>
          <w:spacing w:val="-2"/>
          <w:sz w:val="18"/>
          <w:szCs w:val="18"/>
          <w:u w:val="single"/>
          <w:lang w:val="en-US"/>
        </w:rPr>
        <w:t xml:space="preserve"> </w:t>
      </w:r>
      <w:r w:rsidR="004350FD" w:rsidRPr="008A1DB4">
        <w:rPr>
          <w:spacing w:val="-2"/>
          <w:sz w:val="18"/>
          <w:szCs w:val="18"/>
          <w:u w:val="single"/>
          <w:lang w:val="en-US"/>
        </w:rPr>
        <w:t>diplomatic note</w:t>
      </w:r>
      <w:r w:rsidR="00FE32A6" w:rsidRPr="008A1DB4">
        <w:rPr>
          <w:spacing w:val="-2"/>
          <w:sz w:val="18"/>
          <w:szCs w:val="18"/>
          <w:lang w:val="en-US"/>
        </w:rPr>
        <w:t>:</w:t>
      </w:r>
      <w:r w:rsidR="004350FD" w:rsidRPr="008A1DB4">
        <w:rPr>
          <w:spacing w:val="-2"/>
          <w:sz w:val="18"/>
          <w:szCs w:val="18"/>
          <w:lang w:val="en-US"/>
        </w:rPr>
        <w:t xml:space="preserve"> note of </w:t>
      </w:r>
      <w:r w:rsidRPr="008A1DB4">
        <w:rPr>
          <w:spacing w:val="-2"/>
          <w:sz w:val="18"/>
          <w:szCs w:val="18"/>
          <w:lang w:val="en-US"/>
        </w:rPr>
        <w:t>August 19,</w:t>
      </w:r>
      <w:r w:rsidR="00FE32A6" w:rsidRPr="008A1DB4">
        <w:rPr>
          <w:spacing w:val="-2"/>
          <w:sz w:val="18"/>
          <w:szCs w:val="18"/>
          <w:lang w:val="en-US"/>
        </w:rPr>
        <w:t xml:space="preserve"> 2014</w:t>
      </w:r>
      <w:bookmarkEnd w:id="570"/>
    </w:p>
    <w:p w14:paraId="7240F533" w14:textId="6F3D6B69" w:rsidR="00FE32A6" w:rsidRPr="008A1DB4" w:rsidRDefault="00E022F9" w:rsidP="00956E97">
      <w:pPr>
        <w:pStyle w:val="ListParagraph"/>
        <w:tabs>
          <w:tab w:val="left" w:pos="284"/>
          <w:tab w:val="left" w:pos="567"/>
        </w:tabs>
        <w:ind w:left="1440"/>
        <w:rPr>
          <w:spacing w:val="-2"/>
          <w:sz w:val="18"/>
          <w:szCs w:val="18"/>
          <w:lang w:val="en-US"/>
        </w:rPr>
      </w:pPr>
      <w:r w:rsidRPr="008A1DB4">
        <w:rPr>
          <w:rFonts w:cs="Times New Roman"/>
          <w:spacing w:val="-2"/>
          <w:sz w:val="18"/>
          <w:szCs w:val="18"/>
          <w:lang w:val="en-US"/>
        </w:rPr>
        <w:t>The Embassy</w:t>
      </w:r>
      <w:r w:rsidR="002D1CFC" w:rsidRPr="008A1DB4">
        <w:rPr>
          <w:rFonts w:cs="Times New Roman"/>
          <w:spacing w:val="-2"/>
          <w:sz w:val="18"/>
          <w:szCs w:val="18"/>
          <w:lang w:val="en-US"/>
        </w:rPr>
        <w:t xml:space="preserve"> of the </w:t>
      </w:r>
      <w:r w:rsidR="00FE5E87" w:rsidRPr="008A1DB4">
        <w:rPr>
          <w:rFonts w:cs="Times New Roman"/>
          <w:spacing w:val="-2"/>
          <w:sz w:val="18"/>
          <w:szCs w:val="18"/>
          <w:lang w:val="en-US"/>
        </w:rPr>
        <w:t>People’s Republic of China</w:t>
      </w:r>
      <w:r w:rsidR="00FE32A6" w:rsidRPr="008A1DB4">
        <w:rPr>
          <w:rFonts w:cs="Times New Roman"/>
          <w:spacing w:val="-2"/>
          <w:sz w:val="18"/>
          <w:szCs w:val="18"/>
          <w:lang w:val="en-US"/>
        </w:rPr>
        <w:t xml:space="preserve"> </w:t>
      </w:r>
      <w:r w:rsidR="00A3310A" w:rsidRPr="008A1DB4">
        <w:rPr>
          <w:rFonts w:cs="Times New Roman"/>
          <w:spacing w:val="-2"/>
          <w:sz w:val="18"/>
          <w:szCs w:val="18"/>
          <w:lang w:val="en-US"/>
        </w:rPr>
        <w:t>addressed a communication to</w:t>
      </w:r>
      <w:r w:rsidR="00FE32A6" w:rsidRPr="008A1DB4">
        <w:rPr>
          <w:rFonts w:cs="Times New Roman"/>
          <w:spacing w:val="-2"/>
          <w:sz w:val="18"/>
          <w:szCs w:val="18"/>
          <w:lang w:val="en-US"/>
        </w:rPr>
        <w:t xml:space="preserve"> </w:t>
      </w:r>
      <w:r w:rsidR="00A3310A" w:rsidRPr="008A1DB4">
        <w:rPr>
          <w:rFonts w:cs="Times New Roman"/>
          <w:spacing w:val="-2"/>
          <w:sz w:val="18"/>
          <w:szCs w:val="18"/>
          <w:lang w:val="en-US"/>
        </w:rPr>
        <w:t>the Ministry of Foreign Affairs</w:t>
      </w:r>
      <w:r w:rsidR="00FE32A6" w:rsidRPr="008A1DB4">
        <w:rPr>
          <w:rFonts w:cs="Times New Roman"/>
          <w:spacing w:val="-2"/>
          <w:sz w:val="18"/>
          <w:szCs w:val="18"/>
          <w:lang w:val="en-US"/>
        </w:rPr>
        <w:t xml:space="preserve">, </w:t>
      </w:r>
      <w:r w:rsidR="00A3310A" w:rsidRPr="008A1DB4">
        <w:rPr>
          <w:rFonts w:cs="Times New Roman"/>
          <w:spacing w:val="-2"/>
          <w:sz w:val="18"/>
          <w:szCs w:val="18"/>
          <w:lang w:val="en-US"/>
        </w:rPr>
        <w:t>in which it a</w:t>
      </w:r>
      <w:r w:rsidR="004710CD" w:rsidRPr="008A1DB4">
        <w:rPr>
          <w:rFonts w:cs="Times New Roman"/>
          <w:spacing w:val="-2"/>
          <w:sz w:val="18"/>
          <w:szCs w:val="18"/>
          <w:lang w:val="en-US"/>
        </w:rPr>
        <w:t>ffirm</w:t>
      </w:r>
      <w:r w:rsidR="00A3310A" w:rsidRPr="008A1DB4">
        <w:rPr>
          <w:rFonts w:cs="Times New Roman"/>
          <w:spacing w:val="-2"/>
          <w:sz w:val="18"/>
          <w:szCs w:val="18"/>
          <w:lang w:val="en-US"/>
        </w:rPr>
        <w:t>ed the following</w:t>
      </w:r>
      <w:r w:rsidR="00FE32A6" w:rsidRPr="008A1DB4">
        <w:rPr>
          <w:spacing w:val="-2"/>
          <w:sz w:val="18"/>
          <w:szCs w:val="18"/>
          <w:lang w:val="en-US"/>
        </w:rPr>
        <w:t xml:space="preserve">: </w:t>
      </w:r>
    </w:p>
    <w:p w14:paraId="410BA19C" w14:textId="77777777" w:rsidR="00FE32A6" w:rsidRPr="008A1DB4" w:rsidRDefault="00FE32A6" w:rsidP="00956E97">
      <w:pPr>
        <w:pStyle w:val="ListParagraph"/>
        <w:tabs>
          <w:tab w:val="left" w:pos="284"/>
          <w:tab w:val="left" w:pos="567"/>
        </w:tabs>
        <w:ind w:left="1440"/>
        <w:rPr>
          <w:spacing w:val="-2"/>
          <w:sz w:val="18"/>
          <w:szCs w:val="18"/>
          <w:lang w:val="en-US"/>
        </w:rPr>
      </w:pPr>
    </w:p>
    <w:p w14:paraId="7643AFB7" w14:textId="47F44F89" w:rsidR="00FE32A6" w:rsidRPr="008A1DB4" w:rsidRDefault="004710CD"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lang w:val="en-US"/>
        </w:rPr>
      </w:pPr>
      <w:r w:rsidRPr="008A1DB4">
        <w:rPr>
          <w:rFonts w:cs="Times New Roman"/>
          <w:spacing w:val="-2"/>
          <w:sz w:val="16"/>
          <w:szCs w:val="16"/>
          <w:lang w:val="en-US"/>
        </w:rPr>
        <w:t>In 2009, t</w:t>
      </w:r>
      <w:r w:rsidR="002D1CFC" w:rsidRPr="008A1DB4">
        <w:rPr>
          <w:rFonts w:cs="Times New Roman"/>
          <w:spacing w:val="-2"/>
          <w:sz w:val="16"/>
          <w:szCs w:val="16"/>
          <w:lang w:val="en-US"/>
        </w:rPr>
        <w:t xml:space="preserve">he </w:t>
      </w:r>
      <w:r w:rsidRPr="008A1DB4">
        <w:rPr>
          <w:rFonts w:cs="Times New Roman"/>
          <w:spacing w:val="-2"/>
          <w:sz w:val="16"/>
          <w:szCs w:val="16"/>
          <w:lang w:val="en-US"/>
        </w:rPr>
        <w:t xml:space="preserve">Chinese </w:t>
      </w:r>
      <w:r w:rsidR="002D1CFC" w:rsidRPr="008A1DB4">
        <w:rPr>
          <w:rFonts w:cs="Times New Roman"/>
          <w:spacing w:val="-2"/>
          <w:sz w:val="16"/>
          <w:szCs w:val="16"/>
          <w:lang w:val="en-US"/>
        </w:rPr>
        <w:t>Government</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gave guarantees that, </w:t>
      </w:r>
      <w:r w:rsidR="00201E4D">
        <w:rPr>
          <w:rFonts w:cs="Times New Roman"/>
          <w:spacing w:val="-2"/>
          <w:sz w:val="16"/>
          <w:szCs w:val="16"/>
          <w:lang w:val="en-US"/>
        </w:rPr>
        <w:t>pursuant to</w:t>
      </w:r>
      <w:r w:rsidRPr="008A1DB4">
        <w:rPr>
          <w:rFonts w:cs="Times New Roman"/>
          <w:spacing w:val="-2"/>
          <w:sz w:val="16"/>
          <w:szCs w:val="16"/>
          <w:lang w:val="en-US"/>
        </w:rPr>
        <w:t xml:space="preserve"> the decision</w:t>
      </w:r>
      <w:r w:rsidR="00C45946" w:rsidRPr="008A1DB4">
        <w:rPr>
          <w:rFonts w:cs="Times New Roman"/>
          <w:spacing w:val="-2"/>
          <w:sz w:val="16"/>
          <w:szCs w:val="16"/>
          <w:lang w:val="en-US"/>
        </w:rPr>
        <w:t xml:space="preserve"> of the </w:t>
      </w:r>
      <w:r w:rsidR="008065B7" w:rsidRPr="008A1DB4">
        <w:rPr>
          <w:rFonts w:cs="Times New Roman"/>
          <w:spacing w:val="-2"/>
          <w:sz w:val="16"/>
          <w:szCs w:val="16"/>
          <w:lang w:val="en-US"/>
        </w:rPr>
        <w:t>People’s Supreme Court</w:t>
      </w:r>
      <w:r w:rsidR="00FE32A6" w:rsidRPr="008A1DB4">
        <w:rPr>
          <w:rFonts w:cs="Times New Roman"/>
          <w:spacing w:val="-2"/>
          <w:sz w:val="16"/>
          <w:szCs w:val="16"/>
          <w:lang w:val="en-US"/>
        </w:rPr>
        <w:t xml:space="preserve">, </w:t>
      </w:r>
      <w:r w:rsidR="00A3310A" w:rsidRPr="008A1DB4">
        <w:rPr>
          <w:rFonts w:cs="Times New Roman"/>
          <w:spacing w:val="-2"/>
          <w:sz w:val="16"/>
          <w:szCs w:val="16"/>
          <w:lang w:val="en-US"/>
        </w:rPr>
        <w:t>the death penalty</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would not be imposed on Mr. </w:t>
      </w:r>
      <w:r w:rsidR="00FE32A6" w:rsidRPr="008A1DB4">
        <w:rPr>
          <w:rFonts w:cs="Times New Roman"/>
          <w:spacing w:val="-2"/>
          <w:sz w:val="16"/>
          <w:szCs w:val="16"/>
          <w:lang w:val="en-US"/>
        </w:rPr>
        <w:t>[Wong]</w:t>
      </w:r>
      <w:r w:rsidRPr="008A1DB4">
        <w:rPr>
          <w:rFonts w:cs="Times New Roman"/>
          <w:spacing w:val="-2"/>
          <w:sz w:val="16"/>
          <w:szCs w:val="16"/>
          <w:lang w:val="en-US"/>
        </w:rPr>
        <w:t xml:space="preserve"> and, as a State Party to the Convention against Torture and Other Cruel, Inhuman or Degrading Treatment or Punishment, </w:t>
      </w:r>
      <w:r w:rsidR="002D1CFC" w:rsidRPr="008A1DB4">
        <w:rPr>
          <w:rFonts w:cs="Times New Roman"/>
          <w:spacing w:val="-2"/>
          <w:sz w:val="16"/>
          <w:szCs w:val="16"/>
          <w:lang w:val="en-US"/>
        </w:rPr>
        <w:t xml:space="preserve">the </w:t>
      </w:r>
      <w:r w:rsidRPr="008A1DB4">
        <w:rPr>
          <w:rFonts w:cs="Times New Roman"/>
          <w:spacing w:val="-2"/>
          <w:sz w:val="16"/>
          <w:szCs w:val="16"/>
          <w:lang w:val="en-US"/>
        </w:rPr>
        <w:t xml:space="preserve">Chinese </w:t>
      </w:r>
      <w:r w:rsidR="002D1CFC" w:rsidRPr="008A1DB4">
        <w:rPr>
          <w:rFonts w:cs="Times New Roman"/>
          <w:spacing w:val="-2"/>
          <w:sz w:val="16"/>
          <w:szCs w:val="16"/>
          <w:lang w:val="en-US"/>
        </w:rPr>
        <w:t>Government</w:t>
      </w:r>
      <w:r w:rsidR="00201E4D">
        <w:rPr>
          <w:rFonts w:cs="Times New Roman"/>
          <w:spacing w:val="-2"/>
          <w:sz w:val="16"/>
          <w:szCs w:val="16"/>
          <w:lang w:val="en-US"/>
        </w:rPr>
        <w:t xml:space="preserve"> </w:t>
      </w:r>
      <w:r w:rsidR="00FE32A6" w:rsidRPr="008A1DB4">
        <w:rPr>
          <w:rFonts w:cs="Times New Roman"/>
          <w:spacing w:val="-2"/>
          <w:sz w:val="16"/>
          <w:szCs w:val="16"/>
          <w:lang w:val="en-US"/>
        </w:rPr>
        <w:t>g</w:t>
      </w:r>
      <w:r w:rsidRPr="008A1DB4">
        <w:rPr>
          <w:rFonts w:cs="Times New Roman"/>
          <w:spacing w:val="-2"/>
          <w:sz w:val="16"/>
          <w:szCs w:val="16"/>
          <w:lang w:val="en-US"/>
        </w:rPr>
        <w:t xml:space="preserve">uarantees that Mr. </w:t>
      </w:r>
      <w:r w:rsidR="00FE32A6" w:rsidRPr="008A1DB4">
        <w:rPr>
          <w:rFonts w:cs="Times New Roman"/>
          <w:spacing w:val="-2"/>
          <w:sz w:val="16"/>
          <w:szCs w:val="16"/>
          <w:lang w:val="en-US"/>
        </w:rPr>
        <w:t xml:space="preserve">[Wong] </w:t>
      </w:r>
      <w:r w:rsidRPr="008A1DB4">
        <w:rPr>
          <w:rFonts w:cs="Times New Roman"/>
          <w:spacing w:val="-2"/>
          <w:sz w:val="16"/>
          <w:szCs w:val="16"/>
          <w:lang w:val="en-US"/>
        </w:rPr>
        <w:t>will not be subjected to torture or other</w:t>
      </w:r>
      <w:r w:rsidR="00FE32A6" w:rsidRPr="008A1DB4">
        <w:rPr>
          <w:rFonts w:cs="Times New Roman"/>
          <w:spacing w:val="-2"/>
          <w:sz w:val="16"/>
          <w:szCs w:val="16"/>
          <w:lang w:val="en-US"/>
        </w:rPr>
        <w:t xml:space="preserve"> </w:t>
      </w:r>
      <w:r w:rsidR="0006115A" w:rsidRPr="008A1DB4">
        <w:rPr>
          <w:rFonts w:cs="Times New Roman"/>
          <w:spacing w:val="-2"/>
          <w:sz w:val="16"/>
          <w:szCs w:val="16"/>
          <w:lang w:val="en-US"/>
        </w:rPr>
        <w:t>cruel, inhuman or degrading treatment or punishment</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The Chinese party will abide by this undertaking. </w:t>
      </w:r>
    </w:p>
    <w:p w14:paraId="1DB8FBB7"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spacing w:val="-2"/>
          <w:sz w:val="16"/>
          <w:szCs w:val="16"/>
          <w:lang w:val="en-US"/>
        </w:rPr>
      </w:pPr>
    </w:p>
    <w:p w14:paraId="5C9D5540" w14:textId="1697489D" w:rsidR="00FE32A6"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lang w:val="en-US"/>
        </w:rPr>
      </w:pPr>
      <w:r w:rsidRPr="008A1DB4">
        <w:rPr>
          <w:rFonts w:cs="Times New Roman"/>
          <w:spacing w:val="-2"/>
          <w:sz w:val="16"/>
          <w:szCs w:val="16"/>
          <w:lang w:val="en-US"/>
        </w:rPr>
        <w:t xml:space="preserve">The information regarding the place where Mr. </w:t>
      </w:r>
      <w:r w:rsidR="00FE32A6" w:rsidRPr="008A1DB4">
        <w:rPr>
          <w:rFonts w:cs="Times New Roman"/>
          <w:spacing w:val="-2"/>
          <w:sz w:val="16"/>
          <w:szCs w:val="16"/>
          <w:lang w:val="en-US"/>
        </w:rPr>
        <w:t xml:space="preserve">[Wong] </w:t>
      </w:r>
      <w:r w:rsidRPr="008A1DB4">
        <w:rPr>
          <w:rFonts w:cs="Times New Roman"/>
          <w:spacing w:val="-2"/>
          <w:sz w:val="16"/>
          <w:szCs w:val="16"/>
          <w:lang w:val="en-US"/>
        </w:rPr>
        <w:t>would be detained will be accessible to the Peruvian party</w:t>
      </w:r>
      <w:r w:rsidR="00FE32A6" w:rsidRPr="008A1DB4">
        <w:rPr>
          <w:rFonts w:cs="Times New Roman"/>
          <w:spacing w:val="-2"/>
          <w:sz w:val="16"/>
          <w:szCs w:val="16"/>
          <w:lang w:val="en-US"/>
        </w:rPr>
        <w:t xml:space="preserve">. </w:t>
      </w:r>
      <w:r w:rsidRPr="008A1DB4">
        <w:rPr>
          <w:rFonts w:cs="Times New Roman"/>
          <w:spacing w:val="-2"/>
          <w:sz w:val="16"/>
          <w:szCs w:val="16"/>
          <w:lang w:val="en-US"/>
        </w:rPr>
        <w:t>In response to the requests of the Peruvian party</w:t>
      </w:r>
      <w:r w:rsidR="00FE32A6" w:rsidRPr="008A1DB4">
        <w:rPr>
          <w:rFonts w:cs="Times New Roman"/>
          <w:spacing w:val="-2"/>
          <w:sz w:val="16"/>
          <w:szCs w:val="16"/>
          <w:lang w:val="en-US"/>
        </w:rPr>
        <w:t xml:space="preserve">, </w:t>
      </w:r>
      <w:r w:rsidRPr="008A1DB4">
        <w:rPr>
          <w:rFonts w:cs="Times New Roman"/>
          <w:spacing w:val="-2"/>
          <w:sz w:val="16"/>
          <w:szCs w:val="16"/>
          <w:lang w:val="en-US"/>
        </w:rPr>
        <w:t>the Chinese party</w:t>
      </w:r>
      <w:r w:rsidR="00FE32A6" w:rsidRPr="008A1DB4">
        <w:rPr>
          <w:rFonts w:cs="Times New Roman"/>
          <w:spacing w:val="-2"/>
          <w:sz w:val="16"/>
          <w:szCs w:val="16"/>
          <w:lang w:val="en-US"/>
        </w:rPr>
        <w:t xml:space="preserve"> </w:t>
      </w:r>
      <w:r w:rsidRPr="008A1DB4">
        <w:rPr>
          <w:rFonts w:cs="Times New Roman"/>
          <w:spacing w:val="-2"/>
          <w:sz w:val="16"/>
          <w:szCs w:val="16"/>
          <w:lang w:val="en-US"/>
        </w:rPr>
        <w:t>will organize visits to the place where Mr.</w:t>
      </w:r>
      <w:r w:rsidR="00FE32A6" w:rsidRPr="008A1DB4">
        <w:rPr>
          <w:rFonts w:cs="Times New Roman"/>
          <w:spacing w:val="-2"/>
          <w:sz w:val="16"/>
          <w:szCs w:val="16"/>
          <w:lang w:val="en-US"/>
        </w:rPr>
        <w:t xml:space="preserve"> </w:t>
      </w:r>
      <w:r w:rsidRPr="008A1DB4">
        <w:rPr>
          <w:rFonts w:cs="Times New Roman"/>
          <w:spacing w:val="-2"/>
          <w:sz w:val="16"/>
          <w:szCs w:val="16"/>
          <w:lang w:val="en-US"/>
        </w:rPr>
        <w:t>[Wong] will be detained, including his room</w:t>
      </w:r>
      <w:r w:rsidR="00201E4D">
        <w:rPr>
          <w:rFonts w:cs="Times New Roman"/>
          <w:spacing w:val="-2"/>
          <w:sz w:val="16"/>
          <w:szCs w:val="16"/>
          <w:lang w:val="en-US"/>
        </w:rPr>
        <w:t xml:space="preserve">, as soon as possible, and </w:t>
      </w:r>
      <w:r w:rsidRPr="008A1DB4">
        <w:rPr>
          <w:rFonts w:cs="Times New Roman"/>
          <w:spacing w:val="-2"/>
          <w:sz w:val="16"/>
          <w:szCs w:val="16"/>
          <w:lang w:val="en-US"/>
        </w:rPr>
        <w:t>meetings between Mr</w:t>
      </w:r>
      <w:r w:rsidR="00FE32A6" w:rsidRPr="008A1DB4">
        <w:rPr>
          <w:rFonts w:cs="Times New Roman"/>
          <w:spacing w:val="-2"/>
          <w:sz w:val="16"/>
          <w:szCs w:val="16"/>
          <w:lang w:val="en-US"/>
        </w:rPr>
        <w:t xml:space="preserve">. </w:t>
      </w:r>
      <w:r w:rsidR="006854BB" w:rsidRPr="008A1DB4">
        <w:rPr>
          <w:rFonts w:cs="Times New Roman"/>
          <w:spacing w:val="-2"/>
          <w:sz w:val="16"/>
          <w:szCs w:val="16"/>
          <w:lang w:val="en-US"/>
        </w:rPr>
        <w:t>[Wong]</w:t>
      </w:r>
      <w:r w:rsidR="00F36400" w:rsidRPr="008A1DB4">
        <w:rPr>
          <w:rFonts w:cs="Times New Roman"/>
          <w:spacing w:val="-2"/>
          <w:sz w:val="16"/>
          <w:szCs w:val="16"/>
          <w:lang w:val="en-US"/>
        </w:rPr>
        <w:t xml:space="preserve"> and </w:t>
      </w:r>
      <w:r w:rsidRPr="008A1DB4">
        <w:rPr>
          <w:rFonts w:cs="Times New Roman"/>
          <w:spacing w:val="-2"/>
          <w:sz w:val="16"/>
          <w:szCs w:val="16"/>
          <w:lang w:val="en-US"/>
        </w:rPr>
        <w:t>the Peruvian diplomats or consular officials resident in China. The Peruvian officials may be accompanied by an interpreter chosen by the Peruvian party</w:t>
      </w:r>
      <w:r w:rsidR="00FE32A6" w:rsidRPr="008A1DB4">
        <w:rPr>
          <w:rFonts w:cs="Times New Roman"/>
          <w:spacing w:val="-2"/>
          <w:sz w:val="16"/>
          <w:szCs w:val="16"/>
          <w:lang w:val="en-US"/>
        </w:rPr>
        <w:t>.</w:t>
      </w:r>
    </w:p>
    <w:p w14:paraId="1ADC53D1"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spacing w:val="-2"/>
          <w:sz w:val="16"/>
          <w:szCs w:val="16"/>
          <w:lang w:val="en-US"/>
        </w:rPr>
      </w:pPr>
    </w:p>
    <w:p w14:paraId="11882B0E" w14:textId="6CAE769B" w:rsidR="00FE32A6"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lang w:val="en-US"/>
        </w:rPr>
      </w:pPr>
      <w:r w:rsidRPr="008A1DB4">
        <w:rPr>
          <w:rFonts w:cs="Times New Roman"/>
          <w:spacing w:val="-2"/>
          <w:sz w:val="16"/>
          <w:szCs w:val="16"/>
          <w:lang w:val="en-US"/>
        </w:rPr>
        <w:t xml:space="preserve">If necessary, video conferencing facilities will be available so that Mr. </w:t>
      </w:r>
      <w:r w:rsidR="00FE32A6" w:rsidRPr="008A1DB4">
        <w:rPr>
          <w:rFonts w:cs="Times New Roman"/>
          <w:spacing w:val="-2"/>
          <w:sz w:val="16"/>
          <w:szCs w:val="16"/>
          <w:lang w:val="en-US"/>
        </w:rPr>
        <w:t xml:space="preserve">[Wong] </w:t>
      </w:r>
      <w:r w:rsidRPr="008A1DB4">
        <w:rPr>
          <w:rFonts w:cs="Times New Roman"/>
          <w:spacing w:val="-2"/>
          <w:sz w:val="16"/>
          <w:szCs w:val="16"/>
          <w:lang w:val="en-US"/>
        </w:rPr>
        <w:t>may contact the Peruvian diplomats or consular officials resident in China during his detention at the request of the Peruvian party</w:t>
      </w:r>
      <w:r w:rsidR="00FE32A6" w:rsidRPr="008A1DB4">
        <w:rPr>
          <w:rFonts w:cs="Times New Roman"/>
          <w:spacing w:val="-2"/>
          <w:sz w:val="16"/>
          <w:szCs w:val="16"/>
          <w:lang w:val="en-US"/>
        </w:rPr>
        <w:t>.</w:t>
      </w:r>
    </w:p>
    <w:p w14:paraId="2FE87F6B"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spacing w:val="-2"/>
          <w:sz w:val="16"/>
          <w:szCs w:val="16"/>
          <w:lang w:val="en-US"/>
        </w:rPr>
      </w:pPr>
    </w:p>
    <w:p w14:paraId="056D02B8" w14:textId="0B53DF9F" w:rsidR="00FE32A6"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i/>
          <w:iCs/>
          <w:spacing w:val="-2"/>
          <w:sz w:val="16"/>
          <w:szCs w:val="16"/>
          <w:lang w:val="en-US"/>
        </w:rPr>
      </w:pPr>
      <w:r w:rsidRPr="008A1DB4">
        <w:rPr>
          <w:rFonts w:cs="Times New Roman"/>
          <w:spacing w:val="-2"/>
          <w:sz w:val="16"/>
          <w:szCs w:val="16"/>
          <w:lang w:val="en-US"/>
        </w:rPr>
        <w:t>According to the</w:t>
      </w:r>
      <w:r w:rsidR="00FE32A6" w:rsidRPr="008A1DB4">
        <w:rPr>
          <w:rFonts w:cs="Times New Roman"/>
          <w:spacing w:val="-2"/>
          <w:sz w:val="16"/>
          <w:szCs w:val="16"/>
          <w:lang w:val="en-US"/>
        </w:rPr>
        <w:t xml:space="preserve"> </w:t>
      </w:r>
      <w:r w:rsidR="00B43F84" w:rsidRPr="008A1DB4">
        <w:rPr>
          <w:rFonts w:cs="Times New Roman"/>
          <w:iCs/>
          <w:spacing w:val="-2"/>
          <w:sz w:val="16"/>
          <w:szCs w:val="16"/>
          <w:lang w:val="en-US"/>
        </w:rPr>
        <w:t>Code of Criminal Procedure</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00F36400" w:rsidRPr="008A1DB4">
        <w:rPr>
          <w:rFonts w:cs="Times New Roman"/>
          <w:iCs/>
          <w:spacing w:val="-2"/>
          <w:sz w:val="16"/>
          <w:szCs w:val="16"/>
          <w:lang w:val="en-US"/>
        </w:rPr>
        <w:t xml:space="preserve"> and </w:t>
      </w:r>
      <w:r w:rsidRPr="008A1DB4">
        <w:rPr>
          <w:rFonts w:cs="Times New Roman"/>
          <w:spacing w:val="-2"/>
          <w:sz w:val="16"/>
          <w:szCs w:val="16"/>
          <w:lang w:val="en-US"/>
        </w:rPr>
        <w:t>the</w:t>
      </w:r>
      <w:r w:rsidR="00FE32A6" w:rsidRPr="008A1DB4">
        <w:rPr>
          <w:rFonts w:cs="Times New Roman"/>
          <w:spacing w:val="-2"/>
          <w:sz w:val="16"/>
          <w:szCs w:val="16"/>
          <w:lang w:val="en-US"/>
        </w:rPr>
        <w:t xml:space="preserve"> </w:t>
      </w:r>
      <w:r w:rsidRPr="008A1DB4">
        <w:rPr>
          <w:rFonts w:cs="Times New Roman"/>
          <w:iCs/>
          <w:spacing w:val="-2"/>
          <w:sz w:val="16"/>
          <w:szCs w:val="16"/>
          <w:lang w:val="en-US"/>
        </w:rPr>
        <w:t xml:space="preserve">Lawyers Act </w:t>
      </w:r>
      <w:r w:rsidR="002D1CFC" w:rsidRPr="008A1DB4">
        <w:rPr>
          <w:rFonts w:cs="Times New Roman"/>
          <w:iCs/>
          <w:spacing w:val="-2"/>
          <w:sz w:val="16"/>
          <w:szCs w:val="16"/>
          <w:lang w:val="en-US"/>
        </w:rPr>
        <w:t xml:space="preserve">of the </w:t>
      </w:r>
      <w:r w:rsidR="00FE5E87" w:rsidRPr="008A1DB4">
        <w:rPr>
          <w:rFonts w:cs="Times New Roman"/>
          <w:iCs/>
          <w:spacing w:val="-2"/>
          <w:sz w:val="16"/>
          <w:szCs w:val="16"/>
          <w:lang w:val="en-US"/>
        </w:rPr>
        <w:t>People’s Republic of China</w:t>
      </w:r>
      <w:r w:rsidR="00FE32A6" w:rsidRPr="008A1DB4">
        <w:rPr>
          <w:rFonts w:cs="Times New Roman"/>
          <w:iCs/>
          <w:spacing w:val="-2"/>
          <w:sz w:val="16"/>
          <w:szCs w:val="16"/>
          <w:lang w:val="en-US"/>
        </w:rPr>
        <w:t xml:space="preserve">, </w:t>
      </w:r>
      <w:r w:rsidRPr="008A1DB4">
        <w:rPr>
          <w:rFonts w:cs="Times New Roman"/>
          <w:spacing w:val="-2"/>
          <w:sz w:val="16"/>
          <w:szCs w:val="16"/>
          <w:lang w:val="en-US"/>
        </w:rPr>
        <w:t>M</w:t>
      </w:r>
      <w:r w:rsidR="00FE32A6" w:rsidRPr="008A1DB4">
        <w:rPr>
          <w:rFonts w:cs="Times New Roman"/>
          <w:spacing w:val="-2"/>
          <w:sz w:val="16"/>
          <w:szCs w:val="16"/>
          <w:lang w:val="en-US"/>
        </w:rPr>
        <w:t xml:space="preserve">r. [Wong] </w:t>
      </w:r>
      <w:r w:rsidRPr="008A1DB4">
        <w:rPr>
          <w:rFonts w:cs="Times New Roman"/>
          <w:spacing w:val="-2"/>
          <w:sz w:val="16"/>
          <w:szCs w:val="16"/>
          <w:lang w:val="en-US"/>
        </w:rPr>
        <w:t xml:space="preserve">has the right to authorize a lawyer </w:t>
      </w:r>
      <w:r w:rsidR="00947926" w:rsidRPr="008A1DB4">
        <w:rPr>
          <w:rFonts w:cs="Times New Roman"/>
          <w:spacing w:val="-2"/>
          <w:sz w:val="16"/>
          <w:szCs w:val="16"/>
          <w:lang w:val="en-US"/>
        </w:rPr>
        <w:t>licensed</w:t>
      </w:r>
      <w:r w:rsidRPr="008A1DB4">
        <w:rPr>
          <w:rFonts w:cs="Times New Roman"/>
          <w:spacing w:val="-2"/>
          <w:sz w:val="16"/>
          <w:szCs w:val="16"/>
          <w:lang w:val="en-US"/>
        </w:rPr>
        <w:t xml:space="preserve"> to practice law in China to defend him. He also has the right to reject the defense of the </w:t>
      </w:r>
      <w:r w:rsidR="00947926" w:rsidRPr="008A1DB4">
        <w:rPr>
          <w:rFonts w:cs="Times New Roman"/>
          <w:spacing w:val="-2"/>
          <w:sz w:val="16"/>
          <w:szCs w:val="16"/>
          <w:lang w:val="en-US"/>
        </w:rPr>
        <w:t>lawyer he</w:t>
      </w:r>
      <w:r w:rsidRPr="008A1DB4">
        <w:rPr>
          <w:rFonts w:cs="Times New Roman"/>
          <w:spacing w:val="-2"/>
          <w:sz w:val="16"/>
          <w:szCs w:val="16"/>
          <w:lang w:val="en-US"/>
        </w:rPr>
        <w:t xml:space="preserve"> chose and to appoint another one. Mr. </w:t>
      </w:r>
      <w:r w:rsidR="00FE32A6" w:rsidRPr="008A1DB4">
        <w:rPr>
          <w:rFonts w:cs="Times New Roman"/>
          <w:spacing w:val="-2"/>
          <w:sz w:val="16"/>
          <w:szCs w:val="16"/>
          <w:lang w:val="en-US"/>
        </w:rPr>
        <w:t xml:space="preserve">[Wong] </w:t>
      </w:r>
      <w:r w:rsidRPr="008A1DB4">
        <w:rPr>
          <w:rFonts w:cs="Times New Roman"/>
          <w:spacing w:val="-2"/>
          <w:sz w:val="16"/>
          <w:szCs w:val="16"/>
          <w:lang w:val="en-US"/>
        </w:rPr>
        <w:t xml:space="preserve">is allowed to meet with his lawyer without being monitored. </w:t>
      </w:r>
    </w:p>
    <w:p w14:paraId="420DEDF6"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i/>
          <w:iCs/>
          <w:spacing w:val="-2"/>
          <w:sz w:val="16"/>
          <w:szCs w:val="16"/>
          <w:lang w:val="en-US"/>
        </w:rPr>
      </w:pPr>
    </w:p>
    <w:p w14:paraId="2B6EDB26" w14:textId="694579FC" w:rsidR="00FE32A6"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lang w:val="en-US"/>
        </w:rPr>
      </w:pPr>
      <w:r w:rsidRPr="008A1DB4">
        <w:rPr>
          <w:rFonts w:cs="Times New Roman"/>
          <w:spacing w:val="-2"/>
          <w:sz w:val="16"/>
          <w:szCs w:val="16"/>
          <w:lang w:val="en-US"/>
        </w:rPr>
        <w:t>The Peruvian party</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may send its diplomats or consular officials resident in China to observe the open trial in the criminal case against Mr. </w:t>
      </w:r>
      <w:r w:rsidR="00FE32A6" w:rsidRPr="008A1DB4">
        <w:rPr>
          <w:rFonts w:cs="Times New Roman"/>
          <w:spacing w:val="-2"/>
          <w:sz w:val="16"/>
          <w:szCs w:val="16"/>
          <w:lang w:val="en-US"/>
        </w:rPr>
        <w:t xml:space="preserve">[Wong] </w:t>
      </w:r>
      <w:r w:rsidRPr="008A1DB4">
        <w:rPr>
          <w:rFonts w:cs="Times New Roman"/>
          <w:spacing w:val="-2"/>
          <w:sz w:val="16"/>
          <w:szCs w:val="16"/>
          <w:lang w:val="en-US"/>
        </w:rPr>
        <w:t>in accordance with the</w:t>
      </w:r>
      <w:r w:rsidR="00FE32A6" w:rsidRPr="008A1DB4">
        <w:rPr>
          <w:rFonts w:cs="Times New Roman"/>
          <w:spacing w:val="-2"/>
          <w:sz w:val="16"/>
          <w:szCs w:val="16"/>
          <w:lang w:val="en-US"/>
        </w:rPr>
        <w:t xml:space="preserve"> </w:t>
      </w:r>
      <w:r w:rsidR="00B43F84" w:rsidRPr="008A1DB4">
        <w:rPr>
          <w:rFonts w:cs="Times New Roman"/>
          <w:iCs/>
          <w:spacing w:val="-2"/>
          <w:sz w:val="16"/>
          <w:szCs w:val="16"/>
          <w:lang w:val="en-US"/>
        </w:rPr>
        <w:t>Code of Criminal Procedure</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00F36400" w:rsidRPr="008A1DB4">
        <w:rPr>
          <w:rFonts w:cs="Times New Roman"/>
          <w:iCs/>
          <w:spacing w:val="-2"/>
          <w:sz w:val="16"/>
          <w:szCs w:val="16"/>
          <w:lang w:val="en-US"/>
        </w:rPr>
        <w:t xml:space="preserve"> and </w:t>
      </w:r>
      <w:r w:rsidR="001E7113" w:rsidRPr="008A1DB4">
        <w:rPr>
          <w:rFonts w:cs="Times New Roman"/>
          <w:spacing w:val="-2"/>
          <w:sz w:val="16"/>
          <w:szCs w:val="16"/>
          <w:lang w:val="en-US"/>
        </w:rPr>
        <w:t>the Criminal Code</w:t>
      </w:r>
      <w:r w:rsidR="002D1CFC" w:rsidRPr="008A1DB4">
        <w:rPr>
          <w:rFonts w:cs="Times New Roman"/>
          <w:iCs/>
          <w:spacing w:val="-2"/>
          <w:sz w:val="16"/>
          <w:szCs w:val="16"/>
          <w:lang w:val="en-US"/>
        </w:rPr>
        <w:t xml:space="preserve"> of the </w:t>
      </w:r>
      <w:r w:rsidR="00FE5E87" w:rsidRPr="008A1DB4">
        <w:rPr>
          <w:rFonts w:cs="Times New Roman"/>
          <w:iCs/>
          <w:spacing w:val="-2"/>
          <w:sz w:val="16"/>
          <w:szCs w:val="16"/>
          <w:lang w:val="en-US"/>
        </w:rPr>
        <w:t>People’s Republic of China</w:t>
      </w:r>
      <w:r w:rsidR="00FE32A6" w:rsidRPr="008A1DB4">
        <w:rPr>
          <w:rFonts w:cs="Times New Roman"/>
          <w:iCs/>
          <w:spacing w:val="-2"/>
          <w:sz w:val="16"/>
          <w:szCs w:val="16"/>
          <w:lang w:val="en-US"/>
        </w:rPr>
        <w:t>.</w:t>
      </w:r>
    </w:p>
    <w:p w14:paraId="56DA000B"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spacing w:val="-2"/>
          <w:sz w:val="16"/>
          <w:szCs w:val="16"/>
          <w:lang w:val="en-US"/>
        </w:rPr>
      </w:pPr>
    </w:p>
    <w:p w14:paraId="626E9F5D" w14:textId="7668030A" w:rsidR="00047569"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spacing w:val="-2"/>
          <w:sz w:val="16"/>
          <w:szCs w:val="16"/>
          <w:lang w:val="en-US"/>
        </w:rPr>
      </w:pPr>
      <w:r w:rsidRPr="008A1DB4">
        <w:rPr>
          <w:rFonts w:cs="Times New Roman"/>
          <w:spacing w:val="-2"/>
          <w:sz w:val="16"/>
          <w:szCs w:val="16"/>
          <w:lang w:val="en-US"/>
        </w:rPr>
        <w:t>After Mr. [Wong] has been returned to China, the Chinese judicial authorities will prepare simultaneous audio and video recordings of the pre-trial and trial interrogations, and will record the identity of all those present during the pre-trial and trial interrogations of Mr. [Wong]. These audio and video recordings will be available to the Peruvian party as requested.</w:t>
      </w:r>
    </w:p>
    <w:p w14:paraId="0F499C15" w14:textId="77777777" w:rsidR="00047569" w:rsidRPr="008A1DB4" w:rsidRDefault="00047569" w:rsidP="00047569">
      <w:pPr>
        <w:tabs>
          <w:tab w:val="left" w:pos="567"/>
          <w:tab w:val="left" w:pos="1701"/>
        </w:tabs>
        <w:autoSpaceDE w:val="0"/>
        <w:autoSpaceDN w:val="0"/>
        <w:adjustRightInd w:val="0"/>
        <w:rPr>
          <w:rFonts w:cs="Times New Roman"/>
          <w:spacing w:val="-2"/>
          <w:sz w:val="16"/>
          <w:szCs w:val="16"/>
          <w:lang w:val="en-US"/>
        </w:rPr>
      </w:pPr>
    </w:p>
    <w:p w14:paraId="0C6C70D8" w14:textId="2662B234" w:rsidR="00FE32A6" w:rsidRPr="008A1DB4" w:rsidRDefault="00047569" w:rsidP="00956E97">
      <w:pPr>
        <w:pStyle w:val="ListParagraph"/>
        <w:numPr>
          <w:ilvl w:val="2"/>
          <w:numId w:val="6"/>
        </w:numPr>
        <w:tabs>
          <w:tab w:val="left" w:pos="567"/>
          <w:tab w:val="left" w:pos="1701"/>
        </w:tabs>
        <w:autoSpaceDE w:val="0"/>
        <w:autoSpaceDN w:val="0"/>
        <w:adjustRightInd w:val="0"/>
        <w:ind w:left="1701" w:firstLine="0"/>
        <w:rPr>
          <w:rFonts w:cs="Times New Roman"/>
          <w:i/>
          <w:iCs/>
          <w:spacing w:val="-2"/>
          <w:sz w:val="16"/>
          <w:szCs w:val="16"/>
          <w:lang w:val="en-US"/>
        </w:rPr>
      </w:pPr>
      <w:r w:rsidRPr="008A1DB4">
        <w:rPr>
          <w:rFonts w:cs="Times New Roman"/>
          <w:spacing w:val="-2"/>
          <w:sz w:val="16"/>
          <w:szCs w:val="16"/>
          <w:lang w:val="en-US"/>
        </w:rPr>
        <w:t xml:space="preserve">Pursuant to the Prisons Act </w:t>
      </w:r>
      <w:r w:rsidR="002D1CFC" w:rsidRPr="008A1DB4">
        <w:rPr>
          <w:rFonts w:cs="Times New Roman"/>
          <w:iCs/>
          <w:spacing w:val="-2"/>
          <w:sz w:val="16"/>
          <w:szCs w:val="16"/>
          <w:lang w:val="en-US"/>
        </w:rPr>
        <w:t xml:space="preserve">of the </w:t>
      </w:r>
      <w:r w:rsidR="00FE5E87" w:rsidRPr="008A1DB4">
        <w:rPr>
          <w:rFonts w:cs="Times New Roman"/>
          <w:iCs/>
          <w:spacing w:val="-2"/>
          <w:sz w:val="16"/>
          <w:szCs w:val="16"/>
          <w:lang w:val="en-US"/>
        </w:rPr>
        <w:t>People’s Republic of China</w:t>
      </w:r>
      <w:r w:rsidR="00F36400" w:rsidRPr="008A1DB4">
        <w:rPr>
          <w:rFonts w:cs="Times New Roman"/>
          <w:iCs/>
          <w:spacing w:val="-2"/>
          <w:sz w:val="16"/>
          <w:szCs w:val="16"/>
          <w:lang w:val="en-US"/>
        </w:rPr>
        <w:t xml:space="preserve"> and </w:t>
      </w:r>
      <w:r w:rsidRPr="008A1DB4">
        <w:rPr>
          <w:rFonts w:cs="Times New Roman"/>
          <w:iCs/>
          <w:spacing w:val="-2"/>
          <w:sz w:val="16"/>
          <w:szCs w:val="16"/>
          <w:lang w:val="en-US"/>
        </w:rPr>
        <w:t xml:space="preserve">the Detention Center Regulations </w:t>
      </w:r>
      <w:r w:rsidR="002D1CFC" w:rsidRPr="008A1DB4">
        <w:rPr>
          <w:rFonts w:cs="Times New Roman"/>
          <w:iCs/>
          <w:spacing w:val="-2"/>
          <w:sz w:val="16"/>
          <w:szCs w:val="16"/>
          <w:lang w:val="en-US"/>
        </w:rPr>
        <w:t xml:space="preserve">of the </w:t>
      </w:r>
      <w:r w:rsidR="00FE5E87" w:rsidRPr="008A1DB4">
        <w:rPr>
          <w:rFonts w:cs="Times New Roman"/>
          <w:iCs/>
          <w:spacing w:val="-2"/>
          <w:sz w:val="16"/>
          <w:szCs w:val="16"/>
          <w:lang w:val="en-US"/>
        </w:rPr>
        <w:t>People’s Republic of China</w:t>
      </w:r>
      <w:r w:rsidR="00FE32A6" w:rsidRPr="008A1DB4">
        <w:rPr>
          <w:rFonts w:cs="Times New Roman"/>
          <w:iCs/>
          <w:spacing w:val="-2"/>
          <w:sz w:val="16"/>
          <w:szCs w:val="16"/>
          <w:lang w:val="en-US"/>
        </w:rPr>
        <w:t xml:space="preserve">, </w:t>
      </w:r>
      <w:r w:rsidRPr="008A1DB4">
        <w:rPr>
          <w:rFonts w:cs="Times New Roman"/>
          <w:iCs/>
          <w:spacing w:val="-2"/>
          <w:sz w:val="16"/>
          <w:szCs w:val="16"/>
          <w:lang w:val="en-US"/>
        </w:rPr>
        <w:t>every detainee has access to any medical care that is required</w:t>
      </w:r>
      <w:r w:rsidR="00FE32A6" w:rsidRPr="008A1DB4">
        <w:rPr>
          <w:rFonts w:cs="Times New Roman"/>
          <w:spacing w:val="-2"/>
          <w:sz w:val="16"/>
          <w:szCs w:val="16"/>
          <w:lang w:val="en-US"/>
        </w:rPr>
        <w:t>.</w:t>
      </w:r>
    </w:p>
    <w:p w14:paraId="3731CA6A" w14:textId="77777777" w:rsidR="00FE32A6" w:rsidRPr="008A1DB4" w:rsidRDefault="00FE32A6" w:rsidP="00956E97">
      <w:pPr>
        <w:pStyle w:val="ListParagraph"/>
        <w:tabs>
          <w:tab w:val="left" w:pos="567"/>
          <w:tab w:val="left" w:pos="1701"/>
        </w:tabs>
        <w:autoSpaceDE w:val="0"/>
        <w:autoSpaceDN w:val="0"/>
        <w:adjustRightInd w:val="0"/>
        <w:ind w:left="1701"/>
        <w:rPr>
          <w:rFonts w:cs="Times New Roman"/>
          <w:i/>
          <w:iCs/>
          <w:spacing w:val="-2"/>
          <w:sz w:val="16"/>
          <w:szCs w:val="16"/>
          <w:lang w:val="en-US"/>
        </w:rPr>
      </w:pPr>
    </w:p>
    <w:p w14:paraId="0C2F03FA" w14:textId="757B1E46" w:rsidR="00FE32A6" w:rsidRPr="008A1DB4" w:rsidRDefault="00047569" w:rsidP="00956E97">
      <w:pPr>
        <w:tabs>
          <w:tab w:val="left" w:pos="567"/>
          <w:tab w:val="left" w:pos="1701"/>
        </w:tabs>
        <w:autoSpaceDE w:val="0"/>
        <w:autoSpaceDN w:val="0"/>
        <w:adjustRightInd w:val="0"/>
        <w:ind w:left="1701"/>
        <w:rPr>
          <w:rFonts w:cs="Times New Roman"/>
          <w:spacing w:val="-2"/>
          <w:sz w:val="16"/>
          <w:szCs w:val="16"/>
          <w:lang w:val="en-US"/>
        </w:rPr>
      </w:pPr>
      <w:r w:rsidRPr="008A1DB4">
        <w:rPr>
          <w:rFonts w:cs="Times New Roman"/>
          <w:spacing w:val="-2"/>
          <w:sz w:val="16"/>
          <w:szCs w:val="16"/>
          <w:lang w:val="en-US"/>
        </w:rPr>
        <w:t>In response to a reasonable request from the Peruvian party</w:t>
      </w:r>
      <w:r w:rsidR="00FE32A6" w:rsidRPr="008A1DB4">
        <w:rPr>
          <w:rFonts w:cs="Times New Roman"/>
          <w:spacing w:val="-2"/>
          <w:sz w:val="16"/>
          <w:szCs w:val="16"/>
          <w:lang w:val="en-US"/>
        </w:rPr>
        <w:t xml:space="preserve">, </w:t>
      </w:r>
      <w:r w:rsidRPr="008A1DB4">
        <w:rPr>
          <w:rFonts w:cs="Times New Roman"/>
          <w:spacing w:val="-2"/>
          <w:sz w:val="16"/>
          <w:szCs w:val="16"/>
          <w:lang w:val="en-US"/>
        </w:rPr>
        <w:t>the Chinese party</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will </w:t>
      </w:r>
      <w:r w:rsidR="00947926" w:rsidRPr="008A1DB4">
        <w:rPr>
          <w:rFonts w:cs="Times New Roman"/>
          <w:spacing w:val="-2"/>
          <w:sz w:val="16"/>
          <w:szCs w:val="16"/>
          <w:lang w:val="en-US"/>
        </w:rPr>
        <w:t>permit a</w:t>
      </w:r>
      <w:r w:rsidRPr="008A1DB4">
        <w:rPr>
          <w:rFonts w:cs="Times New Roman"/>
          <w:spacing w:val="-2"/>
          <w:sz w:val="16"/>
          <w:szCs w:val="16"/>
          <w:lang w:val="en-US"/>
        </w:rPr>
        <w:t xml:space="preserve">n independent social medical institution with a </w:t>
      </w:r>
      <w:r w:rsidR="00947926" w:rsidRPr="008A1DB4">
        <w:rPr>
          <w:rFonts w:cs="Times New Roman"/>
          <w:spacing w:val="-2"/>
          <w:sz w:val="16"/>
          <w:szCs w:val="16"/>
          <w:lang w:val="en-US"/>
        </w:rPr>
        <w:t>license</w:t>
      </w:r>
      <w:r w:rsidRPr="008A1DB4">
        <w:rPr>
          <w:rFonts w:cs="Times New Roman"/>
          <w:spacing w:val="-2"/>
          <w:sz w:val="16"/>
          <w:szCs w:val="16"/>
          <w:lang w:val="en-US"/>
        </w:rPr>
        <w:t xml:space="preserve"> to </w:t>
      </w:r>
      <w:r w:rsidR="00947926" w:rsidRPr="008A1DB4">
        <w:rPr>
          <w:rFonts w:cs="Times New Roman"/>
          <w:spacing w:val="-2"/>
          <w:sz w:val="16"/>
          <w:szCs w:val="16"/>
          <w:lang w:val="en-US"/>
        </w:rPr>
        <w:t>operate</w:t>
      </w:r>
      <w:r w:rsidRPr="008A1DB4">
        <w:rPr>
          <w:rFonts w:cs="Times New Roman"/>
          <w:spacing w:val="-2"/>
          <w:sz w:val="16"/>
          <w:szCs w:val="16"/>
          <w:lang w:val="en-US"/>
        </w:rPr>
        <w:t xml:space="preserve"> in the continental part of China, to provide medical care to Mr. </w:t>
      </w:r>
      <w:r w:rsidR="00FE32A6" w:rsidRPr="008A1DB4">
        <w:rPr>
          <w:rFonts w:cs="Times New Roman"/>
          <w:spacing w:val="-2"/>
          <w:sz w:val="16"/>
          <w:szCs w:val="16"/>
          <w:lang w:val="en-US"/>
        </w:rPr>
        <w:t>[Wong].</w:t>
      </w:r>
    </w:p>
    <w:p w14:paraId="02B83B88" w14:textId="77777777" w:rsidR="00FE32A6" w:rsidRPr="008A1DB4" w:rsidRDefault="00FE32A6" w:rsidP="00956E97">
      <w:pPr>
        <w:tabs>
          <w:tab w:val="left" w:pos="567"/>
          <w:tab w:val="left" w:pos="1701"/>
        </w:tabs>
        <w:autoSpaceDE w:val="0"/>
        <w:autoSpaceDN w:val="0"/>
        <w:adjustRightInd w:val="0"/>
        <w:ind w:left="1701"/>
        <w:rPr>
          <w:rFonts w:cs="Times New Roman"/>
          <w:spacing w:val="-2"/>
          <w:sz w:val="16"/>
          <w:szCs w:val="16"/>
          <w:lang w:val="en-US"/>
        </w:rPr>
      </w:pPr>
    </w:p>
    <w:p w14:paraId="70D07C3D" w14:textId="62C22633" w:rsidR="00FE32A6" w:rsidRPr="008A1DB4" w:rsidRDefault="00047569" w:rsidP="00956E97">
      <w:pPr>
        <w:tabs>
          <w:tab w:val="left" w:pos="567"/>
          <w:tab w:val="left" w:pos="1701"/>
        </w:tabs>
        <w:autoSpaceDE w:val="0"/>
        <w:autoSpaceDN w:val="0"/>
        <w:adjustRightInd w:val="0"/>
        <w:ind w:left="1701"/>
        <w:rPr>
          <w:rFonts w:cs="Times New Roman"/>
          <w:spacing w:val="-2"/>
          <w:sz w:val="16"/>
          <w:szCs w:val="16"/>
          <w:lang w:val="en-US"/>
        </w:rPr>
      </w:pPr>
      <w:r w:rsidRPr="008A1DB4">
        <w:rPr>
          <w:rFonts w:cs="Times New Roman"/>
          <w:spacing w:val="-2"/>
          <w:sz w:val="16"/>
          <w:szCs w:val="16"/>
          <w:lang w:val="en-US"/>
        </w:rPr>
        <w:t>Given the private nature of the medical report, the Peruvian party</w:t>
      </w:r>
      <w:r w:rsidR="00FE32A6" w:rsidRPr="008A1DB4">
        <w:rPr>
          <w:rFonts w:cs="Times New Roman"/>
          <w:spacing w:val="-2"/>
          <w:sz w:val="16"/>
          <w:szCs w:val="16"/>
          <w:lang w:val="en-US"/>
        </w:rPr>
        <w:t xml:space="preserve"> </w:t>
      </w:r>
      <w:r w:rsidRPr="008A1DB4">
        <w:rPr>
          <w:rFonts w:cs="Times New Roman"/>
          <w:spacing w:val="-2"/>
          <w:sz w:val="16"/>
          <w:szCs w:val="16"/>
          <w:lang w:val="en-US"/>
        </w:rPr>
        <w:t xml:space="preserve">requires the consent of Mr. </w:t>
      </w:r>
      <w:r w:rsidR="00FE32A6" w:rsidRPr="008A1DB4">
        <w:rPr>
          <w:rFonts w:cs="Times New Roman"/>
          <w:spacing w:val="-2"/>
          <w:sz w:val="16"/>
          <w:szCs w:val="16"/>
          <w:lang w:val="en-US"/>
        </w:rPr>
        <w:t xml:space="preserve">[Wong] </w:t>
      </w:r>
      <w:r w:rsidRPr="008A1DB4">
        <w:rPr>
          <w:rFonts w:cs="Times New Roman"/>
          <w:spacing w:val="-2"/>
          <w:sz w:val="16"/>
          <w:szCs w:val="16"/>
          <w:lang w:val="en-US"/>
        </w:rPr>
        <w:t xml:space="preserve">to access the content of the report. </w:t>
      </w:r>
    </w:p>
    <w:p w14:paraId="093B13F8" w14:textId="77777777" w:rsidR="00FE32A6" w:rsidRPr="008A1DB4" w:rsidRDefault="00FE32A6" w:rsidP="00956E97">
      <w:pPr>
        <w:tabs>
          <w:tab w:val="left" w:pos="567"/>
          <w:tab w:val="left" w:pos="1701"/>
        </w:tabs>
        <w:autoSpaceDE w:val="0"/>
        <w:autoSpaceDN w:val="0"/>
        <w:adjustRightInd w:val="0"/>
        <w:ind w:left="1701"/>
        <w:rPr>
          <w:rFonts w:cs="Times New Roman"/>
          <w:spacing w:val="-2"/>
          <w:sz w:val="16"/>
          <w:szCs w:val="16"/>
          <w:lang w:val="en-US"/>
        </w:rPr>
      </w:pPr>
    </w:p>
    <w:p w14:paraId="3A79D98D" w14:textId="284CF80F" w:rsidR="00FE32A6" w:rsidRPr="008A1DB4" w:rsidRDefault="00A3310A" w:rsidP="00956E97">
      <w:pPr>
        <w:tabs>
          <w:tab w:val="left" w:pos="567"/>
          <w:tab w:val="left" w:pos="1701"/>
        </w:tabs>
        <w:autoSpaceDE w:val="0"/>
        <w:autoSpaceDN w:val="0"/>
        <w:adjustRightInd w:val="0"/>
        <w:ind w:left="1701"/>
        <w:rPr>
          <w:rFonts w:cs="Times New Roman"/>
          <w:spacing w:val="-2"/>
          <w:sz w:val="16"/>
          <w:szCs w:val="16"/>
          <w:lang w:val="en-US"/>
        </w:rPr>
      </w:pPr>
      <w:r w:rsidRPr="008A1DB4">
        <w:rPr>
          <w:rFonts w:cs="Times New Roman"/>
          <w:spacing w:val="-2"/>
          <w:sz w:val="16"/>
          <w:szCs w:val="16"/>
          <w:lang w:val="en-US"/>
        </w:rPr>
        <w:lastRenderedPageBreak/>
        <w:t xml:space="preserve">The Treaties and Laws Department </w:t>
      </w:r>
      <w:r w:rsidR="00671326" w:rsidRPr="008A1DB4">
        <w:rPr>
          <w:rFonts w:cs="Times New Roman"/>
          <w:spacing w:val="-2"/>
          <w:sz w:val="16"/>
          <w:szCs w:val="16"/>
          <w:lang w:val="en-US"/>
        </w:rPr>
        <w:t xml:space="preserve">of the </w:t>
      </w:r>
      <w:r w:rsidR="002D1CFC" w:rsidRPr="008A1DB4">
        <w:rPr>
          <w:rFonts w:cs="Times New Roman"/>
          <w:spacing w:val="-2"/>
          <w:sz w:val="16"/>
          <w:szCs w:val="16"/>
          <w:lang w:val="en-US"/>
        </w:rPr>
        <w:t xml:space="preserve">Ministry of Foreign Affairs of the </w:t>
      </w:r>
      <w:r w:rsidR="00FE5E87" w:rsidRPr="008A1DB4">
        <w:rPr>
          <w:rFonts w:cs="Times New Roman"/>
          <w:spacing w:val="-2"/>
          <w:sz w:val="16"/>
          <w:szCs w:val="16"/>
          <w:lang w:val="en-US"/>
        </w:rPr>
        <w:t>People’s Republic of China</w:t>
      </w:r>
      <w:r w:rsidR="00F36400" w:rsidRPr="008A1DB4">
        <w:rPr>
          <w:rFonts w:cs="Times New Roman"/>
          <w:spacing w:val="-2"/>
          <w:sz w:val="16"/>
          <w:szCs w:val="16"/>
          <w:lang w:val="en-US"/>
        </w:rPr>
        <w:t xml:space="preserve"> and </w:t>
      </w:r>
      <w:r w:rsidR="00E022F9" w:rsidRPr="008A1DB4">
        <w:rPr>
          <w:rFonts w:cs="Times New Roman"/>
          <w:spacing w:val="-2"/>
          <w:sz w:val="16"/>
          <w:szCs w:val="16"/>
          <w:lang w:val="en-US"/>
        </w:rPr>
        <w:t xml:space="preserve">the </w:t>
      </w:r>
      <w:r w:rsidRPr="008A1DB4">
        <w:rPr>
          <w:rFonts w:cs="Times New Roman"/>
          <w:spacing w:val="-2"/>
          <w:sz w:val="16"/>
          <w:szCs w:val="16"/>
          <w:lang w:val="en-US"/>
        </w:rPr>
        <w:t xml:space="preserve">Peruvian </w:t>
      </w:r>
      <w:r w:rsidR="00E022F9" w:rsidRPr="008A1DB4">
        <w:rPr>
          <w:rFonts w:cs="Times New Roman"/>
          <w:spacing w:val="-2"/>
          <w:sz w:val="16"/>
          <w:szCs w:val="16"/>
          <w:lang w:val="en-US"/>
        </w:rPr>
        <w:t>Embassy</w:t>
      </w:r>
      <w:r w:rsidR="00FE32A6" w:rsidRPr="008A1DB4">
        <w:rPr>
          <w:rFonts w:cs="Times New Roman"/>
          <w:spacing w:val="-2"/>
          <w:sz w:val="16"/>
          <w:szCs w:val="16"/>
          <w:lang w:val="en-US"/>
        </w:rPr>
        <w:t xml:space="preserve"> </w:t>
      </w:r>
      <w:r w:rsidRPr="008A1DB4">
        <w:rPr>
          <w:rFonts w:cs="Times New Roman"/>
          <w:spacing w:val="-2"/>
          <w:sz w:val="16"/>
          <w:szCs w:val="16"/>
          <w:lang w:val="en-US"/>
        </w:rPr>
        <w:t>in</w:t>
      </w:r>
      <w:r w:rsidR="00FE32A6" w:rsidRPr="008A1DB4">
        <w:rPr>
          <w:rFonts w:cs="Times New Roman"/>
          <w:spacing w:val="-2"/>
          <w:sz w:val="16"/>
          <w:szCs w:val="16"/>
          <w:lang w:val="en-US"/>
        </w:rPr>
        <w:t xml:space="preserve"> China</w:t>
      </w:r>
      <w:r w:rsidRPr="008A1DB4">
        <w:rPr>
          <w:rFonts w:cs="Times New Roman"/>
          <w:spacing w:val="-2"/>
          <w:sz w:val="16"/>
          <w:szCs w:val="16"/>
          <w:lang w:val="en-US"/>
        </w:rPr>
        <w:t xml:space="preserve"> shall be the communication channels for all matters related to the above-mentioned articles.</w:t>
      </w:r>
      <w:r w:rsidR="00FE32A6" w:rsidRPr="008A1DB4">
        <w:rPr>
          <w:rStyle w:val="FootnoteReference"/>
          <w:rFonts w:cs="Times New Roman"/>
          <w:spacing w:val="-2"/>
          <w:sz w:val="16"/>
          <w:szCs w:val="16"/>
          <w:lang w:val="en-US"/>
        </w:rPr>
        <w:footnoteReference w:id="128"/>
      </w:r>
    </w:p>
    <w:p w14:paraId="6F9BC27F" w14:textId="77777777" w:rsidR="00FE32A6" w:rsidRPr="008A1DB4" w:rsidRDefault="00FE32A6" w:rsidP="00956E97">
      <w:pPr>
        <w:tabs>
          <w:tab w:val="left" w:pos="567"/>
        </w:tabs>
        <w:ind w:right="615"/>
        <w:rPr>
          <w:spacing w:val="-2"/>
          <w:sz w:val="18"/>
          <w:szCs w:val="18"/>
          <w:lang w:val="en-US"/>
        </w:rPr>
      </w:pPr>
    </w:p>
    <w:p w14:paraId="45817EE4" w14:textId="4891F0E6" w:rsidR="00FE32A6" w:rsidRPr="008A1DB4" w:rsidRDefault="00FE32A6" w:rsidP="00956E97">
      <w:pPr>
        <w:pStyle w:val="Heading1"/>
        <w:rPr>
          <w:spacing w:val="-2"/>
          <w:lang w:val="en-US"/>
        </w:rPr>
      </w:pPr>
      <w:bookmarkStart w:id="571" w:name="_Toc418912610"/>
      <w:bookmarkStart w:id="572" w:name="_Toc419394396"/>
      <w:bookmarkStart w:id="573" w:name="_Toc419470162"/>
      <w:bookmarkStart w:id="574" w:name="_Toc429490262"/>
      <w:bookmarkStart w:id="575" w:name="_Toc429503774"/>
      <w:bookmarkStart w:id="576" w:name="_Toc429504280"/>
      <w:bookmarkStart w:id="577" w:name="_Toc429677993"/>
      <w:bookmarkStart w:id="578" w:name="_Toc430017156"/>
      <w:bookmarkStart w:id="579" w:name="_Toc430017385"/>
      <w:bookmarkStart w:id="580" w:name="_Toc430018667"/>
      <w:bookmarkStart w:id="581" w:name="_Toc430125265"/>
      <w:bookmarkStart w:id="582" w:name="_Toc430125373"/>
      <w:r w:rsidRPr="008A1DB4">
        <w:rPr>
          <w:spacing w:val="-2"/>
          <w:lang w:val="en-US"/>
        </w:rPr>
        <w:t xml:space="preserve">D. </w:t>
      </w:r>
      <w:r w:rsidR="00012D98" w:rsidRPr="008A1DB4">
        <w:rPr>
          <w:spacing w:val="-2"/>
          <w:lang w:val="en-US"/>
        </w:rPr>
        <w:t>The detention of Wong Ho</w:t>
      </w:r>
      <w:r w:rsidR="00860B3A" w:rsidRPr="008A1DB4">
        <w:rPr>
          <w:spacing w:val="-2"/>
          <w:lang w:val="en-US"/>
        </w:rPr>
        <w:t xml:space="preserve"> Wing and the remedies filed in this regard</w:t>
      </w:r>
      <w:bookmarkEnd w:id="571"/>
      <w:bookmarkEnd w:id="572"/>
      <w:bookmarkEnd w:id="573"/>
      <w:bookmarkEnd w:id="574"/>
      <w:bookmarkEnd w:id="575"/>
      <w:bookmarkEnd w:id="576"/>
      <w:bookmarkEnd w:id="577"/>
      <w:bookmarkEnd w:id="578"/>
      <w:bookmarkEnd w:id="579"/>
      <w:bookmarkEnd w:id="580"/>
      <w:bookmarkEnd w:id="581"/>
      <w:bookmarkEnd w:id="582"/>
    </w:p>
    <w:p w14:paraId="13EDDB4E" w14:textId="77777777" w:rsidR="00FE32A6" w:rsidRPr="008A1DB4" w:rsidRDefault="00FE32A6" w:rsidP="00956E97">
      <w:pPr>
        <w:pStyle w:val="PrrafodeSentencia"/>
        <w:numPr>
          <w:ilvl w:val="0"/>
          <w:numId w:val="0"/>
        </w:numPr>
        <w:rPr>
          <w:spacing w:val="-2"/>
          <w:lang w:val="en-US"/>
        </w:rPr>
      </w:pPr>
    </w:p>
    <w:p w14:paraId="2702F716" w14:textId="78F905AA" w:rsidR="00FE32A6" w:rsidRPr="008A1DB4" w:rsidRDefault="00E83489" w:rsidP="00E83489">
      <w:pPr>
        <w:pStyle w:val="PrrafodeSentencia"/>
        <w:rPr>
          <w:rFonts w:cs="Callibri"/>
          <w:spacing w:val="-2"/>
          <w:lang w:val="en-US"/>
        </w:rPr>
      </w:pPr>
      <w:r w:rsidRPr="00F26E60">
        <w:rPr>
          <w:spacing w:val="-2"/>
          <w:lang w:val="en-US"/>
        </w:rPr>
        <w:t>Peru’s procedural law</w:t>
      </w:r>
      <w:r w:rsidR="00FE32A6" w:rsidRPr="00F26E60">
        <w:rPr>
          <w:spacing w:val="-2"/>
          <w:lang w:val="en-US"/>
        </w:rPr>
        <w:t xml:space="preserve"> </w:t>
      </w:r>
      <w:r w:rsidRPr="00F26E60">
        <w:rPr>
          <w:spacing w:val="-2"/>
          <w:lang w:val="en-US"/>
        </w:rPr>
        <w:t>establish</w:t>
      </w:r>
      <w:r w:rsidR="00F26E60" w:rsidRPr="00F26E60">
        <w:rPr>
          <w:spacing w:val="-2"/>
          <w:lang w:val="en-US"/>
        </w:rPr>
        <w:t>es</w:t>
      </w:r>
      <w:r w:rsidRPr="00F26E60">
        <w:rPr>
          <w:spacing w:val="-2"/>
          <w:lang w:val="en-US"/>
        </w:rPr>
        <w:t xml:space="preserve"> the mechanism of “provisional or pre-extradition arrest” for</w:t>
      </w:r>
      <w:r w:rsidRPr="008A1DB4">
        <w:rPr>
          <w:spacing w:val="-2"/>
          <w:lang w:val="en-US"/>
        </w:rPr>
        <w:t xml:space="preserve"> the detention of individuals wanted by foreign authorities. According to this law, the provisional arrest is in order mainly when a person is “formally requested by the central authority of the interested country.” This request must be sent to the Prosecutor General, who must forward it “immediately to the judge of the competent preliminary investigation, advising the </w:t>
      </w:r>
      <w:r w:rsidR="00F26E60">
        <w:rPr>
          <w:spacing w:val="-2"/>
          <w:lang w:val="en-US"/>
        </w:rPr>
        <w:t>respective</w:t>
      </w:r>
      <w:r w:rsidRPr="008A1DB4">
        <w:rPr>
          <w:spacing w:val="-2"/>
          <w:lang w:val="en-US"/>
        </w:rPr>
        <w:t xml:space="preserve"> provincial prosecutor.” It is for the said investigating judge to issue the provisional arrest warrant, “provided that the act which is considered an offense is also considered an offense in Peru and that any type of criminal punishment, equal to or in excess of one year’s imprisonment, is not established.” Once “the provisional arrest has been order, the preliminary investigation judge shall hear the person who has been arrested within 24 hours and will appoint a defense counsel if the person arrested does not appoint a lawyer of his own choice”</w:t>
      </w:r>
      <w:r w:rsidRPr="008A1DB4">
        <w:rPr>
          <w:b/>
          <w:spacing w:val="-2"/>
          <w:lang w:val="en-US"/>
        </w:rPr>
        <w:t xml:space="preserve"> </w:t>
      </w:r>
      <w:r w:rsidRPr="008A1DB4">
        <w:rPr>
          <w:rFonts w:cs="Callibri"/>
          <w:spacing w:val="-2"/>
          <w:lang w:val="en-US"/>
        </w:rPr>
        <w:t>(</w:t>
      </w:r>
      <w:r w:rsidRPr="008A1DB4">
        <w:rPr>
          <w:rFonts w:cs="Callibri"/>
          <w:i/>
          <w:spacing w:val="-2"/>
          <w:lang w:val="en-US"/>
        </w:rPr>
        <w:t>infra</w:t>
      </w:r>
      <w:r w:rsidRPr="008A1DB4">
        <w:rPr>
          <w:rFonts w:cs="Callibri"/>
          <w:spacing w:val="-2"/>
          <w:lang w:val="en-US"/>
        </w:rPr>
        <w:t xml:space="preserve"> para. </w:t>
      </w:r>
      <w:r w:rsidRPr="008A1DB4">
        <w:rPr>
          <w:spacing w:val="-2"/>
          <w:lang w:val="en-US"/>
        </w:rPr>
        <w:fldChar w:fldCharType="begin"/>
      </w:r>
      <w:r w:rsidRPr="008A1DB4">
        <w:rPr>
          <w:rFonts w:cs="Callibri"/>
          <w:spacing w:val="-2"/>
          <w:lang w:val="en-US"/>
        </w:rPr>
        <w:instrText xml:space="preserve"> REF _Ref419386567 \r \h </w:instrText>
      </w:r>
      <w:r w:rsidRPr="008A1DB4">
        <w:rPr>
          <w:spacing w:val="-2"/>
          <w:lang w:val="en-US"/>
        </w:rPr>
        <w:instrText xml:space="preserve"> \* MERGEFORMAT </w:instrText>
      </w:r>
      <w:r w:rsidRPr="008A1DB4">
        <w:rPr>
          <w:spacing w:val="-2"/>
          <w:lang w:val="en-US"/>
        </w:rPr>
      </w:r>
      <w:r w:rsidRPr="008A1DB4">
        <w:rPr>
          <w:spacing w:val="-2"/>
          <w:lang w:val="en-US"/>
        </w:rPr>
        <w:fldChar w:fldCharType="separate"/>
      </w:r>
      <w:r w:rsidRPr="008A1DB4">
        <w:rPr>
          <w:rFonts w:cs="Callibri"/>
          <w:spacing w:val="-2"/>
          <w:lang w:val="en-US"/>
        </w:rPr>
        <w:t>241</w:t>
      </w:r>
      <w:r w:rsidRPr="008A1DB4">
        <w:rPr>
          <w:spacing w:val="-2"/>
          <w:lang w:val="en-US"/>
        </w:rPr>
        <w:fldChar w:fldCharType="end"/>
      </w:r>
      <w:r w:rsidRPr="008A1DB4">
        <w:rPr>
          <w:rFonts w:cs="Callibri"/>
          <w:spacing w:val="-2"/>
          <w:lang w:val="en-US"/>
        </w:rPr>
        <w:t>). The arrest will be lifted if the judge observes that the conditions indicated above d</w:t>
      </w:r>
      <w:r w:rsidR="00F26E60">
        <w:rPr>
          <w:rFonts w:cs="Callibri"/>
          <w:spacing w:val="-2"/>
          <w:lang w:val="en-US"/>
        </w:rPr>
        <w:t xml:space="preserve">o not exist, and “will become </w:t>
      </w:r>
      <w:r w:rsidR="00F26E60">
        <w:rPr>
          <w:spacing w:val="-2"/>
          <w:lang w:val="en-US"/>
        </w:rPr>
        <w:t xml:space="preserve">an </w:t>
      </w:r>
      <w:r w:rsidR="00F26E60" w:rsidRPr="008A1DB4">
        <w:rPr>
          <w:spacing w:val="-2"/>
          <w:lang w:val="en-US"/>
        </w:rPr>
        <w:t>order to appear in court</w:t>
      </w:r>
      <w:r w:rsidR="00F26E60">
        <w:rPr>
          <w:spacing w:val="-2"/>
          <w:lang w:val="en-US"/>
        </w:rPr>
        <w:t xml:space="preserve"> periodically</w:t>
      </w:r>
      <w:r w:rsidRPr="008A1DB4">
        <w:rPr>
          <w:rFonts w:cs="Callibri"/>
          <w:spacing w:val="-2"/>
          <w:lang w:val="en-US"/>
        </w:rPr>
        <w:t xml:space="preserve">, and the prohibition to leave the country,” or will cease “if it is proved that the individual arrested is not the person </w:t>
      </w:r>
      <w:r w:rsidR="00F26E60">
        <w:rPr>
          <w:rFonts w:cs="Callibri"/>
          <w:spacing w:val="-2"/>
          <w:lang w:val="en-US"/>
        </w:rPr>
        <w:t>sought</w:t>
      </w:r>
      <w:r w:rsidRPr="008A1DB4">
        <w:rPr>
          <w:rFonts w:cs="Callibri"/>
          <w:spacing w:val="-2"/>
          <w:lang w:val="en-US"/>
        </w:rPr>
        <w:t xml:space="preserve">, or when the time limit of 30 days for the formal presentation of the extradition request has expired.” The said norm also establishes the possibility of “obtaining </w:t>
      </w:r>
      <w:r w:rsidR="00343472" w:rsidRPr="008A1DB4">
        <w:rPr>
          <w:rFonts w:cs="Callibri"/>
          <w:spacing w:val="-2"/>
          <w:lang w:val="en-US"/>
        </w:rPr>
        <w:t>provisional release</w:t>
      </w:r>
      <w:r w:rsidRPr="008A1DB4">
        <w:rPr>
          <w:rFonts w:cs="Callibri"/>
          <w:spacing w:val="-2"/>
          <w:lang w:val="en-US"/>
        </w:rPr>
        <w:t>, if the legal time limits established in the treaty or law that support</w:t>
      </w:r>
      <w:r w:rsidR="00F26E60">
        <w:rPr>
          <w:rFonts w:cs="Callibri"/>
          <w:spacing w:val="-2"/>
          <w:lang w:val="en-US"/>
        </w:rPr>
        <w:t>s</w:t>
      </w:r>
      <w:r w:rsidRPr="008A1DB4">
        <w:rPr>
          <w:rFonts w:cs="Callibri"/>
          <w:spacing w:val="-2"/>
          <w:lang w:val="en-US"/>
        </w:rPr>
        <w:t xml:space="preserve"> the extradition request expire, or if the individual </w:t>
      </w:r>
      <w:r w:rsidR="00F26E60">
        <w:rPr>
          <w:rFonts w:cs="Callibri"/>
          <w:spacing w:val="-2"/>
          <w:lang w:val="en-US"/>
        </w:rPr>
        <w:t xml:space="preserve">sought </w:t>
      </w:r>
      <w:r w:rsidRPr="008A1DB4">
        <w:rPr>
          <w:rFonts w:cs="Callibri"/>
          <w:spacing w:val="-2"/>
          <w:lang w:val="en-US"/>
        </w:rPr>
        <w:t>meets the procedural conditions for this measure,” and in this case, “the procedure established for the termination of preventive detention will be followed.</w:t>
      </w:r>
      <w:r w:rsidR="00FE32A6" w:rsidRPr="008A1DB4">
        <w:rPr>
          <w:rFonts w:cs="Callibri"/>
          <w:spacing w:val="-2"/>
          <w:sz w:val="18"/>
          <w:szCs w:val="18"/>
          <w:lang w:val="en-US"/>
        </w:rPr>
        <w:t>”</w:t>
      </w:r>
      <w:r w:rsidR="00FE32A6" w:rsidRPr="008A1DB4">
        <w:rPr>
          <w:rStyle w:val="FootnoteReference"/>
          <w:spacing w:val="-2"/>
          <w:lang w:val="en-US"/>
        </w:rPr>
        <w:footnoteReference w:id="129"/>
      </w:r>
    </w:p>
    <w:p w14:paraId="37CDBFDD" w14:textId="77777777" w:rsidR="00FE32A6" w:rsidRPr="008A1DB4" w:rsidRDefault="00FE32A6" w:rsidP="00956E97">
      <w:pPr>
        <w:pStyle w:val="ListParagraph"/>
        <w:tabs>
          <w:tab w:val="left" w:pos="567"/>
        </w:tabs>
        <w:ind w:left="0"/>
        <w:rPr>
          <w:rFonts w:cs="Callibri"/>
          <w:spacing w:val="-2"/>
          <w:szCs w:val="20"/>
          <w:lang w:val="en-US"/>
        </w:rPr>
      </w:pPr>
    </w:p>
    <w:p w14:paraId="6B4655F4" w14:textId="7A22826B" w:rsidR="00FE32A6" w:rsidRPr="008A1DB4" w:rsidRDefault="00E83489" w:rsidP="00956E97">
      <w:pPr>
        <w:pStyle w:val="PrrafodeSentencia"/>
        <w:rPr>
          <w:spacing w:val="-2"/>
          <w:lang w:val="en-US"/>
        </w:rPr>
      </w:pPr>
      <w:r w:rsidRPr="008A1DB4">
        <w:rPr>
          <w:spacing w:val="-2"/>
          <w:lang w:val="en-US"/>
        </w:rPr>
        <w:t>In addition, the Extradition T</w:t>
      </w:r>
      <w:r w:rsidR="00FE5E87" w:rsidRPr="008A1DB4">
        <w:rPr>
          <w:spacing w:val="-2"/>
          <w:lang w:val="en-US"/>
        </w:rPr>
        <w:t>reaty between</w:t>
      </w:r>
      <w:r w:rsidR="00FE32A6" w:rsidRPr="008A1DB4">
        <w:rPr>
          <w:spacing w:val="-2"/>
          <w:lang w:val="en-US"/>
        </w:rPr>
        <w:t xml:space="preserve"> China</w:t>
      </w:r>
      <w:r w:rsidR="00F36400" w:rsidRPr="008A1DB4">
        <w:rPr>
          <w:spacing w:val="-2"/>
          <w:lang w:val="en-US"/>
        </w:rPr>
        <w:t xml:space="preserve"> and </w:t>
      </w:r>
      <w:r w:rsidR="00FE5E87" w:rsidRPr="008A1DB4">
        <w:rPr>
          <w:spacing w:val="-2"/>
          <w:lang w:val="en-US"/>
        </w:rPr>
        <w:t>Peru</w:t>
      </w:r>
      <w:r w:rsidR="00FE32A6" w:rsidRPr="008A1DB4">
        <w:rPr>
          <w:spacing w:val="-2"/>
          <w:lang w:val="en-US"/>
        </w:rPr>
        <w:t xml:space="preserve"> </w:t>
      </w:r>
      <w:r w:rsidRPr="008A1DB4">
        <w:rPr>
          <w:spacing w:val="-2"/>
          <w:lang w:val="en-US"/>
        </w:rPr>
        <w:t>establishes the possibility that “[</w:t>
      </w:r>
      <w:proofErr w:type="spellStart"/>
      <w:r w:rsidRPr="008A1DB4">
        <w:rPr>
          <w:spacing w:val="-2"/>
          <w:lang w:val="en-US"/>
        </w:rPr>
        <w:t>i</w:t>
      </w:r>
      <w:proofErr w:type="spellEnd"/>
      <w:r w:rsidRPr="008A1DB4">
        <w:rPr>
          <w:spacing w:val="-2"/>
          <w:lang w:val="en-US"/>
        </w:rPr>
        <w:t>]n urgent cases, before the presentation</w:t>
      </w:r>
      <w:r w:rsidR="00671326" w:rsidRPr="008A1DB4">
        <w:rPr>
          <w:spacing w:val="-2"/>
          <w:lang w:val="en-US" w:bidi="en-US"/>
        </w:rPr>
        <w:t xml:space="preserve"> of the </w:t>
      </w:r>
      <w:r w:rsidR="00087CF8" w:rsidRPr="008A1DB4">
        <w:rPr>
          <w:spacing w:val="-2"/>
          <w:lang w:val="en-US" w:bidi="en-US"/>
        </w:rPr>
        <w:t>extradition request</w:t>
      </w:r>
      <w:r w:rsidR="00FE32A6" w:rsidRPr="008A1DB4">
        <w:rPr>
          <w:spacing w:val="-2"/>
          <w:lang w:val="en-US" w:bidi="en-US"/>
        </w:rPr>
        <w:t>,</w:t>
      </w:r>
      <w:r w:rsidRPr="008A1DB4">
        <w:rPr>
          <w:spacing w:val="-2"/>
          <w:lang w:val="en-US" w:bidi="en-US"/>
        </w:rPr>
        <w:t xml:space="preserve"> the requesting party may request the preventive detention of the person</w:t>
      </w:r>
      <w:r w:rsidR="00F26E60">
        <w:rPr>
          <w:spacing w:val="-2"/>
          <w:lang w:val="en-US" w:bidi="en-US"/>
        </w:rPr>
        <w:t xml:space="preserve"> sought</w:t>
      </w:r>
      <w:r w:rsidRPr="008A1DB4">
        <w:rPr>
          <w:spacing w:val="-2"/>
          <w:lang w:val="en-US" w:bidi="en-US"/>
        </w:rPr>
        <w:t>.</w:t>
      </w:r>
      <w:r w:rsidR="00FE32A6" w:rsidRPr="008A1DB4">
        <w:rPr>
          <w:spacing w:val="-2"/>
          <w:lang w:val="en-US" w:bidi="en-US"/>
        </w:rPr>
        <w:t>”</w:t>
      </w:r>
      <w:r w:rsidR="00FE32A6" w:rsidRPr="008A1DB4">
        <w:rPr>
          <w:rStyle w:val="FootnoteReference"/>
          <w:rFonts w:cs="Callibri"/>
          <w:spacing w:val="-2"/>
          <w:lang w:val="en-US" w:bidi="en-US"/>
        </w:rPr>
        <w:footnoteReference w:id="130"/>
      </w:r>
    </w:p>
    <w:p w14:paraId="045C5539" w14:textId="77777777" w:rsidR="00FE32A6" w:rsidRPr="008A1DB4" w:rsidRDefault="00FE32A6" w:rsidP="00956E97">
      <w:pPr>
        <w:pStyle w:val="ListParagraph"/>
        <w:tabs>
          <w:tab w:val="left" w:pos="567"/>
        </w:tabs>
        <w:ind w:left="0"/>
        <w:rPr>
          <w:spacing w:val="-2"/>
          <w:lang w:val="en-US"/>
        </w:rPr>
      </w:pPr>
    </w:p>
    <w:p w14:paraId="653E2E9E" w14:textId="540D9FF9" w:rsidR="00FE32A6" w:rsidRPr="008A1DB4" w:rsidRDefault="00FE32A6" w:rsidP="00956E97">
      <w:pPr>
        <w:pStyle w:val="PrrafodeSentencia"/>
        <w:rPr>
          <w:spacing w:val="-2"/>
          <w:lang w:val="en-US"/>
        </w:rPr>
      </w:pPr>
      <w:r w:rsidRPr="008A1DB4">
        <w:rPr>
          <w:spacing w:val="-2"/>
          <w:lang w:val="en-US"/>
        </w:rPr>
        <w:t xml:space="preserve"> </w:t>
      </w:r>
      <w:bookmarkStart w:id="583" w:name="_Ref428894515"/>
      <w:r w:rsidR="001E7113" w:rsidRPr="008A1DB4">
        <w:rPr>
          <w:spacing w:val="-2"/>
          <w:lang w:val="en-US"/>
        </w:rPr>
        <w:t>Wong</w:t>
      </w:r>
      <w:r w:rsidRPr="008A1DB4">
        <w:rPr>
          <w:spacing w:val="-2"/>
          <w:lang w:val="en-US"/>
        </w:rPr>
        <w:t xml:space="preserve"> Ho Wing </w:t>
      </w:r>
      <w:r w:rsidR="00A3310A" w:rsidRPr="008A1DB4">
        <w:rPr>
          <w:spacing w:val="-2"/>
          <w:lang w:val="en-US"/>
        </w:rPr>
        <w:t>was arrested on</w:t>
      </w:r>
      <w:r w:rsidRPr="008A1DB4">
        <w:rPr>
          <w:spacing w:val="-2"/>
          <w:lang w:val="en-US"/>
        </w:rPr>
        <w:t xml:space="preserve"> </w:t>
      </w:r>
      <w:r w:rsidR="001E7113" w:rsidRPr="008A1DB4">
        <w:rPr>
          <w:spacing w:val="-2"/>
          <w:lang w:val="en-US"/>
        </w:rPr>
        <w:t>October 27,</w:t>
      </w:r>
      <w:r w:rsidRPr="008A1DB4">
        <w:rPr>
          <w:spacing w:val="-2"/>
          <w:lang w:val="en-US"/>
        </w:rPr>
        <w:t xml:space="preserve"> 2008</w:t>
      </w:r>
      <w:r w:rsidR="00A3310A" w:rsidRPr="008A1DB4">
        <w:rPr>
          <w:spacing w:val="-2"/>
          <w:lang w:val="en-US"/>
        </w:rPr>
        <w:t>,</w:t>
      </w:r>
      <w:r w:rsidRPr="008A1DB4">
        <w:rPr>
          <w:spacing w:val="-2"/>
          <w:lang w:val="en-US"/>
        </w:rPr>
        <w:t xml:space="preserve"> </w:t>
      </w:r>
      <w:r w:rsidR="00A3310A" w:rsidRPr="008A1DB4">
        <w:rPr>
          <w:spacing w:val="-2"/>
          <w:lang w:val="en-US"/>
        </w:rPr>
        <w:t xml:space="preserve">in the </w:t>
      </w:r>
      <w:r w:rsidRPr="008A1DB4">
        <w:rPr>
          <w:spacing w:val="-2"/>
          <w:lang w:val="en-US"/>
        </w:rPr>
        <w:t>“Jorge Chávez</w:t>
      </w:r>
      <w:r w:rsidR="00A3310A" w:rsidRPr="008A1DB4">
        <w:rPr>
          <w:spacing w:val="-2"/>
          <w:lang w:val="en-US"/>
        </w:rPr>
        <w:t xml:space="preserve"> International Airport</w:t>
      </w:r>
      <w:r w:rsidRPr="008A1DB4">
        <w:rPr>
          <w:spacing w:val="-2"/>
          <w:lang w:val="en-US"/>
        </w:rPr>
        <w:t xml:space="preserve">”, </w:t>
      </w:r>
      <w:r w:rsidR="00E83489" w:rsidRPr="008A1DB4">
        <w:rPr>
          <w:spacing w:val="-2"/>
          <w:lang w:val="en-US"/>
        </w:rPr>
        <w:t>and from there he was transferred to the cells of the Judicial Police of El Callao and brought before a judge</w:t>
      </w:r>
      <w:r w:rsidRPr="008A1DB4">
        <w:rPr>
          <w:spacing w:val="-2"/>
          <w:lang w:val="en-US"/>
        </w:rPr>
        <w:t xml:space="preserve"> (</w:t>
      </w:r>
      <w:r w:rsidRPr="008A1DB4">
        <w:rPr>
          <w:i/>
          <w:spacing w:val="-2"/>
          <w:lang w:val="en-US"/>
        </w:rPr>
        <w:t>supra</w:t>
      </w:r>
      <w:r w:rsidRPr="008A1DB4">
        <w:rPr>
          <w:spacing w:val="-2"/>
          <w:lang w:val="en-US"/>
        </w:rPr>
        <w:t xml:space="preserve"> </w:t>
      </w:r>
      <w:r w:rsidR="00C45946" w:rsidRPr="008A1DB4">
        <w:rPr>
          <w:spacing w:val="-2"/>
          <w:lang w:val="en-US"/>
        </w:rPr>
        <w:t xml:space="preserve">para. </w:t>
      </w:r>
      <w:r w:rsidRPr="008A1DB4">
        <w:rPr>
          <w:spacing w:val="-2"/>
          <w:lang w:val="en-US"/>
        </w:rPr>
        <w:fldChar w:fldCharType="begin"/>
      </w:r>
      <w:r w:rsidRPr="008A1DB4">
        <w:rPr>
          <w:spacing w:val="-2"/>
          <w:lang w:val="en-US"/>
        </w:rPr>
        <w:instrText xml:space="preserve"> REF _Ref401584951 \r \h  \* MERGEFORMAT </w:instrText>
      </w:r>
      <w:r w:rsidRPr="008A1DB4">
        <w:rPr>
          <w:spacing w:val="-2"/>
          <w:lang w:val="en-US"/>
        </w:rPr>
      </w:r>
      <w:r w:rsidRPr="008A1DB4">
        <w:rPr>
          <w:spacing w:val="-2"/>
          <w:lang w:val="en-US"/>
        </w:rPr>
        <w:fldChar w:fldCharType="separate"/>
      </w:r>
      <w:r w:rsidR="00E961FA" w:rsidRPr="008A1DB4">
        <w:rPr>
          <w:spacing w:val="-2"/>
          <w:lang w:val="en-US"/>
        </w:rPr>
        <w:t>60</w:t>
      </w:r>
      <w:r w:rsidRPr="008A1DB4">
        <w:rPr>
          <w:spacing w:val="-2"/>
          <w:lang w:val="en-US"/>
        </w:rPr>
        <w:fldChar w:fldCharType="end"/>
      </w:r>
      <w:r w:rsidRPr="008A1DB4">
        <w:rPr>
          <w:spacing w:val="-2"/>
          <w:lang w:val="en-US"/>
        </w:rPr>
        <w:t xml:space="preserve">). </w:t>
      </w:r>
      <w:r w:rsidR="00A3310A" w:rsidRPr="008A1DB4">
        <w:rPr>
          <w:spacing w:val="-2"/>
          <w:lang w:val="en-US"/>
        </w:rPr>
        <w:t>Subsequently</w:t>
      </w:r>
      <w:r w:rsidRPr="008A1DB4">
        <w:rPr>
          <w:spacing w:val="-2"/>
          <w:lang w:val="en-US"/>
        </w:rPr>
        <w:t xml:space="preserve">, </w:t>
      </w:r>
      <w:r w:rsidR="001E7113" w:rsidRPr="008A1DB4">
        <w:rPr>
          <w:spacing w:val="-2"/>
          <w:lang w:val="en-US"/>
        </w:rPr>
        <w:t>Wong</w:t>
      </w:r>
      <w:r w:rsidRPr="008A1DB4">
        <w:rPr>
          <w:spacing w:val="-2"/>
          <w:lang w:val="en-US"/>
        </w:rPr>
        <w:t xml:space="preserve"> Ho Wing </w:t>
      </w:r>
      <w:r w:rsidR="00E83489" w:rsidRPr="008A1DB4">
        <w:rPr>
          <w:spacing w:val="-2"/>
          <w:lang w:val="en-US"/>
        </w:rPr>
        <w:t xml:space="preserve">was interned in the Transitory </w:t>
      </w:r>
      <w:r w:rsidR="00F00C02" w:rsidRPr="008A1DB4">
        <w:rPr>
          <w:spacing w:val="-2"/>
          <w:lang w:val="en-US"/>
        </w:rPr>
        <w:t xml:space="preserve">Pre-trial </w:t>
      </w:r>
      <w:r w:rsidR="00E83489" w:rsidRPr="008A1DB4">
        <w:rPr>
          <w:spacing w:val="-2"/>
          <w:lang w:val="en-US"/>
        </w:rPr>
        <w:t xml:space="preserve">Prison </w:t>
      </w:r>
      <w:r w:rsidR="00F00C02" w:rsidRPr="008A1DB4">
        <w:rPr>
          <w:spacing w:val="-2"/>
          <w:lang w:val="en-US"/>
        </w:rPr>
        <w:t>of El Callao.</w:t>
      </w:r>
      <w:r w:rsidRPr="008A1DB4">
        <w:rPr>
          <w:spacing w:val="-2"/>
          <w:vertAlign w:val="superscript"/>
          <w:lang w:val="en-US"/>
        </w:rPr>
        <w:footnoteReference w:id="131"/>
      </w:r>
      <w:r w:rsidR="00F00C02" w:rsidRPr="008A1DB4">
        <w:rPr>
          <w:spacing w:val="-2"/>
          <w:lang w:val="en-US"/>
        </w:rPr>
        <w:t xml:space="preserve"> In this section, the Court will establish the facts relating to the detention </w:t>
      </w:r>
      <w:r w:rsidR="00B43F84" w:rsidRPr="008A1DB4">
        <w:rPr>
          <w:spacing w:val="-2"/>
          <w:lang w:val="en-US"/>
        </w:rPr>
        <w:t>of Wong</w:t>
      </w:r>
      <w:r w:rsidRPr="008A1DB4">
        <w:rPr>
          <w:spacing w:val="-2"/>
          <w:lang w:val="en-US"/>
        </w:rPr>
        <w:t xml:space="preserve"> Ho Wing, </w:t>
      </w:r>
      <w:r w:rsidR="00F00C02" w:rsidRPr="008A1DB4">
        <w:rPr>
          <w:spacing w:val="-2"/>
          <w:lang w:val="en-US"/>
        </w:rPr>
        <w:t>which occurred in parallel to the extradition process</w:t>
      </w:r>
      <w:r w:rsidRPr="008A1DB4">
        <w:rPr>
          <w:spacing w:val="-2"/>
          <w:lang w:val="en-US"/>
        </w:rPr>
        <w:t>.</w:t>
      </w:r>
      <w:bookmarkEnd w:id="583"/>
    </w:p>
    <w:p w14:paraId="1D8F451B" w14:textId="77777777" w:rsidR="00FE32A6" w:rsidRPr="008A1DB4" w:rsidRDefault="00FE32A6" w:rsidP="00956E97">
      <w:pPr>
        <w:pStyle w:val="ListParagraph"/>
        <w:tabs>
          <w:tab w:val="left" w:pos="567"/>
        </w:tabs>
        <w:ind w:left="0"/>
        <w:rPr>
          <w:spacing w:val="-2"/>
          <w:lang w:val="en-US"/>
        </w:rPr>
      </w:pPr>
    </w:p>
    <w:p w14:paraId="1C5AF141" w14:textId="3AB1CD46" w:rsidR="00FE32A6" w:rsidRPr="008A1DB4" w:rsidRDefault="00A3310A" w:rsidP="00956E97">
      <w:pPr>
        <w:pStyle w:val="PrrafodeSentencia"/>
        <w:rPr>
          <w:spacing w:val="-2"/>
          <w:lang w:val="en-US"/>
        </w:rPr>
      </w:pPr>
      <w:bookmarkStart w:id="584" w:name="_Ref428961440"/>
      <w:r w:rsidRPr="008A1DB4">
        <w:rPr>
          <w:spacing w:val="-2"/>
          <w:lang w:val="en-US"/>
        </w:rPr>
        <w:t xml:space="preserve">On </w:t>
      </w:r>
      <w:r w:rsidR="001E7113" w:rsidRPr="008A1DB4">
        <w:rPr>
          <w:spacing w:val="-2"/>
          <w:lang w:val="en-US"/>
        </w:rPr>
        <w:t>October 28,</w:t>
      </w:r>
      <w:r w:rsidR="00FE32A6" w:rsidRPr="008A1DB4">
        <w:rPr>
          <w:spacing w:val="-2"/>
          <w:lang w:val="en-US"/>
        </w:rPr>
        <w:t xml:space="preserve"> 20</w:t>
      </w:r>
      <w:r w:rsidR="00D33881" w:rsidRPr="008A1DB4">
        <w:rPr>
          <w:spacing w:val="-2"/>
          <w:lang w:val="en-US"/>
        </w:rPr>
        <w:t xml:space="preserve">08, </w:t>
      </w:r>
      <w:r w:rsidR="00F00C02" w:rsidRPr="008A1DB4">
        <w:rPr>
          <w:spacing w:val="-2"/>
          <w:lang w:val="en-US"/>
        </w:rPr>
        <w:t xml:space="preserve">the special court ordered the provisional arrest </w:t>
      </w:r>
      <w:r w:rsidR="00B43F84" w:rsidRPr="008A1DB4">
        <w:rPr>
          <w:spacing w:val="-2"/>
          <w:lang w:val="en-US"/>
        </w:rPr>
        <w:t>of Wong</w:t>
      </w:r>
      <w:r w:rsidR="00FE32A6" w:rsidRPr="008A1DB4">
        <w:rPr>
          <w:spacing w:val="-2"/>
          <w:lang w:val="en-US"/>
        </w:rPr>
        <w:t xml:space="preserve"> Ho Wing:</w:t>
      </w:r>
      <w:bookmarkEnd w:id="584"/>
    </w:p>
    <w:p w14:paraId="67E61949" w14:textId="77777777" w:rsidR="00FE32A6" w:rsidRPr="008A1DB4" w:rsidRDefault="00FE32A6" w:rsidP="00956E97">
      <w:pPr>
        <w:pStyle w:val="ListParagraph"/>
        <w:rPr>
          <w:spacing w:val="-2"/>
          <w:lang w:val="en-US"/>
        </w:rPr>
      </w:pPr>
    </w:p>
    <w:p w14:paraId="0164FB16" w14:textId="76BCA62B" w:rsidR="00FE32A6" w:rsidRPr="008A1DB4" w:rsidRDefault="00F00C02" w:rsidP="00956E97">
      <w:pPr>
        <w:pStyle w:val="ListParagraph"/>
        <w:tabs>
          <w:tab w:val="left" w:pos="567"/>
        </w:tabs>
        <w:ind w:left="567" w:right="615"/>
        <w:rPr>
          <w:spacing w:val="-2"/>
          <w:sz w:val="18"/>
          <w:szCs w:val="18"/>
          <w:lang w:val="en-US"/>
        </w:rPr>
      </w:pPr>
      <w:r w:rsidRPr="008A1DB4">
        <w:rPr>
          <w:spacing w:val="-2"/>
          <w:sz w:val="18"/>
          <w:szCs w:val="18"/>
          <w:lang w:val="en-US"/>
        </w:rPr>
        <w:t>[I</w:t>
      </w:r>
      <w:r w:rsidR="00FE32A6" w:rsidRPr="008A1DB4">
        <w:rPr>
          <w:spacing w:val="-2"/>
          <w:sz w:val="18"/>
          <w:szCs w:val="18"/>
          <w:lang w:val="en-US"/>
        </w:rPr>
        <w:t>]</w:t>
      </w:r>
      <w:r w:rsidRPr="008A1DB4">
        <w:rPr>
          <w:spacing w:val="-2"/>
          <w:sz w:val="18"/>
          <w:szCs w:val="18"/>
          <w:lang w:val="en-US"/>
        </w:rPr>
        <w:t xml:space="preserve">n order to ensure his presence in the country while the corresponding </w:t>
      </w:r>
      <w:r w:rsidR="00087CF8" w:rsidRPr="008A1DB4">
        <w:rPr>
          <w:spacing w:val="-2"/>
          <w:sz w:val="18"/>
          <w:szCs w:val="18"/>
          <w:lang w:val="en-US"/>
        </w:rPr>
        <w:t>extradition request</w:t>
      </w:r>
      <w:r w:rsidR="00FE32A6" w:rsidRPr="008A1DB4">
        <w:rPr>
          <w:spacing w:val="-2"/>
          <w:sz w:val="18"/>
          <w:szCs w:val="18"/>
          <w:lang w:val="en-US"/>
        </w:rPr>
        <w:t xml:space="preserve"> </w:t>
      </w:r>
      <w:r w:rsidRPr="008A1DB4">
        <w:rPr>
          <w:spacing w:val="-2"/>
          <w:sz w:val="18"/>
          <w:szCs w:val="18"/>
          <w:lang w:val="en-US"/>
        </w:rPr>
        <w:t>is processed, because he has not proved that he has a domicile or known employment in the country.</w:t>
      </w:r>
      <w:r w:rsidR="00FE32A6" w:rsidRPr="008A1DB4">
        <w:rPr>
          <w:rStyle w:val="FootnoteReference"/>
          <w:spacing w:val="-2"/>
          <w:sz w:val="18"/>
          <w:szCs w:val="18"/>
          <w:lang w:val="en-US"/>
        </w:rPr>
        <w:footnoteReference w:id="132"/>
      </w:r>
    </w:p>
    <w:p w14:paraId="1A012E3F" w14:textId="77777777" w:rsidR="00FE32A6" w:rsidRPr="008A1DB4" w:rsidRDefault="00FE32A6" w:rsidP="00956E97">
      <w:pPr>
        <w:pStyle w:val="ListParagraph"/>
        <w:rPr>
          <w:spacing w:val="-2"/>
          <w:lang w:val="en-US"/>
        </w:rPr>
      </w:pPr>
    </w:p>
    <w:p w14:paraId="3A57E3A8" w14:textId="3C693FAE" w:rsidR="00FE32A6" w:rsidRPr="008A1DB4" w:rsidRDefault="00B43F84" w:rsidP="00956E97">
      <w:pPr>
        <w:pStyle w:val="PrrafodeSentencia"/>
        <w:rPr>
          <w:b/>
          <w:spacing w:val="-2"/>
          <w:lang w:val="en-US"/>
        </w:rPr>
      </w:pPr>
      <w:bookmarkStart w:id="585" w:name="_Ref428894548"/>
      <w:r w:rsidRPr="008A1DB4">
        <w:rPr>
          <w:spacing w:val="-2"/>
          <w:lang w:val="en-US"/>
        </w:rPr>
        <w:lastRenderedPageBreak/>
        <w:t>Wong</w:t>
      </w:r>
      <w:r w:rsidR="00FE32A6" w:rsidRPr="008A1DB4">
        <w:rPr>
          <w:spacing w:val="-2"/>
          <w:lang w:val="en-US"/>
        </w:rPr>
        <w:t xml:space="preserve"> Ho Wing</w:t>
      </w:r>
      <w:r w:rsidR="00947926">
        <w:rPr>
          <w:spacing w:val="-2"/>
          <w:lang w:val="en-US"/>
        </w:rPr>
        <w:t>’s defense file</w:t>
      </w:r>
      <w:r w:rsidR="00F00C02" w:rsidRPr="008A1DB4">
        <w:rPr>
          <w:spacing w:val="-2"/>
          <w:lang w:val="en-US"/>
        </w:rPr>
        <w:t>d</w:t>
      </w:r>
      <w:r w:rsidR="00947926">
        <w:rPr>
          <w:spacing w:val="-2"/>
          <w:lang w:val="en-US"/>
        </w:rPr>
        <w:t xml:space="preserve"> </w:t>
      </w:r>
      <w:r w:rsidR="00F00C02" w:rsidRPr="008A1DB4">
        <w:rPr>
          <w:spacing w:val="-2"/>
          <w:lang w:val="en-US"/>
        </w:rPr>
        <w:t xml:space="preserve">an appeal against this provisional arrest warrant, contesting that he did not have “known employment in the </w:t>
      </w:r>
      <w:r w:rsidR="00947926" w:rsidRPr="008A1DB4">
        <w:rPr>
          <w:spacing w:val="-2"/>
          <w:lang w:val="en-US"/>
        </w:rPr>
        <w:t>country</w:t>
      </w:r>
      <w:r w:rsidR="00F26E60">
        <w:rPr>
          <w:spacing w:val="-2"/>
          <w:lang w:val="en-US"/>
        </w:rPr>
        <w:t xml:space="preserve">,” because he was the “founder </w:t>
      </w:r>
      <w:r w:rsidR="00F00C02" w:rsidRPr="008A1DB4">
        <w:rPr>
          <w:spacing w:val="-2"/>
          <w:lang w:val="en-US"/>
        </w:rPr>
        <w:t xml:space="preserve">and main </w:t>
      </w:r>
      <w:r w:rsidR="00F26E60">
        <w:rPr>
          <w:spacing w:val="-2"/>
          <w:lang w:val="en-US"/>
        </w:rPr>
        <w:t>shareholder</w:t>
      </w:r>
      <w:r w:rsidR="00F00C02" w:rsidRPr="008A1DB4">
        <w:rPr>
          <w:spacing w:val="-2"/>
          <w:lang w:val="en-US"/>
        </w:rPr>
        <w:t xml:space="preserve"> of a company [that] he administers: the </w:t>
      </w:r>
      <w:r w:rsidR="00FE32A6" w:rsidRPr="008A1DB4">
        <w:rPr>
          <w:spacing w:val="-2"/>
          <w:lang w:val="en-US"/>
        </w:rPr>
        <w:t>[…] ‘Hotel Maury</w:t>
      </w:r>
      <w:r w:rsidR="00F00C02" w:rsidRPr="008A1DB4">
        <w:rPr>
          <w:spacing w:val="-2"/>
          <w:lang w:val="en-US"/>
        </w:rPr>
        <w:t>.’” Also, regarding the domicile, he indicated that “when he is in [Peru], he stays at this hotel</w:t>
      </w:r>
      <w:r w:rsidR="00A3310A" w:rsidRPr="008A1DB4">
        <w:rPr>
          <w:spacing w:val="-2"/>
          <w:lang w:val="en-US"/>
        </w:rPr>
        <w:t>.</w:t>
      </w:r>
      <w:r w:rsidR="00FE32A6" w:rsidRPr="008A1DB4">
        <w:rPr>
          <w:spacing w:val="-2"/>
          <w:lang w:val="en-US"/>
        </w:rPr>
        <w:t>”</w:t>
      </w:r>
      <w:r w:rsidR="00FE32A6" w:rsidRPr="008A1DB4">
        <w:rPr>
          <w:rStyle w:val="FootnoteReference"/>
          <w:spacing w:val="-2"/>
          <w:lang w:val="en-US"/>
        </w:rPr>
        <w:footnoteReference w:id="133"/>
      </w:r>
      <w:bookmarkEnd w:id="585"/>
      <w:r w:rsidR="00FE32A6" w:rsidRPr="008A1DB4">
        <w:rPr>
          <w:spacing w:val="-2"/>
          <w:lang w:val="en-US"/>
        </w:rPr>
        <w:t xml:space="preserve"> </w:t>
      </w:r>
    </w:p>
    <w:p w14:paraId="58C56EEC" w14:textId="77777777" w:rsidR="00FE32A6" w:rsidRPr="008A1DB4" w:rsidRDefault="00FE32A6" w:rsidP="00956E97">
      <w:pPr>
        <w:pStyle w:val="ListParagraph"/>
        <w:tabs>
          <w:tab w:val="left" w:pos="567"/>
        </w:tabs>
        <w:ind w:left="0"/>
        <w:rPr>
          <w:b/>
          <w:spacing w:val="-2"/>
          <w:lang w:val="en-US"/>
        </w:rPr>
      </w:pPr>
    </w:p>
    <w:p w14:paraId="293D2F73" w14:textId="40A57402" w:rsidR="00FE32A6" w:rsidRPr="008A1DB4" w:rsidRDefault="00A3310A" w:rsidP="00956E97">
      <w:pPr>
        <w:pStyle w:val="PrrafodeSentencia"/>
        <w:rPr>
          <w:b/>
          <w:spacing w:val="-2"/>
          <w:lang w:val="en-US"/>
        </w:rPr>
      </w:pPr>
      <w:r w:rsidRPr="008A1DB4">
        <w:rPr>
          <w:spacing w:val="-2"/>
          <w:lang w:val="en-US"/>
        </w:rPr>
        <w:t>On November 6,</w:t>
      </w:r>
      <w:r w:rsidR="006C254B" w:rsidRPr="008A1DB4">
        <w:rPr>
          <w:spacing w:val="-2"/>
          <w:lang w:val="en-US"/>
        </w:rPr>
        <w:t xml:space="preserve"> 2008</w:t>
      </w:r>
      <w:r w:rsidRPr="008A1DB4">
        <w:rPr>
          <w:spacing w:val="-2"/>
          <w:lang w:val="en-US"/>
        </w:rPr>
        <w:t>,</w:t>
      </w:r>
      <w:r w:rsidR="006C254B" w:rsidRPr="008A1DB4">
        <w:rPr>
          <w:spacing w:val="-2"/>
          <w:lang w:val="en-US"/>
        </w:rPr>
        <w:t xml:space="preserve"> </w:t>
      </w:r>
      <w:r w:rsidR="00E022F9" w:rsidRPr="008A1DB4">
        <w:rPr>
          <w:spacing w:val="-2"/>
          <w:lang w:val="en-US"/>
        </w:rPr>
        <w:t>the Embassy</w:t>
      </w:r>
      <w:r w:rsidR="002D1CFC" w:rsidRPr="008A1DB4">
        <w:rPr>
          <w:spacing w:val="-2"/>
          <w:lang w:val="en-US"/>
        </w:rPr>
        <w:t xml:space="preserve"> of the </w:t>
      </w:r>
      <w:r w:rsidR="00FE5E87" w:rsidRPr="008A1DB4">
        <w:rPr>
          <w:spacing w:val="-2"/>
          <w:lang w:val="en-US"/>
        </w:rPr>
        <w:t>People’s Republic of China</w:t>
      </w:r>
      <w:r w:rsidR="00FE32A6" w:rsidRPr="008A1DB4">
        <w:rPr>
          <w:spacing w:val="-2"/>
          <w:lang w:val="en-US"/>
        </w:rPr>
        <w:t xml:space="preserve"> </w:t>
      </w:r>
      <w:r w:rsidR="00F00C02" w:rsidRPr="008A1DB4">
        <w:rPr>
          <w:spacing w:val="-2"/>
          <w:lang w:val="en-US"/>
        </w:rPr>
        <w:t>sent a note asked “the competent Peruvian authorities [to take the necessary steps] to ensure the provisional arrest of</w:t>
      </w:r>
      <w:r w:rsidR="00E022F9" w:rsidRPr="008A1DB4">
        <w:rPr>
          <w:spacing w:val="-2"/>
          <w:lang w:val="en-US"/>
        </w:rPr>
        <w:t xml:space="preserve"> </w:t>
      </w:r>
      <w:r w:rsidR="00FE32A6" w:rsidRPr="008A1DB4">
        <w:rPr>
          <w:spacing w:val="-2"/>
          <w:lang w:val="en-US"/>
        </w:rPr>
        <w:t xml:space="preserve">[Wong Ho Wing] </w:t>
      </w:r>
      <w:r w:rsidR="00F00C02" w:rsidRPr="008A1DB4">
        <w:rPr>
          <w:spacing w:val="-2"/>
          <w:lang w:val="en-US"/>
        </w:rPr>
        <w:t xml:space="preserve">before the arrival of the Chinese commission that would open the extradition process </w:t>
      </w:r>
      <w:r w:rsidR="00947926" w:rsidRPr="008A1DB4">
        <w:rPr>
          <w:spacing w:val="-2"/>
          <w:lang w:val="en-US"/>
        </w:rPr>
        <w:t>officially</w:t>
      </w:r>
      <w:r w:rsidR="00F00C02" w:rsidRPr="008A1DB4">
        <w:rPr>
          <w:spacing w:val="-2"/>
          <w:lang w:val="en-US"/>
        </w:rPr>
        <w:t>.</w:t>
      </w:r>
      <w:r w:rsidR="00FE32A6" w:rsidRPr="008A1DB4">
        <w:rPr>
          <w:spacing w:val="-2"/>
          <w:lang w:val="en-US"/>
        </w:rPr>
        <w:t>”</w:t>
      </w:r>
      <w:r w:rsidR="00FE32A6" w:rsidRPr="008A1DB4">
        <w:rPr>
          <w:rStyle w:val="FootnoteReference"/>
          <w:spacing w:val="-2"/>
          <w:lang w:val="en-US"/>
        </w:rPr>
        <w:footnoteReference w:id="134"/>
      </w:r>
    </w:p>
    <w:p w14:paraId="2B520ED8" w14:textId="77777777" w:rsidR="00FE32A6" w:rsidRPr="008A1DB4" w:rsidRDefault="00FE32A6" w:rsidP="00956E97">
      <w:pPr>
        <w:pStyle w:val="ListParagraph"/>
        <w:rPr>
          <w:spacing w:val="-2"/>
          <w:lang w:val="en-US"/>
        </w:rPr>
      </w:pPr>
    </w:p>
    <w:p w14:paraId="06103390" w14:textId="67D4055B" w:rsidR="00FE32A6" w:rsidRPr="008A1DB4" w:rsidRDefault="00FE32A6" w:rsidP="00F00C02">
      <w:pPr>
        <w:pStyle w:val="PrrafodeSentencia"/>
        <w:rPr>
          <w:b/>
          <w:spacing w:val="-2"/>
          <w:lang w:val="en-US"/>
        </w:rPr>
      </w:pPr>
      <w:r w:rsidRPr="008A1DB4">
        <w:rPr>
          <w:spacing w:val="-2"/>
          <w:lang w:val="en-US"/>
        </w:rPr>
        <w:t xml:space="preserve"> </w:t>
      </w:r>
      <w:bookmarkStart w:id="586" w:name="_Ref428894505"/>
      <w:r w:rsidR="00A3310A" w:rsidRPr="008A1DB4">
        <w:rPr>
          <w:spacing w:val="-2"/>
          <w:lang w:val="en-US"/>
        </w:rPr>
        <w:t>On December 11,</w:t>
      </w:r>
      <w:r w:rsidRPr="008A1DB4">
        <w:rPr>
          <w:spacing w:val="-2"/>
          <w:lang w:val="en-US"/>
        </w:rPr>
        <w:t xml:space="preserve"> 2008</w:t>
      </w:r>
      <w:r w:rsidR="00A3310A" w:rsidRPr="008A1DB4">
        <w:rPr>
          <w:spacing w:val="-2"/>
          <w:lang w:val="en-US"/>
        </w:rPr>
        <w:t>,</w:t>
      </w:r>
      <w:r w:rsidRPr="008A1DB4">
        <w:rPr>
          <w:spacing w:val="-2"/>
          <w:lang w:val="en-US"/>
        </w:rPr>
        <w:t xml:space="preserve"> </w:t>
      </w:r>
      <w:r w:rsidR="00A3310A" w:rsidRPr="008A1DB4">
        <w:rPr>
          <w:spacing w:val="-2"/>
          <w:lang w:val="en-US"/>
        </w:rPr>
        <w:t>the First Transitory Combined Superior Chamber of El Callao</w:t>
      </w:r>
      <w:r w:rsidRPr="008A1DB4">
        <w:rPr>
          <w:spacing w:val="-2"/>
          <w:lang w:val="en-US"/>
        </w:rPr>
        <w:t xml:space="preserve"> confirm</w:t>
      </w:r>
      <w:r w:rsidR="00F00C02" w:rsidRPr="008A1DB4">
        <w:rPr>
          <w:spacing w:val="-2"/>
          <w:lang w:val="en-US"/>
        </w:rPr>
        <w:t xml:space="preserve">ed the arrest warrant </w:t>
      </w:r>
      <w:r w:rsidR="00A33F97" w:rsidRPr="008A1DB4">
        <w:rPr>
          <w:spacing w:val="-2"/>
          <w:lang w:val="en-US"/>
        </w:rPr>
        <w:t>decision</w:t>
      </w:r>
      <w:r w:rsidR="00F00C02" w:rsidRPr="008A1DB4">
        <w:rPr>
          <w:spacing w:val="-2"/>
          <w:lang w:val="en-US"/>
        </w:rPr>
        <w:t xml:space="preserve">, indicating that it met the requirements established in paragraphs 1, 4 and 10 of </w:t>
      </w:r>
      <w:r w:rsidR="00A3310A" w:rsidRPr="008A1DB4">
        <w:rPr>
          <w:spacing w:val="-2"/>
          <w:lang w:val="en-US"/>
        </w:rPr>
        <w:t>a</w:t>
      </w:r>
      <w:r w:rsidR="00F36400" w:rsidRPr="008A1DB4">
        <w:rPr>
          <w:spacing w:val="-2"/>
          <w:lang w:val="en-US"/>
        </w:rPr>
        <w:t>rticle</w:t>
      </w:r>
      <w:r w:rsidR="00F00C02" w:rsidRPr="008A1DB4">
        <w:rPr>
          <w:spacing w:val="-2"/>
          <w:lang w:val="en-US"/>
        </w:rPr>
        <w:t xml:space="preserve"> 523</w:t>
      </w:r>
      <w:r w:rsidRPr="008A1DB4">
        <w:rPr>
          <w:spacing w:val="-2"/>
          <w:lang w:val="en-US"/>
        </w:rPr>
        <w:t>. Re</w:t>
      </w:r>
      <w:r w:rsidR="00F00C02" w:rsidRPr="008A1DB4">
        <w:rPr>
          <w:spacing w:val="-2"/>
          <w:lang w:val="en-US"/>
        </w:rPr>
        <w:t xml:space="preserve">garding the arguments contained in the appeal, it indicated that “it was not incumbent [on the court] to analyze [the procedural risks] in the case of a provisional arrest </w:t>
      </w:r>
      <w:r w:rsidR="006B70BB">
        <w:rPr>
          <w:spacing w:val="-2"/>
          <w:lang w:val="en-US"/>
        </w:rPr>
        <w:t>with a view to</w:t>
      </w:r>
      <w:r w:rsidR="00F00C02" w:rsidRPr="008A1DB4">
        <w:rPr>
          <w:spacing w:val="-2"/>
          <w:lang w:val="en-US"/>
        </w:rPr>
        <w:t xml:space="preserve"> extraditio</w:t>
      </w:r>
      <w:r w:rsidR="00F26E60">
        <w:rPr>
          <w:spacing w:val="-2"/>
          <w:lang w:val="en-US"/>
        </w:rPr>
        <w:t>n; rather, that corresponds to a</w:t>
      </w:r>
      <w:r w:rsidR="00F00C02" w:rsidRPr="008A1DB4">
        <w:rPr>
          <w:spacing w:val="-2"/>
          <w:lang w:val="en-US"/>
        </w:rPr>
        <w:t xml:space="preserve"> criminal proceeding </w:t>
      </w:r>
      <w:r w:rsidR="00F26E60">
        <w:rPr>
          <w:spacing w:val="-2"/>
          <w:lang w:val="en-US"/>
        </w:rPr>
        <w:t>instituted</w:t>
      </w:r>
      <w:r w:rsidR="00F00C02" w:rsidRPr="008A1DB4">
        <w:rPr>
          <w:spacing w:val="-2"/>
          <w:lang w:val="en-US"/>
        </w:rPr>
        <w:t xml:space="preserve"> in [Peru] for a specific offense, which has not occurred [in this case</w:t>
      </w:r>
      <w:r w:rsidRPr="008A1DB4">
        <w:rPr>
          <w:spacing w:val="-2"/>
          <w:lang w:val="en-US"/>
        </w:rPr>
        <w:t>]</w:t>
      </w:r>
      <w:r w:rsidR="00F00C02" w:rsidRPr="008A1DB4">
        <w:rPr>
          <w:spacing w:val="-2"/>
          <w:lang w:val="en-US"/>
        </w:rPr>
        <w:t>.</w:t>
      </w:r>
      <w:r w:rsidRPr="008A1DB4">
        <w:rPr>
          <w:spacing w:val="-2"/>
          <w:lang w:val="en-US"/>
        </w:rPr>
        <w:t>”</w:t>
      </w:r>
      <w:r w:rsidRPr="008A1DB4">
        <w:rPr>
          <w:rStyle w:val="FootnoteReference"/>
          <w:spacing w:val="-2"/>
          <w:lang w:val="en-US"/>
        </w:rPr>
        <w:footnoteReference w:id="135"/>
      </w:r>
      <w:bookmarkEnd w:id="586"/>
    </w:p>
    <w:p w14:paraId="3696CC8B" w14:textId="77777777" w:rsidR="00FE32A6" w:rsidRPr="008A1DB4" w:rsidRDefault="00FE32A6" w:rsidP="00956E97">
      <w:pPr>
        <w:pStyle w:val="ListParagraph"/>
        <w:tabs>
          <w:tab w:val="left" w:pos="567"/>
        </w:tabs>
        <w:ind w:left="0"/>
        <w:rPr>
          <w:b/>
          <w:spacing w:val="-2"/>
          <w:lang w:val="en-US"/>
        </w:rPr>
      </w:pPr>
    </w:p>
    <w:p w14:paraId="5231B0EF" w14:textId="3E3C20EA" w:rsidR="00FE32A6" w:rsidRPr="008A1DB4" w:rsidRDefault="00A3310A" w:rsidP="00956E97">
      <w:pPr>
        <w:pStyle w:val="PrrafodeSentencia"/>
        <w:rPr>
          <w:spacing w:val="-2"/>
          <w:lang w:val="en-US"/>
        </w:rPr>
      </w:pPr>
      <w:r w:rsidRPr="008A1DB4">
        <w:rPr>
          <w:spacing w:val="-2"/>
          <w:lang w:val="en-US"/>
        </w:rPr>
        <w:t>On September 18,</w:t>
      </w:r>
      <w:r w:rsidR="00FE32A6" w:rsidRPr="008A1DB4">
        <w:rPr>
          <w:spacing w:val="-2"/>
          <w:lang w:val="en-US"/>
        </w:rPr>
        <w:t xml:space="preserve"> 2009</w:t>
      </w:r>
      <w:r w:rsidR="00F00C02" w:rsidRPr="008A1DB4">
        <w:rPr>
          <w:spacing w:val="-2"/>
          <w:lang w:val="en-US"/>
        </w:rPr>
        <w:t>,</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present</w:t>
      </w:r>
      <w:r w:rsidR="00F00C02" w:rsidRPr="008A1DB4">
        <w:rPr>
          <w:spacing w:val="-2"/>
          <w:lang w:val="en-US"/>
        </w:rPr>
        <w:t xml:space="preserve">ed a release </w:t>
      </w:r>
      <w:r w:rsidR="00F26E60">
        <w:rPr>
          <w:spacing w:val="-2"/>
          <w:lang w:val="en-US"/>
        </w:rPr>
        <w:t>request</w:t>
      </w:r>
      <w:r w:rsidR="00F00C02" w:rsidRPr="008A1DB4">
        <w:rPr>
          <w:spacing w:val="-2"/>
          <w:lang w:val="en-US"/>
        </w:rPr>
        <w:t xml:space="preserve"> to</w:t>
      </w:r>
      <w:r w:rsidR="00FE32A6" w:rsidRPr="008A1DB4">
        <w:rPr>
          <w:spacing w:val="-2"/>
          <w:lang w:val="en-US"/>
        </w:rPr>
        <w:t xml:space="preserve"> </w:t>
      </w:r>
      <w:r w:rsidR="001E7113" w:rsidRPr="008A1DB4">
        <w:rPr>
          <w:spacing w:val="-2"/>
          <w:lang w:val="en-US"/>
        </w:rPr>
        <w:t>the Second Transitory Criminal Chamber</w:t>
      </w:r>
      <w:r w:rsidR="00F36400" w:rsidRPr="008A1DB4">
        <w:rPr>
          <w:spacing w:val="-2"/>
          <w:lang w:val="en-US"/>
        </w:rPr>
        <w:t xml:space="preserve"> of </w:t>
      </w:r>
      <w:r w:rsidR="00B67AC5" w:rsidRPr="008A1DB4">
        <w:rPr>
          <w:spacing w:val="-2"/>
          <w:lang w:val="en-US"/>
        </w:rPr>
        <w:t xml:space="preserve">the </w:t>
      </w:r>
      <w:r w:rsidR="0006115A" w:rsidRPr="008A1DB4">
        <w:rPr>
          <w:spacing w:val="-2"/>
          <w:lang w:val="en-US"/>
        </w:rPr>
        <w:t>Peru’s Supreme Court of Justice</w:t>
      </w:r>
      <w:r w:rsidR="00F00C02" w:rsidRPr="008A1DB4">
        <w:rPr>
          <w:spacing w:val="-2"/>
          <w:lang w:val="en-US"/>
        </w:rPr>
        <w:t>.</w:t>
      </w:r>
      <w:r w:rsidR="00FE32A6" w:rsidRPr="008A1DB4">
        <w:rPr>
          <w:rStyle w:val="FootnoteReference"/>
          <w:spacing w:val="-2"/>
          <w:lang w:val="en-US"/>
        </w:rPr>
        <w:footnoteReference w:id="136"/>
      </w:r>
      <w:r w:rsidR="00FE32A6" w:rsidRPr="008A1DB4">
        <w:rPr>
          <w:spacing w:val="-2"/>
          <w:lang w:val="en-US"/>
        </w:rPr>
        <w:t xml:space="preserve"> </w:t>
      </w:r>
      <w:r w:rsidR="00F00C02" w:rsidRPr="008A1DB4">
        <w:rPr>
          <w:spacing w:val="-2"/>
          <w:lang w:val="en-US"/>
        </w:rPr>
        <w:t>On September 21,</w:t>
      </w:r>
      <w:r w:rsidR="00FE32A6" w:rsidRPr="008A1DB4">
        <w:rPr>
          <w:spacing w:val="-2"/>
          <w:lang w:val="en-US"/>
        </w:rPr>
        <w:t xml:space="preserve"> 2009</w:t>
      </w:r>
      <w:r w:rsidR="00F00C02" w:rsidRPr="008A1DB4">
        <w:rPr>
          <w:spacing w:val="-2"/>
          <w:lang w:val="en-US"/>
        </w:rPr>
        <w:t>,</w:t>
      </w:r>
      <w:r w:rsidR="00FE32A6" w:rsidRPr="008A1DB4">
        <w:rPr>
          <w:spacing w:val="-2"/>
          <w:lang w:val="en-US"/>
        </w:rPr>
        <w:t xml:space="preserve"> </w:t>
      </w:r>
      <w:r w:rsidR="00F00C02" w:rsidRPr="008A1DB4">
        <w:rPr>
          <w:spacing w:val="-2"/>
          <w:lang w:val="en-US"/>
        </w:rPr>
        <w:t xml:space="preserve">this Second Criminal Chamber ordered that the </w:t>
      </w:r>
      <w:r w:rsidR="00F26E60">
        <w:rPr>
          <w:spacing w:val="-2"/>
          <w:lang w:val="en-US"/>
        </w:rPr>
        <w:t xml:space="preserve">request </w:t>
      </w:r>
      <w:r w:rsidR="00F00C02" w:rsidRPr="008A1DB4">
        <w:rPr>
          <w:spacing w:val="-2"/>
          <w:lang w:val="en-US"/>
        </w:rPr>
        <w:t>be forwarded “to another Supreme Court for a new ruling,” considering that it did not have</w:t>
      </w:r>
      <w:r w:rsidR="00F26E60">
        <w:rPr>
          <w:spacing w:val="-2"/>
          <w:lang w:val="en-US"/>
        </w:rPr>
        <w:t xml:space="preserve"> the required competence</w:t>
      </w:r>
      <w:r w:rsidR="00F00C02" w:rsidRPr="008A1DB4">
        <w:rPr>
          <w:spacing w:val="-2"/>
          <w:lang w:val="en-US"/>
        </w:rPr>
        <w:t>.</w:t>
      </w:r>
      <w:r w:rsidR="00FE32A6" w:rsidRPr="008A1DB4">
        <w:rPr>
          <w:rStyle w:val="FootnoteReference"/>
          <w:spacing w:val="-2"/>
          <w:lang w:val="en-US"/>
        </w:rPr>
        <w:footnoteReference w:id="137"/>
      </w:r>
      <w:r w:rsidR="00F00C02" w:rsidRPr="008A1DB4">
        <w:rPr>
          <w:spacing w:val="-2"/>
          <w:lang w:val="en-US"/>
        </w:rPr>
        <w:t xml:space="preserve"> The file before this Court does not contain information on whether another court ruled on this </w:t>
      </w:r>
      <w:r w:rsidR="00F26E60">
        <w:rPr>
          <w:spacing w:val="-2"/>
          <w:lang w:val="en-US"/>
        </w:rPr>
        <w:t>request</w:t>
      </w:r>
      <w:r w:rsidR="00F00C02" w:rsidRPr="008A1DB4">
        <w:rPr>
          <w:spacing w:val="-2"/>
          <w:lang w:val="en-US"/>
        </w:rPr>
        <w:t>.</w:t>
      </w:r>
    </w:p>
    <w:p w14:paraId="575DA2C1" w14:textId="77777777" w:rsidR="00FE32A6" w:rsidRPr="008A1DB4" w:rsidRDefault="00FE32A6" w:rsidP="00956E97">
      <w:pPr>
        <w:pStyle w:val="ListParagraph"/>
        <w:tabs>
          <w:tab w:val="left" w:pos="567"/>
        </w:tabs>
        <w:ind w:left="0"/>
        <w:rPr>
          <w:spacing w:val="-2"/>
          <w:lang w:val="en-US"/>
        </w:rPr>
      </w:pPr>
    </w:p>
    <w:p w14:paraId="3E39AF77" w14:textId="0FC58716" w:rsidR="00FE32A6" w:rsidRPr="008A1DB4" w:rsidRDefault="00C168D8" w:rsidP="00F00C02">
      <w:pPr>
        <w:pStyle w:val="PrrafodeSentencia"/>
        <w:rPr>
          <w:spacing w:val="-2"/>
          <w:lang w:val="en-US"/>
        </w:rPr>
      </w:pPr>
      <w:r w:rsidRPr="008A1DB4">
        <w:rPr>
          <w:spacing w:val="-2"/>
          <w:lang w:val="en-US"/>
        </w:rPr>
        <w:t>On August 5,</w:t>
      </w:r>
      <w:r w:rsidR="00FE32A6" w:rsidRPr="008A1DB4">
        <w:rPr>
          <w:spacing w:val="-2"/>
          <w:lang w:val="en-US"/>
        </w:rPr>
        <w:t xml:space="preserve"> 2010</w:t>
      </w:r>
      <w:r w:rsidR="00F00C02" w:rsidRPr="008A1DB4">
        <w:rPr>
          <w:spacing w:val="-2"/>
          <w:lang w:val="en-US"/>
        </w:rPr>
        <w:t>,</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F00C02" w:rsidRPr="008A1DB4">
        <w:rPr>
          <w:spacing w:val="-2"/>
          <w:lang w:val="en-US"/>
        </w:rPr>
        <w:t xml:space="preserve">filed another </w:t>
      </w:r>
      <w:r w:rsidR="00F26E60">
        <w:rPr>
          <w:spacing w:val="-2"/>
          <w:lang w:val="en-US"/>
        </w:rPr>
        <w:t>application</w:t>
      </w:r>
      <w:r w:rsidR="00F00C02" w:rsidRPr="008A1DB4">
        <w:rPr>
          <w:spacing w:val="-2"/>
          <w:lang w:val="en-US"/>
        </w:rPr>
        <w:t xml:space="preserve"> for </w:t>
      </w:r>
      <w:r w:rsidR="00947926" w:rsidRPr="008A1DB4">
        <w:rPr>
          <w:spacing w:val="-2"/>
          <w:lang w:val="en-US"/>
        </w:rPr>
        <w:t>release</w:t>
      </w:r>
      <w:r w:rsidR="00F26E60">
        <w:rPr>
          <w:spacing w:val="-2"/>
          <w:lang w:val="en-US"/>
        </w:rPr>
        <w:t xml:space="preserve"> on bail before</w:t>
      </w:r>
      <w:r w:rsidR="0064362E" w:rsidRPr="008A1DB4">
        <w:rPr>
          <w:spacing w:val="-2"/>
          <w:lang w:val="en-US"/>
        </w:rPr>
        <w:t xml:space="preserve"> the </w:t>
      </w:r>
      <w:r w:rsidR="00FC5891" w:rsidRPr="008A1DB4">
        <w:rPr>
          <w:spacing w:val="-2"/>
          <w:lang w:val="en-US"/>
        </w:rPr>
        <w:t>Permanent Criminal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FE32A6" w:rsidRPr="008A1DB4">
        <w:rPr>
          <w:spacing w:val="-2"/>
          <w:lang w:val="en-US"/>
        </w:rPr>
        <w:t xml:space="preserve"> </w:t>
      </w:r>
      <w:r w:rsidR="00F26E60">
        <w:rPr>
          <w:spacing w:val="-2"/>
          <w:lang w:val="en-US"/>
        </w:rPr>
        <w:t xml:space="preserve">requesting that it impose “an </w:t>
      </w:r>
      <w:r w:rsidR="00F26E60" w:rsidRPr="008A1DB4">
        <w:rPr>
          <w:spacing w:val="-2"/>
          <w:lang w:val="en-US"/>
        </w:rPr>
        <w:t>order to appear in court</w:t>
      </w:r>
      <w:r w:rsidR="00F26E60">
        <w:rPr>
          <w:spacing w:val="-2"/>
          <w:lang w:val="en-US"/>
        </w:rPr>
        <w:t xml:space="preserve"> periodically </w:t>
      </w:r>
      <w:r w:rsidR="00F00C02" w:rsidRPr="008A1DB4">
        <w:rPr>
          <w:spacing w:val="-2"/>
          <w:lang w:val="en-US"/>
        </w:rPr>
        <w:t xml:space="preserve">with </w:t>
      </w:r>
      <w:r w:rsidR="00C37341">
        <w:rPr>
          <w:spacing w:val="-2"/>
          <w:lang w:val="en-US"/>
        </w:rPr>
        <w:t xml:space="preserve">the </w:t>
      </w:r>
      <w:r w:rsidR="00F00C02" w:rsidRPr="008A1DB4">
        <w:rPr>
          <w:spacing w:val="-2"/>
          <w:lang w:val="en-US"/>
        </w:rPr>
        <w:t>prohibition to leave the country, pursuant to […] paragraph 6</w:t>
      </w:r>
      <w:r w:rsidR="00FE32A6" w:rsidRPr="008A1DB4">
        <w:rPr>
          <w:spacing w:val="-2"/>
          <w:lang w:val="en-US"/>
        </w:rPr>
        <w:t xml:space="preserve"> [</w:t>
      </w:r>
      <w:r w:rsidR="0058668C" w:rsidRPr="008A1DB4">
        <w:rPr>
          <w:spacing w:val="-2"/>
          <w:lang w:val="en-US"/>
        </w:rPr>
        <w:t>of Article</w:t>
      </w:r>
      <w:r w:rsidR="00262E0E" w:rsidRPr="008A1DB4">
        <w:rPr>
          <w:spacing w:val="-2"/>
          <w:lang w:val="en-US"/>
        </w:rPr>
        <w:t xml:space="preserve"> </w:t>
      </w:r>
      <w:r w:rsidR="00FE32A6" w:rsidRPr="008A1DB4">
        <w:rPr>
          <w:spacing w:val="-2"/>
          <w:lang w:val="en-US"/>
        </w:rPr>
        <w:t>523]</w:t>
      </w:r>
      <w:r w:rsidR="00F00C02" w:rsidRPr="008A1DB4">
        <w:rPr>
          <w:spacing w:val="-2"/>
          <w:lang w:val="en-US"/>
        </w:rPr>
        <w:t xml:space="preserve">.” In this regard, he indicated that, since the </w:t>
      </w:r>
      <w:r w:rsidR="002D1CFC" w:rsidRPr="008A1DB4">
        <w:rPr>
          <w:spacing w:val="-2"/>
          <w:lang w:val="en-US"/>
        </w:rPr>
        <w:t xml:space="preserve">advisory </w:t>
      </w:r>
      <w:r w:rsidR="00A33F97" w:rsidRPr="008A1DB4">
        <w:rPr>
          <w:spacing w:val="-2"/>
          <w:lang w:val="en-US"/>
        </w:rPr>
        <w:t>decision</w:t>
      </w:r>
      <w:r w:rsidR="00F00C02" w:rsidRPr="008A1DB4">
        <w:rPr>
          <w:spacing w:val="-2"/>
          <w:lang w:val="en-US"/>
        </w:rPr>
        <w:t xml:space="preserve"> had already been issued</w:t>
      </w:r>
      <w:r w:rsidR="00FE32A6" w:rsidRPr="008A1DB4">
        <w:rPr>
          <w:spacing w:val="-2"/>
          <w:lang w:val="en-US"/>
        </w:rPr>
        <w:t>, “</w:t>
      </w:r>
      <w:r w:rsidR="00F00C02" w:rsidRPr="008A1DB4">
        <w:rPr>
          <w:spacing w:val="-2"/>
          <w:lang w:val="en-US"/>
        </w:rPr>
        <w:t xml:space="preserve">during </w:t>
      </w:r>
      <w:r w:rsidR="00671326" w:rsidRPr="008A1DB4">
        <w:rPr>
          <w:spacing w:val="-2"/>
          <w:lang w:val="en-US"/>
        </w:rPr>
        <w:t xml:space="preserve">the </w:t>
      </w:r>
      <w:r w:rsidR="00FC5891" w:rsidRPr="008A1DB4">
        <w:rPr>
          <w:spacing w:val="-2"/>
          <w:lang w:val="en-US"/>
        </w:rPr>
        <w:t>extradition process</w:t>
      </w:r>
      <w:r w:rsidR="00FE32A6" w:rsidRPr="008A1DB4">
        <w:rPr>
          <w:spacing w:val="-2"/>
          <w:lang w:val="en-US"/>
        </w:rPr>
        <w:t xml:space="preserve"> </w:t>
      </w:r>
      <w:r w:rsidR="00F00C02" w:rsidRPr="008A1DB4">
        <w:rPr>
          <w:spacing w:val="-2"/>
          <w:lang w:val="en-US"/>
        </w:rPr>
        <w:t xml:space="preserve">that was underway, the circumstances </w:t>
      </w:r>
      <w:r w:rsidR="00C37341">
        <w:rPr>
          <w:spacing w:val="-2"/>
          <w:lang w:val="en-US"/>
        </w:rPr>
        <w:t>that surrounded</w:t>
      </w:r>
      <w:r w:rsidR="00F00C02" w:rsidRPr="008A1DB4">
        <w:rPr>
          <w:spacing w:val="-2"/>
          <w:lang w:val="en-US"/>
        </w:rPr>
        <w:t xml:space="preserve"> it at the outset had changed substantially, which led to the conclusion that</w:t>
      </w:r>
      <w:r w:rsidR="00C37341">
        <w:rPr>
          <w:spacing w:val="-2"/>
          <w:lang w:val="en-US"/>
        </w:rPr>
        <w:t>,</w:t>
      </w:r>
      <w:r w:rsidR="00F00C02" w:rsidRPr="008A1DB4">
        <w:rPr>
          <w:spacing w:val="-2"/>
          <w:lang w:val="en-US"/>
        </w:rPr>
        <w:t xml:space="preserve"> if he is released, he will not abuse of his freedom to flee or to fail to comply with the obligations imposed on him.” Accordingly, he stated that “the provisions of paragraph 9 of article 523 of the Code of Criminal Procedure are applicable, not only due to the length of [the deprivation of liberty], but also because [he meets] the conditions required to be granted this type of measure,” added to which this provision establishes ‘that the person arrested may obtain his </w:t>
      </w:r>
      <w:r w:rsidR="00343472" w:rsidRPr="008A1DB4">
        <w:rPr>
          <w:spacing w:val="-2"/>
          <w:lang w:val="en-US"/>
        </w:rPr>
        <w:t>provisional release</w:t>
      </w:r>
      <w:r w:rsidR="00F00C02" w:rsidRPr="008A1DB4">
        <w:rPr>
          <w:spacing w:val="-2"/>
          <w:lang w:val="en-US"/>
        </w:rPr>
        <w:t>, once the legal time limits established in the [extradition] treaty have expired.</w:t>
      </w:r>
      <w:r w:rsidR="00FE32A6" w:rsidRPr="008A1DB4">
        <w:rPr>
          <w:spacing w:val="-2"/>
          <w:lang w:val="en-US"/>
        </w:rPr>
        <w:t>”</w:t>
      </w:r>
      <w:r w:rsidR="00FE32A6" w:rsidRPr="008A1DB4">
        <w:rPr>
          <w:rStyle w:val="FootnoteReference"/>
          <w:spacing w:val="-2"/>
          <w:lang w:val="en-US"/>
        </w:rPr>
        <w:footnoteReference w:id="138"/>
      </w:r>
    </w:p>
    <w:p w14:paraId="460D2A8B" w14:textId="77777777" w:rsidR="00FE32A6" w:rsidRPr="008A1DB4" w:rsidRDefault="00FE32A6" w:rsidP="00956E97">
      <w:pPr>
        <w:pStyle w:val="ListParagraph"/>
        <w:tabs>
          <w:tab w:val="left" w:pos="567"/>
        </w:tabs>
        <w:ind w:left="0"/>
        <w:rPr>
          <w:spacing w:val="-2"/>
          <w:lang w:val="en-US"/>
        </w:rPr>
      </w:pPr>
      <w:r w:rsidRPr="008A1DB4">
        <w:rPr>
          <w:spacing w:val="-2"/>
          <w:lang w:val="en-US"/>
        </w:rPr>
        <w:t xml:space="preserve"> </w:t>
      </w:r>
    </w:p>
    <w:p w14:paraId="0225E6D3" w14:textId="20656B7C" w:rsidR="00FE32A6" w:rsidRPr="008A1DB4" w:rsidRDefault="00A3310A" w:rsidP="00343472">
      <w:pPr>
        <w:pStyle w:val="PrrafodeSentencia"/>
        <w:rPr>
          <w:spacing w:val="-2"/>
          <w:lang w:val="en-US"/>
        </w:rPr>
      </w:pPr>
      <w:bookmarkStart w:id="587" w:name="_Ref428975269"/>
      <w:r w:rsidRPr="008A1DB4">
        <w:rPr>
          <w:spacing w:val="-2"/>
          <w:lang w:val="en-US"/>
        </w:rPr>
        <w:t xml:space="preserve">On October 19, 2010, the Chamber </w:t>
      </w:r>
      <w:r w:rsidR="00E0188F" w:rsidRPr="008A1DB4">
        <w:rPr>
          <w:spacing w:val="-2"/>
          <w:lang w:val="en-US"/>
        </w:rPr>
        <w:t>decla</w:t>
      </w:r>
      <w:r w:rsidR="00343472" w:rsidRPr="008A1DB4">
        <w:rPr>
          <w:spacing w:val="-2"/>
          <w:lang w:val="en-US"/>
        </w:rPr>
        <w:t>red the request for</w:t>
      </w:r>
      <w:r w:rsidR="00FE32A6" w:rsidRPr="008A1DB4">
        <w:rPr>
          <w:spacing w:val="-2"/>
          <w:lang w:val="en-US"/>
        </w:rPr>
        <w:t xml:space="preserve"> </w:t>
      </w:r>
      <w:r w:rsidR="00343472" w:rsidRPr="008A1DB4">
        <w:rPr>
          <w:spacing w:val="-2"/>
          <w:lang w:val="en-US"/>
        </w:rPr>
        <w:t>provisional release inadmissible.</w:t>
      </w:r>
      <w:r w:rsidR="00FE32A6" w:rsidRPr="008A1DB4">
        <w:rPr>
          <w:rStyle w:val="FootnoteReference"/>
          <w:spacing w:val="-2"/>
          <w:lang w:val="en-US"/>
        </w:rPr>
        <w:footnoteReference w:id="139"/>
      </w:r>
      <w:r w:rsidR="00FE32A6" w:rsidRPr="008A1DB4">
        <w:rPr>
          <w:spacing w:val="-2"/>
          <w:lang w:val="en-US"/>
        </w:rPr>
        <w:t xml:space="preserve"> </w:t>
      </w:r>
      <w:r w:rsidR="00E0188F" w:rsidRPr="008A1DB4">
        <w:rPr>
          <w:spacing w:val="-2"/>
          <w:lang w:val="en-US"/>
        </w:rPr>
        <w:t>The four judges who v</w:t>
      </w:r>
      <w:r w:rsidR="00343472" w:rsidRPr="008A1DB4">
        <w:rPr>
          <w:spacing w:val="-2"/>
          <w:lang w:val="en-US"/>
        </w:rPr>
        <w:t>oted in favor of it</w:t>
      </w:r>
      <w:r w:rsidR="00C37341">
        <w:rPr>
          <w:spacing w:val="-2"/>
          <w:lang w:val="en-US"/>
        </w:rPr>
        <w:t>s</w:t>
      </w:r>
      <w:r w:rsidR="00343472" w:rsidRPr="008A1DB4">
        <w:rPr>
          <w:spacing w:val="-2"/>
          <w:lang w:val="en-US"/>
        </w:rPr>
        <w:t xml:space="preserve"> inadmissibility indicated, among other arguments, that there was no </w:t>
      </w:r>
      <w:r w:rsidR="00C37341">
        <w:rPr>
          <w:spacing w:val="-2"/>
          <w:lang w:val="en-US"/>
        </w:rPr>
        <w:t>legal time limit for detention</w:t>
      </w:r>
      <w:r w:rsidR="00343472" w:rsidRPr="008A1DB4">
        <w:rPr>
          <w:spacing w:val="-2"/>
          <w:lang w:val="en-US"/>
        </w:rPr>
        <w:t xml:space="preserve"> in extradition processes.</w:t>
      </w:r>
      <w:r w:rsidR="00FE32A6" w:rsidRPr="008A1DB4">
        <w:rPr>
          <w:rStyle w:val="FootnoteReference"/>
          <w:spacing w:val="-2"/>
          <w:lang w:val="en-US"/>
        </w:rPr>
        <w:footnoteReference w:id="140"/>
      </w:r>
      <w:r w:rsidR="00343472" w:rsidRPr="008A1DB4">
        <w:rPr>
          <w:spacing w:val="-2"/>
          <w:lang w:val="en-US"/>
        </w:rPr>
        <w:t xml:space="preserve"> They also </w:t>
      </w:r>
      <w:r w:rsidR="00343472" w:rsidRPr="008A1DB4">
        <w:rPr>
          <w:spacing w:val="-2"/>
          <w:lang w:val="en-US"/>
        </w:rPr>
        <w:lastRenderedPageBreak/>
        <w:t>indicated that</w:t>
      </w:r>
      <w:r w:rsidR="00C37341">
        <w:rPr>
          <w:spacing w:val="-2"/>
          <w:lang w:val="en-US"/>
        </w:rPr>
        <w:t>, in the case of Wong Ho Wing,</w:t>
      </w:r>
      <w:r w:rsidR="00343472" w:rsidRPr="008A1DB4">
        <w:rPr>
          <w:spacing w:val="-2"/>
          <w:lang w:val="en-US"/>
        </w:rPr>
        <w:t xml:space="preserve"> the proce</w:t>
      </w:r>
      <w:r w:rsidR="00C37341">
        <w:rPr>
          <w:spacing w:val="-2"/>
          <w:lang w:val="en-US"/>
        </w:rPr>
        <w:t>edings</w:t>
      </w:r>
      <w:r w:rsidR="00343472" w:rsidRPr="008A1DB4">
        <w:rPr>
          <w:spacing w:val="-2"/>
          <w:lang w:val="en-US"/>
        </w:rPr>
        <w:t xml:space="preserve"> had been delayed owing to the appeals filed by </w:t>
      </w:r>
      <w:r w:rsidR="008601B6" w:rsidRPr="008A1DB4">
        <w:rPr>
          <w:spacing w:val="-2"/>
          <w:lang w:val="en-US"/>
        </w:rPr>
        <w:t>his representative</w:t>
      </w:r>
      <w:r w:rsidR="00FE32A6" w:rsidRPr="008A1DB4">
        <w:rPr>
          <w:spacing w:val="-2"/>
          <w:lang w:val="en-US"/>
        </w:rPr>
        <w:t xml:space="preserve"> </w:t>
      </w:r>
      <w:r w:rsidR="00343472" w:rsidRPr="008A1DB4">
        <w:rPr>
          <w:spacing w:val="-2"/>
          <w:lang w:val="en-US"/>
        </w:rPr>
        <w:t xml:space="preserve">at the </w:t>
      </w:r>
      <w:r w:rsidR="00C37341">
        <w:rPr>
          <w:spacing w:val="-2"/>
          <w:lang w:val="en-US"/>
        </w:rPr>
        <w:t>domestic</w:t>
      </w:r>
      <w:r w:rsidR="00343472" w:rsidRPr="008A1DB4">
        <w:rPr>
          <w:spacing w:val="-2"/>
          <w:lang w:val="en-US"/>
        </w:rPr>
        <w:t xml:space="preserve"> and</w:t>
      </w:r>
      <w:r w:rsidR="00C37341">
        <w:rPr>
          <w:spacing w:val="-2"/>
          <w:lang w:val="en-US"/>
        </w:rPr>
        <w:t xml:space="preserve"> the</w:t>
      </w:r>
      <w:r w:rsidR="00343472" w:rsidRPr="008A1DB4">
        <w:rPr>
          <w:spacing w:val="-2"/>
          <w:lang w:val="en-US"/>
        </w:rPr>
        <w:t xml:space="preserve"> inter-American level.</w:t>
      </w:r>
      <w:r w:rsidR="00FE32A6" w:rsidRPr="008A1DB4">
        <w:rPr>
          <w:rStyle w:val="FootnoteReference"/>
          <w:spacing w:val="-2"/>
          <w:lang w:val="en-US"/>
        </w:rPr>
        <w:footnoteReference w:id="141"/>
      </w:r>
      <w:r w:rsidRPr="008A1DB4">
        <w:rPr>
          <w:spacing w:val="-2"/>
          <w:lang w:val="en-US"/>
        </w:rPr>
        <w:t xml:space="preserve"> </w:t>
      </w:r>
      <w:r w:rsidR="00F36400" w:rsidRPr="008A1DB4">
        <w:rPr>
          <w:spacing w:val="-2"/>
          <w:lang w:val="en-US"/>
        </w:rPr>
        <w:t>Judge</w:t>
      </w:r>
      <w:r w:rsidR="00FE32A6" w:rsidRPr="008A1DB4">
        <w:rPr>
          <w:spacing w:val="-2"/>
          <w:lang w:val="en-US"/>
        </w:rPr>
        <w:t xml:space="preserve"> José </w:t>
      </w:r>
      <w:proofErr w:type="spellStart"/>
      <w:r w:rsidR="00FE32A6" w:rsidRPr="008A1DB4">
        <w:rPr>
          <w:spacing w:val="-2"/>
          <w:lang w:val="en-US"/>
        </w:rPr>
        <w:t>Neyra</w:t>
      </w:r>
      <w:proofErr w:type="spellEnd"/>
      <w:r w:rsidR="00FE32A6" w:rsidRPr="008A1DB4">
        <w:rPr>
          <w:spacing w:val="-2"/>
          <w:lang w:val="en-US"/>
        </w:rPr>
        <w:t xml:space="preserve"> Flores a</w:t>
      </w:r>
      <w:r w:rsidR="00343472" w:rsidRPr="008A1DB4">
        <w:rPr>
          <w:spacing w:val="-2"/>
          <w:lang w:val="en-US"/>
        </w:rPr>
        <w:t xml:space="preserve">dded that “the probability that he will </w:t>
      </w:r>
      <w:r w:rsidR="007166B1" w:rsidRPr="008A1DB4">
        <w:rPr>
          <w:spacing w:val="-2"/>
          <w:lang w:val="en-US"/>
        </w:rPr>
        <w:t>avoid prosecution</w:t>
      </w:r>
      <w:r w:rsidR="00343472" w:rsidRPr="008A1DB4">
        <w:rPr>
          <w:spacing w:val="-2"/>
          <w:lang w:val="en-US"/>
        </w:rPr>
        <w:t xml:space="preserve"> has not disappeared; to the contrary, the </w:t>
      </w:r>
      <w:r w:rsidR="00947926" w:rsidRPr="008A1DB4">
        <w:rPr>
          <w:spacing w:val="-2"/>
          <w:lang w:val="en-US"/>
        </w:rPr>
        <w:t>risk</w:t>
      </w:r>
      <w:r w:rsidR="00343472" w:rsidRPr="008A1DB4">
        <w:rPr>
          <w:spacing w:val="-2"/>
          <w:lang w:val="en-US"/>
        </w:rPr>
        <w:t xml:space="preserve"> of his absconding is greater, because </w:t>
      </w:r>
      <w:r w:rsidR="002D1CFC" w:rsidRPr="008A1DB4">
        <w:rPr>
          <w:spacing w:val="-2"/>
          <w:lang w:val="en-US"/>
        </w:rPr>
        <w:t xml:space="preserve">the </w:t>
      </w:r>
      <w:r w:rsidR="00FC5891" w:rsidRPr="008A1DB4">
        <w:rPr>
          <w:spacing w:val="-2"/>
          <w:lang w:val="en-US"/>
        </w:rPr>
        <w:t>Permanent Criminal Chamber</w:t>
      </w:r>
      <w:r w:rsidR="00343472" w:rsidRPr="008A1DB4">
        <w:rPr>
          <w:spacing w:val="-2"/>
          <w:lang w:val="en-US"/>
        </w:rPr>
        <w:t xml:space="preserve"> has [now] declared […]</w:t>
      </w:r>
      <w:r w:rsidR="00FE32A6" w:rsidRPr="008A1DB4">
        <w:rPr>
          <w:spacing w:val="-2"/>
          <w:lang w:val="en-US"/>
        </w:rPr>
        <w:t xml:space="preserve"> </w:t>
      </w:r>
      <w:r w:rsidR="00087CF8" w:rsidRPr="008A1DB4">
        <w:rPr>
          <w:spacing w:val="-2"/>
          <w:lang w:val="en-US"/>
        </w:rPr>
        <w:t>the extradition request</w:t>
      </w:r>
      <w:r w:rsidR="00343472" w:rsidRPr="008A1DB4">
        <w:rPr>
          <w:spacing w:val="-2"/>
          <w:lang w:val="en-US"/>
        </w:rPr>
        <w:t xml:space="preserve"> admissible […]; moreover, the processing of the order given in the said judicial ruling is suspended or pending execution,” in compliance with the provisional measures ordered by </w:t>
      </w:r>
      <w:r w:rsidR="00F36400" w:rsidRPr="008A1DB4">
        <w:rPr>
          <w:spacing w:val="-2"/>
          <w:lang w:val="en-US"/>
        </w:rPr>
        <w:t>the Inter-American Court</w:t>
      </w:r>
      <w:r w:rsidR="00343472" w:rsidRPr="008A1DB4">
        <w:rPr>
          <w:spacing w:val="-2"/>
          <w:lang w:val="en-US"/>
        </w:rPr>
        <w:t>.</w:t>
      </w:r>
      <w:r w:rsidR="00FE32A6" w:rsidRPr="008A1DB4">
        <w:rPr>
          <w:rStyle w:val="FootnoteReference"/>
          <w:spacing w:val="-2"/>
          <w:lang w:val="en-US"/>
        </w:rPr>
        <w:footnoteReference w:id="142"/>
      </w:r>
      <w:r w:rsidR="00FE32A6" w:rsidRPr="008A1DB4">
        <w:rPr>
          <w:spacing w:val="-2"/>
          <w:lang w:val="en-US"/>
        </w:rPr>
        <w:t xml:space="preserve"> </w:t>
      </w:r>
      <w:r w:rsidR="00343472" w:rsidRPr="008A1DB4">
        <w:rPr>
          <w:spacing w:val="-2"/>
          <w:lang w:val="en-US"/>
        </w:rPr>
        <w:t>Meanwhile, the dissenting judges indicated that it was in order to grant the provisional release</w:t>
      </w:r>
      <w:r w:rsidR="00FE32A6" w:rsidRPr="008A1DB4">
        <w:rPr>
          <w:spacing w:val="-2"/>
          <w:lang w:val="en-US"/>
        </w:rPr>
        <w:t xml:space="preserve"> </w:t>
      </w:r>
      <w:r w:rsidR="00343472" w:rsidRPr="008A1DB4">
        <w:rPr>
          <w:spacing w:val="-2"/>
          <w:lang w:val="en-US"/>
        </w:rPr>
        <w:t xml:space="preserve">of </w:t>
      </w:r>
      <w:r w:rsidR="00B43F84" w:rsidRPr="008A1DB4">
        <w:rPr>
          <w:spacing w:val="-2"/>
          <w:lang w:val="en-US"/>
        </w:rPr>
        <w:t>Wong</w:t>
      </w:r>
      <w:r w:rsidR="00FE32A6" w:rsidRPr="008A1DB4">
        <w:rPr>
          <w:spacing w:val="-2"/>
          <w:lang w:val="en-US"/>
        </w:rPr>
        <w:t xml:space="preserve"> Ho Wing </w:t>
      </w:r>
      <w:r w:rsidR="00343472" w:rsidRPr="008A1DB4">
        <w:rPr>
          <w:spacing w:val="-2"/>
          <w:lang w:val="en-US"/>
        </w:rPr>
        <w:t xml:space="preserve">because, at that time, there was no risk of his absconding.  In addition, they took into account the length of time that </w:t>
      </w:r>
      <w:r w:rsidR="00F36400" w:rsidRPr="008A1DB4">
        <w:rPr>
          <w:spacing w:val="-2"/>
          <w:lang w:val="en-US"/>
        </w:rPr>
        <w:t>the presumed victim</w:t>
      </w:r>
      <w:r w:rsidR="00FE32A6" w:rsidRPr="008A1DB4">
        <w:rPr>
          <w:spacing w:val="-2"/>
          <w:lang w:val="en-US"/>
        </w:rPr>
        <w:t xml:space="preserve"> </w:t>
      </w:r>
      <w:r w:rsidR="00343472" w:rsidRPr="008A1DB4">
        <w:rPr>
          <w:spacing w:val="-2"/>
          <w:lang w:val="en-US"/>
        </w:rPr>
        <w:t>had been detained.</w:t>
      </w:r>
      <w:r w:rsidR="00FE32A6" w:rsidRPr="008A1DB4">
        <w:rPr>
          <w:rStyle w:val="FootnoteReference"/>
          <w:spacing w:val="-2"/>
          <w:lang w:val="en-US"/>
        </w:rPr>
        <w:footnoteReference w:id="143"/>
      </w:r>
      <w:bookmarkEnd w:id="587"/>
    </w:p>
    <w:p w14:paraId="0314D558" w14:textId="77777777" w:rsidR="00FE32A6" w:rsidRPr="008A1DB4" w:rsidRDefault="00FE32A6" w:rsidP="00956E97">
      <w:pPr>
        <w:pStyle w:val="ListParagraph"/>
        <w:tabs>
          <w:tab w:val="left" w:pos="567"/>
        </w:tabs>
        <w:ind w:left="0"/>
        <w:rPr>
          <w:spacing w:val="-2"/>
          <w:lang w:val="en-US"/>
        </w:rPr>
      </w:pPr>
    </w:p>
    <w:p w14:paraId="51493649" w14:textId="4D886FB0" w:rsidR="00FE32A6" w:rsidRPr="008A1DB4" w:rsidRDefault="00A3310A" w:rsidP="00956E97">
      <w:pPr>
        <w:pStyle w:val="PrrafodeSentencia"/>
        <w:rPr>
          <w:spacing w:val="-2"/>
          <w:lang w:val="en-US"/>
        </w:rPr>
      </w:pPr>
      <w:bookmarkStart w:id="588" w:name="_Ref429065839"/>
      <w:r w:rsidRPr="008A1DB4">
        <w:rPr>
          <w:spacing w:val="-2"/>
          <w:lang w:val="en-US"/>
        </w:rPr>
        <w:t xml:space="preserve">Following the </w:t>
      </w:r>
      <w:r w:rsidR="00C37341">
        <w:rPr>
          <w:spacing w:val="-2"/>
          <w:lang w:val="en-US"/>
        </w:rPr>
        <w:t>r</w:t>
      </w:r>
      <w:r w:rsidR="005868A4" w:rsidRPr="008A1DB4">
        <w:rPr>
          <w:spacing w:val="-2"/>
          <w:lang w:val="en-US"/>
        </w:rPr>
        <w:t>uling of the Constitutional</w:t>
      </w:r>
      <w:r w:rsidR="00B43F84" w:rsidRPr="008A1DB4">
        <w:rPr>
          <w:spacing w:val="-2"/>
          <w:lang w:val="en-US"/>
        </w:rPr>
        <w:t xml:space="preserve"> Court</w:t>
      </w:r>
      <w:r w:rsidR="00FE32A6" w:rsidRPr="008A1DB4">
        <w:rPr>
          <w:spacing w:val="-2"/>
          <w:lang w:val="en-US"/>
        </w:rPr>
        <w:t xml:space="preserve"> </w:t>
      </w:r>
      <w:r w:rsidRPr="008A1DB4">
        <w:rPr>
          <w:spacing w:val="-2"/>
          <w:lang w:val="en-US"/>
        </w:rPr>
        <w:t>ordering the</w:t>
      </w:r>
      <w:r w:rsidR="00B43F84" w:rsidRPr="008A1DB4">
        <w:rPr>
          <w:spacing w:val="-2"/>
          <w:lang w:val="en-US"/>
        </w:rPr>
        <w:t xml:space="preserve"> Executive Branch</w:t>
      </w:r>
      <w:r w:rsidR="00FE32A6" w:rsidRPr="008A1DB4">
        <w:rPr>
          <w:spacing w:val="-2"/>
          <w:lang w:val="en-US"/>
        </w:rPr>
        <w:t xml:space="preserve"> </w:t>
      </w:r>
      <w:r w:rsidRPr="008A1DB4">
        <w:rPr>
          <w:spacing w:val="-2"/>
          <w:lang w:val="en-US"/>
        </w:rPr>
        <w:t xml:space="preserve">to refrain from extraditing </w:t>
      </w:r>
      <w:r w:rsidR="00B43F84" w:rsidRPr="008A1DB4">
        <w:rPr>
          <w:spacing w:val="-2"/>
          <w:lang w:val="en-US"/>
        </w:rPr>
        <w:t>Wong</w:t>
      </w:r>
      <w:r w:rsidR="00FE32A6" w:rsidRPr="008A1DB4">
        <w:rPr>
          <w:spacing w:val="-2"/>
          <w:lang w:val="en-US"/>
        </w:rPr>
        <w:t xml:space="preserve"> Ho Wing (</w:t>
      </w:r>
      <w:r w:rsidR="00FE32A6" w:rsidRPr="008A1DB4">
        <w:rPr>
          <w:i/>
          <w:spacing w:val="-2"/>
          <w:lang w:val="en-US"/>
        </w:rPr>
        <w:t xml:space="preserve">supra </w:t>
      </w:r>
      <w:r w:rsidR="00C45946" w:rsidRPr="008A1DB4">
        <w:rPr>
          <w:spacing w:val="-2"/>
          <w:lang w:val="en-US"/>
        </w:rPr>
        <w:t xml:space="preserve">para. </w:t>
      </w:r>
      <w:r w:rsidR="001D0955" w:rsidRPr="008A1DB4">
        <w:rPr>
          <w:spacing w:val="-2"/>
          <w:lang w:val="en-US"/>
        </w:rPr>
        <w:fldChar w:fldCharType="begin"/>
      </w:r>
      <w:r w:rsidR="001D0955" w:rsidRPr="008A1DB4">
        <w:rPr>
          <w:spacing w:val="-2"/>
          <w:lang w:val="en-US"/>
        </w:rPr>
        <w:instrText xml:space="preserve"> REF _Ref402186809 \r \h </w:instrText>
      </w:r>
      <w:r w:rsidR="00EB3BAE" w:rsidRPr="008A1DB4">
        <w:rPr>
          <w:spacing w:val="-2"/>
          <w:lang w:val="en-US"/>
        </w:rPr>
        <w:instrText xml:space="preserve"> \* MERGEFORMAT </w:instrText>
      </w:r>
      <w:r w:rsidR="001D0955" w:rsidRPr="008A1DB4">
        <w:rPr>
          <w:spacing w:val="-2"/>
          <w:lang w:val="en-US"/>
        </w:rPr>
      </w:r>
      <w:r w:rsidR="001D0955" w:rsidRPr="008A1DB4">
        <w:rPr>
          <w:spacing w:val="-2"/>
          <w:lang w:val="en-US"/>
        </w:rPr>
        <w:fldChar w:fldCharType="separate"/>
      </w:r>
      <w:r w:rsidR="00E961FA" w:rsidRPr="008A1DB4">
        <w:rPr>
          <w:spacing w:val="-2"/>
          <w:lang w:val="en-US"/>
        </w:rPr>
        <w:t>83</w:t>
      </w:r>
      <w:r w:rsidR="001D0955" w:rsidRPr="008A1DB4">
        <w:rPr>
          <w:spacing w:val="-2"/>
          <w:lang w:val="en-US"/>
        </w:rPr>
        <w:fldChar w:fldCharType="end"/>
      </w:r>
      <w:r w:rsidR="00FE32A6" w:rsidRPr="008A1DB4">
        <w:rPr>
          <w:spacing w:val="-2"/>
          <w:lang w:val="en-US"/>
        </w:rPr>
        <w:t xml:space="preserve">), </w:t>
      </w:r>
      <w:r w:rsidRPr="008A1DB4">
        <w:rPr>
          <w:spacing w:val="-2"/>
          <w:lang w:val="en-US"/>
        </w:rPr>
        <w:t>on</w:t>
      </w:r>
      <w:r w:rsidR="00FE32A6" w:rsidRPr="008A1DB4">
        <w:rPr>
          <w:spacing w:val="-2"/>
          <w:lang w:val="en-US"/>
        </w:rPr>
        <w:t xml:space="preserve"> </w:t>
      </w:r>
      <w:r w:rsidR="00FC5891" w:rsidRPr="008A1DB4">
        <w:rPr>
          <w:spacing w:val="-2"/>
          <w:lang w:val="en-US"/>
        </w:rPr>
        <w:t>October 5,</w:t>
      </w:r>
      <w:r w:rsidR="00FE32A6" w:rsidRPr="008A1DB4">
        <w:rPr>
          <w:spacing w:val="-2"/>
          <w:lang w:val="en-US"/>
        </w:rPr>
        <w:t xml:space="preserve"> 2011</w:t>
      </w:r>
      <w:r w:rsidR="002B3582" w:rsidRPr="008A1DB4">
        <w:rPr>
          <w:spacing w:val="-2"/>
          <w:lang w:val="en-US"/>
        </w:rPr>
        <w:t>,</w:t>
      </w:r>
      <w:r w:rsidR="00FE32A6" w:rsidRPr="008A1DB4">
        <w:rPr>
          <w:spacing w:val="-2"/>
          <w:lang w:val="en-US"/>
        </w:rPr>
        <w:t xml:space="preserve"> </w:t>
      </w:r>
      <w:r w:rsidR="008601B6" w:rsidRPr="008A1DB4">
        <w:rPr>
          <w:spacing w:val="-2"/>
          <w:lang w:val="en-US"/>
        </w:rPr>
        <w:t>his representative</w:t>
      </w:r>
      <w:r w:rsidR="002B3582" w:rsidRPr="008A1DB4">
        <w:rPr>
          <w:spacing w:val="-2"/>
          <w:lang w:val="en-US"/>
        </w:rPr>
        <w:t xml:space="preserve"> asked </w:t>
      </w:r>
      <w:r w:rsidR="002D1CFC" w:rsidRPr="008A1DB4">
        <w:rPr>
          <w:spacing w:val="-2"/>
          <w:lang w:val="en-US"/>
        </w:rPr>
        <w:t xml:space="preserve">the </w:t>
      </w:r>
      <w:r w:rsidR="00FC5891" w:rsidRPr="008A1DB4">
        <w:rPr>
          <w:spacing w:val="-2"/>
          <w:lang w:val="en-US"/>
        </w:rPr>
        <w:t>Permanent Criminal Chamber</w:t>
      </w:r>
      <w:r w:rsidR="002B3582" w:rsidRPr="008A1DB4">
        <w:rPr>
          <w:spacing w:val="-2"/>
          <w:lang w:val="en-US"/>
        </w:rPr>
        <w:t xml:space="preserve"> for</w:t>
      </w:r>
      <w:r w:rsidR="00C37341">
        <w:rPr>
          <w:spacing w:val="-2"/>
          <w:lang w:val="en-US"/>
        </w:rPr>
        <w:t xml:space="preserve"> his</w:t>
      </w:r>
      <w:r w:rsidR="00FE32A6" w:rsidRPr="008A1DB4">
        <w:rPr>
          <w:spacing w:val="-2"/>
          <w:lang w:val="en-US"/>
        </w:rPr>
        <w:t xml:space="preserve"> “</w:t>
      </w:r>
      <w:r w:rsidR="002B3582" w:rsidRPr="008A1DB4">
        <w:rPr>
          <w:spacing w:val="-2"/>
          <w:lang w:val="en-US"/>
        </w:rPr>
        <w:t xml:space="preserve">immediate </w:t>
      </w:r>
      <w:r w:rsidR="00947926" w:rsidRPr="008A1DB4">
        <w:rPr>
          <w:spacing w:val="-2"/>
          <w:lang w:val="en-US"/>
        </w:rPr>
        <w:t>release</w:t>
      </w:r>
      <w:r w:rsidR="002B3582" w:rsidRPr="008A1DB4">
        <w:rPr>
          <w:spacing w:val="-2"/>
          <w:lang w:val="en-US"/>
        </w:rPr>
        <w:t xml:space="preserve"> without any restrictions.</w:t>
      </w:r>
      <w:r w:rsidR="00FE32A6" w:rsidRPr="008A1DB4">
        <w:rPr>
          <w:spacing w:val="-2"/>
          <w:lang w:val="en-US"/>
        </w:rPr>
        <w:t>”</w:t>
      </w:r>
      <w:r w:rsidR="00FE32A6" w:rsidRPr="008A1DB4">
        <w:rPr>
          <w:rStyle w:val="FootnoteReference"/>
          <w:spacing w:val="-2"/>
          <w:lang w:val="en-US"/>
        </w:rPr>
        <w:footnoteReference w:id="144"/>
      </w:r>
      <w:r w:rsidR="002B3582" w:rsidRPr="008A1DB4">
        <w:rPr>
          <w:spacing w:val="-2"/>
          <w:lang w:val="en-US"/>
        </w:rPr>
        <w:t xml:space="preserve"> </w:t>
      </w:r>
      <w:r w:rsidRPr="008A1DB4">
        <w:rPr>
          <w:spacing w:val="-2"/>
          <w:lang w:val="en-US"/>
        </w:rPr>
        <w:t>On October 10,</w:t>
      </w:r>
      <w:r w:rsidR="00FE32A6" w:rsidRPr="008A1DB4">
        <w:rPr>
          <w:spacing w:val="-2"/>
          <w:lang w:val="en-US"/>
        </w:rPr>
        <w:t xml:space="preserve"> 2011</w:t>
      </w:r>
      <w:r w:rsidR="002B3582" w:rsidRPr="008A1DB4">
        <w:rPr>
          <w:spacing w:val="-2"/>
          <w:lang w:val="en-US"/>
        </w:rPr>
        <w:t xml:space="preserve">, </w:t>
      </w:r>
      <w:r w:rsidR="002D1CFC" w:rsidRPr="008A1DB4">
        <w:rPr>
          <w:spacing w:val="-2"/>
          <w:lang w:val="en-US"/>
        </w:rPr>
        <w:t>the Criminal Chamber</w:t>
      </w:r>
      <w:r w:rsidR="002B3582" w:rsidRPr="008A1DB4">
        <w:rPr>
          <w:spacing w:val="-2"/>
          <w:lang w:val="en-US"/>
        </w:rPr>
        <w:t xml:space="preserve"> declared that this request should </w:t>
      </w:r>
      <w:r w:rsidR="00FE32A6" w:rsidRPr="008A1DB4">
        <w:rPr>
          <w:spacing w:val="-2"/>
          <w:lang w:val="en-US"/>
        </w:rPr>
        <w:t>“</w:t>
      </w:r>
      <w:r w:rsidR="002B3582" w:rsidRPr="008A1DB4">
        <w:rPr>
          <w:spacing w:val="-2"/>
          <w:lang w:val="en-US"/>
        </w:rPr>
        <w:t>be submitted […] to the corresponding court.</w:t>
      </w:r>
      <w:r w:rsidR="00FE32A6" w:rsidRPr="008A1DB4">
        <w:rPr>
          <w:spacing w:val="-2"/>
          <w:lang w:val="en-US"/>
        </w:rPr>
        <w:t>”</w:t>
      </w:r>
      <w:r w:rsidR="00FE32A6" w:rsidRPr="008A1DB4">
        <w:rPr>
          <w:rStyle w:val="FootnoteReference"/>
          <w:spacing w:val="-2"/>
          <w:lang w:val="en-US"/>
        </w:rPr>
        <w:footnoteReference w:id="145"/>
      </w:r>
      <w:r w:rsidR="00947926">
        <w:rPr>
          <w:spacing w:val="-2"/>
          <w:lang w:val="en-US"/>
        </w:rPr>
        <w:t xml:space="preserve"> </w:t>
      </w:r>
      <w:r w:rsidR="002B3582" w:rsidRPr="008A1DB4">
        <w:rPr>
          <w:spacing w:val="-2"/>
          <w:lang w:val="en-US"/>
        </w:rPr>
        <w:t xml:space="preserve">On October 18, </w:t>
      </w:r>
      <w:r w:rsidR="00C45946" w:rsidRPr="008A1DB4">
        <w:rPr>
          <w:spacing w:val="-2"/>
          <w:lang w:val="en-US"/>
        </w:rPr>
        <w:t>the representative</w:t>
      </w:r>
      <w:r w:rsidR="00FE32A6" w:rsidRPr="008A1DB4">
        <w:rPr>
          <w:spacing w:val="-2"/>
          <w:lang w:val="en-US"/>
        </w:rPr>
        <w:t xml:space="preserve"> </w:t>
      </w:r>
      <w:r w:rsidR="00C37341">
        <w:rPr>
          <w:spacing w:val="-2"/>
          <w:lang w:val="en-US"/>
        </w:rPr>
        <w:t>filed the request</w:t>
      </w:r>
      <w:r w:rsidR="002B3582" w:rsidRPr="008A1DB4">
        <w:rPr>
          <w:spacing w:val="-2"/>
          <w:lang w:val="en-US"/>
        </w:rPr>
        <w:t xml:space="preserve"> before </w:t>
      </w:r>
      <w:r w:rsidR="001E7113" w:rsidRPr="008A1DB4">
        <w:rPr>
          <w:spacing w:val="-2"/>
          <w:lang w:val="en-US"/>
        </w:rPr>
        <w:t>the Seventh Criminal Court of El Callao</w:t>
      </w:r>
      <w:r w:rsidR="00C37341">
        <w:rPr>
          <w:spacing w:val="-2"/>
          <w:lang w:val="en-US"/>
        </w:rPr>
        <w:t>.</w:t>
      </w:r>
      <w:r w:rsidR="00FE32A6" w:rsidRPr="008A1DB4">
        <w:rPr>
          <w:rStyle w:val="FootnoteReference"/>
          <w:spacing w:val="-2"/>
          <w:lang w:val="en-US"/>
        </w:rPr>
        <w:footnoteReference w:id="146"/>
      </w:r>
      <w:bookmarkEnd w:id="588"/>
      <w:r w:rsidR="00FE32A6" w:rsidRPr="008A1DB4">
        <w:rPr>
          <w:spacing w:val="-2"/>
          <w:lang w:val="en-US"/>
        </w:rPr>
        <w:t xml:space="preserve"> </w:t>
      </w:r>
    </w:p>
    <w:p w14:paraId="00B46A88" w14:textId="77777777" w:rsidR="00FE32A6" w:rsidRPr="008A1DB4" w:rsidRDefault="00FE32A6" w:rsidP="00956E97">
      <w:pPr>
        <w:pStyle w:val="ListParagraph"/>
        <w:rPr>
          <w:spacing w:val="-2"/>
          <w:szCs w:val="20"/>
          <w:lang w:val="en-US"/>
        </w:rPr>
      </w:pPr>
    </w:p>
    <w:p w14:paraId="24679157" w14:textId="3D8741E4" w:rsidR="00FE32A6" w:rsidRPr="008A1DB4" w:rsidRDefault="00A3310A" w:rsidP="00956E97">
      <w:pPr>
        <w:pStyle w:val="PrrafodeSentencia"/>
        <w:rPr>
          <w:spacing w:val="-2"/>
          <w:lang w:val="en-US"/>
        </w:rPr>
      </w:pPr>
      <w:bookmarkStart w:id="589" w:name="_Ref429067012"/>
      <w:r w:rsidRPr="008A1DB4">
        <w:rPr>
          <w:spacing w:val="-2"/>
          <w:lang w:val="en-US"/>
        </w:rPr>
        <w:t>On November 2,</w:t>
      </w:r>
      <w:r w:rsidR="00FE32A6" w:rsidRPr="008A1DB4">
        <w:rPr>
          <w:spacing w:val="-2"/>
          <w:lang w:val="en-US"/>
        </w:rPr>
        <w:t xml:space="preserve"> 2011</w:t>
      </w:r>
      <w:r w:rsidR="002B3582" w:rsidRPr="008A1DB4">
        <w:rPr>
          <w:spacing w:val="-2"/>
          <w:lang w:val="en-US"/>
        </w:rPr>
        <w:t xml:space="preserve">, the judge asked </w:t>
      </w:r>
      <w:r w:rsidR="00FC5891" w:rsidRPr="008A1DB4">
        <w:rPr>
          <w:spacing w:val="-2"/>
          <w:lang w:val="en-US"/>
        </w:rPr>
        <w:t>the Ministry of Justice</w:t>
      </w:r>
      <w:r w:rsidR="00FE32A6" w:rsidRPr="008A1DB4">
        <w:rPr>
          <w:spacing w:val="-2"/>
          <w:lang w:val="en-US"/>
        </w:rPr>
        <w:t xml:space="preserve"> </w:t>
      </w:r>
      <w:r w:rsidR="002B3582" w:rsidRPr="008A1DB4">
        <w:rPr>
          <w:spacing w:val="-2"/>
          <w:lang w:val="en-US"/>
        </w:rPr>
        <w:t>to forward the provisional arrest file.</w:t>
      </w:r>
      <w:r w:rsidR="00FE32A6" w:rsidRPr="008A1DB4">
        <w:rPr>
          <w:rStyle w:val="FootnoteReference"/>
          <w:spacing w:val="-2"/>
          <w:lang w:val="en-US"/>
        </w:rPr>
        <w:footnoteReference w:id="147"/>
      </w:r>
      <w:r w:rsidR="00FE32A6" w:rsidRPr="008A1DB4">
        <w:rPr>
          <w:spacing w:val="-2"/>
          <w:lang w:val="en-US"/>
        </w:rPr>
        <w:t xml:space="preserve"> </w:t>
      </w:r>
      <w:r w:rsidRPr="008A1DB4">
        <w:rPr>
          <w:spacing w:val="-2"/>
          <w:lang w:val="en-US"/>
        </w:rPr>
        <w:t>On November 4,</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2B3582" w:rsidRPr="008A1DB4">
        <w:rPr>
          <w:spacing w:val="-2"/>
          <w:lang w:val="en-US"/>
        </w:rPr>
        <w:t>asked</w:t>
      </w:r>
      <w:r w:rsidR="00FC5891" w:rsidRPr="008A1DB4">
        <w:rPr>
          <w:spacing w:val="-2"/>
          <w:lang w:val="en-US"/>
        </w:rPr>
        <w:t xml:space="preserve"> the Ministry of Justice</w:t>
      </w:r>
      <w:r w:rsidR="00FE32A6" w:rsidRPr="008A1DB4">
        <w:rPr>
          <w:spacing w:val="-2"/>
          <w:lang w:val="en-US"/>
        </w:rPr>
        <w:t xml:space="preserve"> </w:t>
      </w:r>
      <w:r w:rsidR="002B3582" w:rsidRPr="008A1DB4">
        <w:rPr>
          <w:spacing w:val="-2"/>
          <w:lang w:val="en-US"/>
        </w:rPr>
        <w:t>to forward the file.</w:t>
      </w:r>
      <w:r w:rsidR="00FE32A6" w:rsidRPr="008A1DB4">
        <w:rPr>
          <w:rStyle w:val="FootnoteReference"/>
          <w:spacing w:val="-2"/>
          <w:lang w:val="en-US"/>
        </w:rPr>
        <w:footnoteReference w:id="148"/>
      </w:r>
      <w:r w:rsidR="00FE32A6" w:rsidRPr="008A1DB4">
        <w:rPr>
          <w:spacing w:val="-2"/>
          <w:lang w:val="en-US"/>
        </w:rPr>
        <w:t xml:space="preserve"> </w:t>
      </w:r>
      <w:r w:rsidRPr="008A1DB4">
        <w:rPr>
          <w:spacing w:val="-2"/>
          <w:lang w:val="en-US"/>
        </w:rPr>
        <w:t>On November 8,</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2B3582" w:rsidRPr="008A1DB4">
        <w:rPr>
          <w:spacing w:val="-2"/>
          <w:lang w:val="en-US"/>
        </w:rPr>
        <w:t xml:space="preserve">asked the Seventh Criminal Court to ask </w:t>
      </w:r>
      <w:r w:rsidR="00FC5891" w:rsidRPr="008A1DB4">
        <w:rPr>
          <w:spacing w:val="-2"/>
          <w:lang w:val="en-US"/>
        </w:rPr>
        <w:t>the Ministry of Justice</w:t>
      </w:r>
      <w:r w:rsidR="00FE32A6" w:rsidRPr="008A1DB4">
        <w:rPr>
          <w:spacing w:val="-2"/>
          <w:lang w:val="en-US"/>
        </w:rPr>
        <w:t xml:space="preserve"> </w:t>
      </w:r>
      <w:r w:rsidR="002B3582" w:rsidRPr="008A1DB4">
        <w:rPr>
          <w:spacing w:val="-2"/>
          <w:lang w:val="en-US"/>
        </w:rPr>
        <w:t>to forward the file.</w:t>
      </w:r>
      <w:r w:rsidR="00FE32A6" w:rsidRPr="008A1DB4">
        <w:rPr>
          <w:rStyle w:val="FootnoteReference"/>
          <w:spacing w:val="-2"/>
          <w:lang w:val="en-US"/>
        </w:rPr>
        <w:footnoteReference w:id="149"/>
      </w:r>
      <w:bookmarkEnd w:id="589"/>
    </w:p>
    <w:p w14:paraId="343F7759" w14:textId="77777777" w:rsidR="00FE32A6" w:rsidRPr="008A1DB4" w:rsidRDefault="00FE32A6" w:rsidP="00956E97">
      <w:pPr>
        <w:rPr>
          <w:spacing w:val="-2"/>
          <w:szCs w:val="20"/>
          <w:lang w:val="en-US"/>
        </w:rPr>
      </w:pPr>
    </w:p>
    <w:p w14:paraId="01D24DEA" w14:textId="6ABC8D34" w:rsidR="00FE32A6" w:rsidRPr="008A1DB4" w:rsidRDefault="00A3310A" w:rsidP="002B3582">
      <w:pPr>
        <w:pStyle w:val="PrrafodeSentencia"/>
        <w:rPr>
          <w:spacing w:val="-2"/>
          <w:lang w:val="en-US"/>
        </w:rPr>
      </w:pPr>
      <w:bookmarkStart w:id="590" w:name="_Ref429067015"/>
      <w:r w:rsidRPr="008A1DB4">
        <w:rPr>
          <w:spacing w:val="-2"/>
          <w:lang w:val="en-US"/>
        </w:rPr>
        <w:t>On November 25,</w:t>
      </w:r>
      <w:r w:rsidR="00FE32A6" w:rsidRPr="008A1DB4">
        <w:rPr>
          <w:spacing w:val="-2"/>
          <w:lang w:val="en-US"/>
        </w:rPr>
        <w:t xml:space="preserve"> 2011</w:t>
      </w:r>
      <w:r w:rsidRPr="008A1DB4">
        <w:rPr>
          <w:spacing w:val="-2"/>
          <w:lang w:val="en-US"/>
        </w:rPr>
        <w:t>,</w:t>
      </w:r>
      <w:r w:rsidR="00FE32A6" w:rsidRPr="008A1DB4">
        <w:rPr>
          <w:spacing w:val="-2"/>
          <w:lang w:val="en-US"/>
        </w:rPr>
        <w:t xml:space="preserve"> </w:t>
      </w:r>
      <w:r w:rsidR="002D1CFC" w:rsidRPr="008A1DB4">
        <w:rPr>
          <w:spacing w:val="-2"/>
          <w:lang w:val="en-US"/>
        </w:rPr>
        <w:t>the Ministry of Justice</w:t>
      </w:r>
      <w:r w:rsidR="00FE32A6" w:rsidRPr="008A1DB4">
        <w:rPr>
          <w:spacing w:val="-2"/>
          <w:lang w:val="en-US"/>
        </w:rPr>
        <w:t xml:space="preserve"> </w:t>
      </w:r>
      <w:r w:rsidR="00C37341">
        <w:rPr>
          <w:spacing w:val="-2"/>
          <w:lang w:val="en-US"/>
        </w:rPr>
        <w:t>forwarded</w:t>
      </w:r>
      <w:r w:rsidR="002B3582" w:rsidRPr="008A1DB4">
        <w:rPr>
          <w:spacing w:val="-2"/>
          <w:lang w:val="en-US"/>
        </w:rPr>
        <w:t xml:space="preserve"> the said file and advised the court of the reasons for the delay in forwarding it.</w:t>
      </w:r>
      <w:r w:rsidR="00FE32A6" w:rsidRPr="008A1DB4">
        <w:rPr>
          <w:rStyle w:val="FootnoteReference"/>
          <w:spacing w:val="-2"/>
          <w:lang w:val="en-US"/>
        </w:rPr>
        <w:footnoteReference w:id="150"/>
      </w:r>
      <w:r w:rsidR="002B3582" w:rsidRPr="008A1DB4">
        <w:rPr>
          <w:spacing w:val="-2"/>
          <w:lang w:val="en-US"/>
        </w:rPr>
        <w:t xml:space="preserve"> In this regard, it explained that the “request to </w:t>
      </w:r>
      <w:r w:rsidR="002B3582" w:rsidRPr="008A1DB4">
        <w:rPr>
          <w:spacing w:val="-2"/>
          <w:lang w:val="en-US"/>
        </w:rPr>
        <w:lastRenderedPageBreak/>
        <w:t xml:space="preserve">send the arrest file was about to be answered […] when another note was received […] forwarding the proceedings regarding the release request that was the reason the file was required.” It indicated that, since the extradition request “had not been decided by the Executive Branch,” it was necessary to </w:t>
      </w:r>
      <w:r w:rsidR="00947926" w:rsidRPr="008A1DB4">
        <w:rPr>
          <w:spacing w:val="-2"/>
          <w:lang w:val="en-US"/>
        </w:rPr>
        <w:t>consult</w:t>
      </w:r>
      <w:r w:rsidR="002B3582" w:rsidRPr="008A1DB4">
        <w:rPr>
          <w:spacing w:val="-2"/>
          <w:lang w:val="en-US"/>
        </w:rPr>
        <w:t xml:space="preserve"> the Office of Legal Advisory Services how to proceed.</w:t>
      </w:r>
      <w:r w:rsidR="002B3582" w:rsidRPr="008A1DB4">
        <w:rPr>
          <w:rStyle w:val="FootnoteReference"/>
          <w:spacing w:val="-2"/>
          <w:lang w:val="en-US"/>
        </w:rPr>
        <w:footnoteReference w:id="151"/>
      </w:r>
      <w:r w:rsidR="002B3582" w:rsidRPr="008A1DB4">
        <w:rPr>
          <w:spacing w:val="-2"/>
          <w:lang w:val="en-US"/>
        </w:rPr>
        <w:t xml:space="preserve"> It also underlined that:</w:t>
      </w:r>
      <w:r w:rsidR="00FE32A6" w:rsidRPr="008A1DB4">
        <w:rPr>
          <w:spacing w:val="-2"/>
          <w:lang w:val="en-US"/>
        </w:rPr>
        <w:t xml:space="preserve"> (</w:t>
      </w:r>
      <w:proofErr w:type="spellStart"/>
      <w:r w:rsidR="00FE32A6" w:rsidRPr="008A1DB4">
        <w:rPr>
          <w:spacing w:val="-2"/>
          <w:lang w:val="en-US"/>
        </w:rPr>
        <w:t>i</w:t>
      </w:r>
      <w:proofErr w:type="spellEnd"/>
      <w:r w:rsidR="00FE32A6" w:rsidRPr="008A1DB4">
        <w:rPr>
          <w:spacing w:val="-2"/>
          <w:lang w:val="en-US"/>
        </w:rPr>
        <w:t>) “</w:t>
      </w:r>
      <w:r w:rsidR="00C37341">
        <w:rPr>
          <w:spacing w:val="-2"/>
          <w:lang w:val="en-US"/>
        </w:rPr>
        <w:t xml:space="preserve">it was not </w:t>
      </w:r>
      <w:r w:rsidR="002D1CFC" w:rsidRPr="008A1DB4">
        <w:rPr>
          <w:spacing w:val="-2"/>
          <w:lang w:val="en-US"/>
        </w:rPr>
        <w:t>the Ministry of Justice</w:t>
      </w:r>
      <w:r w:rsidR="002B3582" w:rsidRPr="008A1DB4">
        <w:rPr>
          <w:spacing w:val="-2"/>
          <w:lang w:val="en-US"/>
        </w:rPr>
        <w:t xml:space="preserve"> that requested the arrest</w:t>
      </w:r>
      <w:r w:rsidR="00FE32A6" w:rsidRPr="008A1DB4">
        <w:rPr>
          <w:spacing w:val="-2"/>
          <w:lang w:val="en-US"/>
        </w:rPr>
        <w:t xml:space="preserve"> […] </w:t>
      </w:r>
      <w:r w:rsidR="002B3582" w:rsidRPr="008A1DB4">
        <w:rPr>
          <w:spacing w:val="-2"/>
          <w:lang w:val="en-US"/>
        </w:rPr>
        <w:t>and it</w:t>
      </w:r>
      <w:r w:rsidR="00FE32A6" w:rsidRPr="008A1DB4">
        <w:rPr>
          <w:spacing w:val="-2"/>
          <w:lang w:val="en-US"/>
        </w:rPr>
        <w:t xml:space="preserve"> […] </w:t>
      </w:r>
      <w:r w:rsidR="002B3582" w:rsidRPr="008A1DB4">
        <w:rPr>
          <w:spacing w:val="-2"/>
          <w:lang w:val="en-US"/>
        </w:rPr>
        <w:t>cannot decide his release</w:t>
      </w:r>
      <w:r w:rsidR="00FE32A6" w:rsidRPr="008A1DB4">
        <w:rPr>
          <w:spacing w:val="-2"/>
          <w:lang w:val="en-US"/>
        </w:rPr>
        <w:t xml:space="preserve">”; (ii) </w:t>
      </w:r>
      <w:r w:rsidR="002B3582" w:rsidRPr="008A1DB4">
        <w:rPr>
          <w:spacing w:val="-2"/>
          <w:lang w:val="en-US"/>
        </w:rPr>
        <w:t>the arrest of</w:t>
      </w:r>
      <w:r w:rsidR="00FE32A6" w:rsidRPr="008A1DB4">
        <w:rPr>
          <w:spacing w:val="-2"/>
          <w:lang w:val="en-US"/>
        </w:rPr>
        <w:t xml:space="preserve"> […] </w:t>
      </w:r>
      <w:r w:rsidR="002B3582" w:rsidRPr="008A1DB4">
        <w:rPr>
          <w:spacing w:val="-2"/>
          <w:lang w:val="en-US"/>
        </w:rPr>
        <w:t xml:space="preserve">Wong Ho Wing was </w:t>
      </w:r>
      <w:r w:rsidR="00C37341">
        <w:rPr>
          <w:spacing w:val="-2"/>
          <w:lang w:val="en-US"/>
        </w:rPr>
        <w:t>made</w:t>
      </w:r>
      <w:r w:rsidR="002B3582" w:rsidRPr="008A1DB4">
        <w:rPr>
          <w:spacing w:val="-2"/>
          <w:lang w:val="en-US"/>
        </w:rPr>
        <w:t xml:space="preserve"> with a view to an </w:t>
      </w:r>
      <w:r w:rsidR="00C37341">
        <w:rPr>
          <w:spacing w:val="-2"/>
          <w:lang w:val="en-US"/>
        </w:rPr>
        <w:t>extradition process that has no</w:t>
      </w:r>
      <w:r w:rsidR="002B3582" w:rsidRPr="008A1DB4">
        <w:rPr>
          <w:spacing w:val="-2"/>
          <w:lang w:val="en-US"/>
        </w:rPr>
        <w:t>t</w:t>
      </w:r>
      <w:r w:rsidR="00C37341">
        <w:rPr>
          <w:spacing w:val="-2"/>
          <w:lang w:val="en-US"/>
        </w:rPr>
        <w:t xml:space="preserve"> </w:t>
      </w:r>
      <w:r w:rsidR="002B3582" w:rsidRPr="008A1DB4">
        <w:rPr>
          <w:spacing w:val="-2"/>
          <w:lang w:val="en-US"/>
        </w:rPr>
        <w:t xml:space="preserve">ended,” so that “no one can affirm that they know, or foresee, or state in advance, what </w:t>
      </w:r>
      <w:r w:rsidR="00A33F97" w:rsidRPr="008A1DB4">
        <w:rPr>
          <w:spacing w:val="-2"/>
          <w:lang w:val="en-US"/>
        </w:rPr>
        <w:t>decision</w:t>
      </w:r>
      <w:r w:rsidR="002B3582" w:rsidRPr="008A1DB4">
        <w:rPr>
          <w:spacing w:val="-2"/>
          <w:lang w:val="en-US"/>
        </w:rPr>
        <w:t xml:space="preserve"> the Peruvian State will take […] on the </w:t>
      </w:r>
      <w:r w:rsidR="002D1CFC" w:rsidRPr="008A1DB4">
        <w:rPr>
          <w:spacing w:val="-2"/>
          <w:lang w:val="en-US"/>
        </w:rPr>
        <w:t>extradition</w:t>
      </w:r>
      <w:r w:rsidR="002B3582" w:rsidRPr="008A1DB4">
        <w:rPr>
          <w:spacing w:val="-2"/>
          <w:lang w:val="en-US"/>
        </w:rPr>
        <w:t>,”</w:t>
      </w:r>
      <w:r w:rsidR="00F36400" w:rsidRPr="008A1DB4">
        <w:rPr>
          <w:spacing w:val="-2"/>
          <w:lang w:val="en-US"/>
        </w:rPr>
        <w:t xml:space="preserve"> and </w:t>
      </w:r>
      <w:r w:rsidR="00FE32A6" w:rsidRPr="008A1DB4">
        <w:rPr>
          <w:spacing w:val="-2"/>
          <w:lang w:val="en-US"/>
        </w:rPr>
        <w:t xml:space="preserve">(iii) </w:t>
      </w:r>
      <w:r w:rsidR="002B3582" w:rsidRPr="008A1DB4">
        <w:rPr>
          <w:spacing w:val="-2"/>
          <w:lang w:val="en-US"/>
        </w:rPr>
        <w:t>this “</w:t>
      </w:r>
      <w:r w:rsidR="00C37341">
        <w:rPr>
          <w:spacing w:val="-2"/>
          <w:lang w:val="en-US"/>
        </w:rPr>
        <w:t>does not change the fact that a</w:t>
      </w:r>
      <w:r w:rsidR="002B3582" w:rsidRPr="008A1DB4">
        <w:rPr>
          <w:spacing w:val="-2"/>
          <w:lang w:val="en-US"/>
        </w:rPr>
        <w:t xml:space="preserve"> ruling </w:t>
      </w:r>
      <w:r w:rsidR="00C45946" w:rsidRPr="008A1DB4">
        <w:rPr>
          <w:spacing w:val="-2"/>
          <w:lang w:val="en-US"/>
        </w:rPr>
        <w:t xml:space="preserve">of the </w:t>
      </w:r>
      <w:r w:rsidR="00B43F84" w:rsidRPr="008A1DB4">
        <w:rPr>
          <w:spacing w:val="-2"/>
          <w:lang w:val="en-US"/>
        </w:rPr>
        <w:t>Constitutional Court</w:t>
      </w:r>
      <w:r w:rsidR="00FE32A6" w:rsidRPr="008A1DB4">
        <w:rPr>
          <w:spacing w:val="-2"/>
          <w:lang w:val="en-US"/>
        </w:rPr>
        <w:t xml:space="preserve"> </w:t>
      </w:r>
      <w:r w:rsidR="002B3582" w:rsidRPr="008A1DB4">
        <w:rPr>
          <w:spacing w:val="-2"/>
          <w:lang w:val="en-US"/>
        </w:rPr>
        <w:t>exists ordering that he not be extradited.</w:t>
      </w:r>
      <w:r w:rsidR="00FE32A6" w:rsidRPr="008A1DB4">
        <w:rPr>
          <w:spacing w:val="-2"/>
          <w:lang w:val="en-US"/>
        </w:rPr>
        <w:t>”</w:t>
      </w:r>
      <w:r w:rsidR="00FE32A6" w:rsidRPr="008A1DB4">
        <w:rPr>
          <w:rStyle w:val="FootnoteReference"/>
          <w:spacing w:val="-2"/>
          <w:lang w:val="en-US"/>
        </w:rPr>
        <w:footnoteReference w:id="152"/>
      </w:r>
      <w:bookmarkEnd w:id="590"/>
    </w:p>
    <w:p w14:paraId="7C03CB28" w14:textId="4E101380" w:rsidR="00FE32A6" w:rsidRPr="008A1DB4" w:rsidRDefault="00FE32A6" w:rsidP="00956E97">
      <w:pPr>
        <w:rPr>
          <w:spacing w:val="-2"/>
          <w:szCs w:val="20"/>
          <w:lang w:val="en-US"/>
        </w:rPr>
      </w:pPr>
    </w:p>
    <w:p w14:paraId="3895A81F" w14:textId="67A17394" w:rsidR="00FE32A6" w:rsidRPr="008A1DB4" w:rsidRDefault="00D003F8" w:rsidP="00956E97">
      <w:pPr>
        <w:pStyle w:val="PrrafodeSentencia"/>
        <w:rPr>
          <w:spacing w:val="-2"/>
          <w:lang w:val="en-US"/>
        </w:rPr>
      </w:pPr>
      <w:bookmarkStart w:id="591" w:name="_Ref429067059"/>
      <w:bookmarkStart w:id="592" w:name="_Ref401566512"/>
      <w:r w:rsidRPr="008A1DB4">
        <w:rPr>
          <w:spacing w:val="-2"/>
          <w:lang w:val="en-US"/>
        </w:rPr>
        <w:t>On</w:t>
      </w:r>
      <w:r w:rsidR="00FE32A6" w:rsidRPr="008A1DB4">
        <w:rPr>
          <w:spacing w:val="-2"/>
          <w:lang w:val="en-US"/>
        </w:rPr>
        <w:t xml:space="preserve"> </w:t>
      </w:r>
      <w:r w:rsidR="00BB336A" w:rsidRPr="008A1DB4">
        <w:rPr>
          <w:spacing w:val="-2"/>
          <w:lang w:val="en-US"/>
        </w:rPr>
        <w:t>December 1,</w:t>
      </w:r>
      <w:r w:rsidRPr="008A1DB4">
        <w:rPr>
          <w:spacing w:val="-2"/>
          <w:lang w:val="en-US"/>
        </w:rPr>
        <w:t xml:space="preserve"> 2011, </w:t>
      </w:r>
      <w:r w:rsidR="00C168D8" w:rsidRPr="008A1DB4">
        <w:rPr>
          <w:spacing w:val="-2"/>
          <w:lang w:val="en-US"/>
        </w:rPr>
        <w:t>the Seventh Criminal Court</w:t>
      </w:r>
      <w:r w:rsidR="00FE32A6" w:rsidRPr="008A1DB4">
        <w:rPr>
          <w:spacing w:val="-2"/>
          <w:lang w:val="en-US"/>
        </w:rPr>
        <w:t xml:space="preserve"> orde</w:t>
      </w:r>
      <w:r w:rsidR="002B3582" w:rsidRPr="008A1DB4">
        <w:rPr>
          <w:spacing w:val="-2"/>
          <w:lang w:val="en-US"/>
        </w:rPr>
        <w:t xml:space="preserve">red the return of the provisional arrest and extradition files </w:t>
      </w:r>
      <w:r w:rsidR="00FC5891" w:rsidRPr="008A1DB4">
        <w:rPr>
          <w:spacing w:val="-2"/>
          <w:lang w:val="en-US"/>
        </w:rPr>
        <w:t>to the Ministry of Justice</w:t>
      </w:r>
      <w:r w:rsidR="00FE32A6" w:rsidRPr="008A1DB4">
        <w:rPr>
          <w:spacing w:val="-2"/>
          <w:lang w:val="en-US"/>
        </w:rPr>
        <w:t>,</w:t>
      </w:r>
      <w:r w:rsidR="00F36400" w:rsidRPr="008A1DB4">
        <w:rPr>
          <w:spacing w:val="-2"/>
          <w:lang w:val="en-US"/>
        </w:rPr>
        <w:t xml:space="preserve"> and </w:t>
      </w:r>
      <w:r w:rsidR="002B3582" w:rsidRPr="008A1DB4">
        <w:rPr>
          <w:spacing w:val="-2"/>
          <w:lang w:val="en-US"/>
        </w:rPr>
        <w:t>denied the release request, because the final decision was still pending.</w:t>
      </w:r>
      <w:r w:rsidR="00FE32A6" w:rsidRPr="008A1DB4">
        <w:rPr>
          <w:rStyle w:val="FootnoteReference"/>
          <w:spacing w:val="-2"/>
          <w:lang w:val="en-US"/>
        </w:rPr>
        <w:footnoteReference w:id="153"/>
      </w:r>
      <w:bookmarkEnd w:id="591"/>
      <w:bookmarkEnd w:id="592"/>
    </w:p>
    <w:p w14:paraId="605F7351" w14:textId="77777777" w:rsidR="00FE32A6" w:rsidRPr="008A1DB4" w:rsidRDefault="00FE32A6" w:rsidP="00956E97">
      <w:pPr>
        <w:pStyle w:val="ListParagraph"/>
        <w:tabs>
          <w:tab w:val="left" w:pos="567"/>
        </w:tabs>
        <w:ind w:left="0"/>
        <w:rPr>
          <w:spacing w:val="-2"/>
          <w:szCs w:val="20"/>
          <w:lang w:val="en-US"/>
        </w:rPr>
      </w:pPr>
    </w:p>
    <w:p w14:paraId="48D7E442" w14:textId="3A8DAA8F" w:rsidR="00FE32A6" w:rsidRPr="008A1DB4" w:rsidRDefault="00D003F8" w:rsidP="00956E97">
      <w:pPr>
        <w:pStyle w:val="PrrafodeSentencia"/>
        <w:rPr>
          <w:spacing w:val="-2"/>
          <w:lang w:val="en-US"/>
        </w:rPr>
      </w:pPr>
      <w:bookmarkStart w:id="593" w:name="_Ref429065874"/>
      <w:r w:rsidRPr="008A1DB4">
        <w:rPr>
          <w:spacing w:val="-2"/>
          <w:lang w:val="en-US"/>
        </w:rPr>
        <w:t xml:space="preserve">At the same time, on </w:t>
      </w:r>
      <w:r w:rsidR="00A3310A" w:rsidRPr="008A1DB4">
        <w:rPr>
          <w:spacing w:val="-2"/>
          <w:lang w:val="en-US"/>
        </w:rPr>
        <w:t xml:space="preserve">November </w:t>
      </w:r>
      <w:r w:rsidRPr="008A1DB4">
        <w:rPr>
          <w:spacing w:val="-2"/>
          <w:lang w:val="en-US"/>
        </w:rPr>
        <w:t>1</w:t>
      </w:r>
      <w:r w:rsidR="00A3310A" w:rsidRPr="008A1DB4">
        <w:rPr>
          <w:spacing w:val="-2"/>
          <w:lang w:val="en-US"/>
        </w:rPr>
        <w:t>6,</w:t>
      </w:r>
      <w:r w:rsidR="00FE32A6" w:rsidRPr="008A1DB4">
        <w:rPr>
          <w:spacing w:val="-2"/>
          <w:lang w:val="en-US"/>
        </w:rPr>
        <w:t xml:space="preserve"> 2011</w:t>
      </w:r>
      <w:r w:rsidRPr="008A1DB4">
        <w:rPr>
          <w:spacing w:val="-2"/>
          <w:lang w:val="en-US"/>
        </w:rPr>
        <w:t>,</w:t>
      </w:r>
      <w:r w:rsidR="00FE32A6" w:rsidRPr="008A1DB4">
        <w:rPr>
          <w:spacing w:val="-2"/>
          <w:lang w:val="en-US"/>
        </w:rPr>
        <w:t xml:space="preserve"> </w:t>
      </w:r>
      <w:r w:rsidR="00C45946" w:rsidRPr="008A1DB4">
        <w:rPr>
          <w:spacing w:val="-2"/>
          <w:lang w:val="en-US"/>
        </w:rPr>
        <w:t>the representative</w:t>
      </w:r>
      <w:r w:rsidRPr="008A1DB4">
        <w:rPr>
          <w:spacing w:val="-2"/>
          <w:lang w:val="en-US"/>
        </w:rPr>
        <w:t xml:space="preserve"> </w:t>
      </w:r>
      <w:r w:rsidR="002B3582" w:rsidRPr="008A1DB4">
        <w:rPr>
          <w:spacing w:val="-2"/>
          <w:lang w:val="en-US"/>
        </w:rPr>
        <w:t xml:space="preserve">filed </w:t>
      </w:r>
      <w:r w:rsidR="00FE32A6" w:rsidRPr="008A1DB4">
        <w:rPr>
          <w:spacing w:val="-2"/>
          <w:lang w:val="en-US"/>
        </w:rPr>
        <w:t xml:space="preserve">a </w:t>
      </w:r>
      <w:r w:rsidRPr="008A1DB4">
        <w:rPr>
          <w:b/>
          <w:spacing w:val="-2"/>
          <w:lang w:val="en-US"/>
        </w:rPr>
        <w:t>fourth application for</w:t>
      </w:r>
      <w:r w:rsidR="00FE32A6" w:rsidRPr="008A1DB4">
        <w:rPr>
          <w:b/>
          <w:spacing w:val="-2"/>
          <w:lang w:val="en-US"/>
        </w:rPr>
        <w:t xml:space="preserve"> </w:t>
      </w:r>
      <w:r w:rsidR="00E022F9" w:rsidRPr="008A1DB4">
        <w:rPr>
          <w:b/>
          <w:i/>
          <w:spacing w:val="-2"/>
          <w:lang w:val="en-US"/>
        </w:rPr>
        <w:t>habeas corpus</w:t>
      </w:r>
      <w:r w:rsidR="00FE32A6" w:rsidRPr="008A1DB4">
        <w:rPr>
          <w:spacing w:val="-2"/>
          <w:lang w:val="en-US"/>
        </w:rPr>
        <w:t xml:space="preserve"> </w:t>
      </w:r>
      <w:r w:rsidR="002B3582" w:rsidRPr="008A1DB4">
        <w:rPr>
          <w:spacing w:val="-2"/>
          <w:lang w:val="en-US"/>
        </w:rPr>
        <w:t>against</w:t>
      </w:r>
      <w:r w:rsidR="00FE32A6" w:rsidRPr="008A1DB4">
        <w:rPr>
          <w:spacing w:val="-2"/>
          <w:lang w:val="en-US"/>
        </w:rPr>
        <w:t xml:space="preserve"> </w:t>
      </w:r>
      <w:r w:rsidR="002D1CFC" w:rsidRPr="008A1DB4">
        <w:rPr>
          <w:spacing w:val="-2"/>
          <w:lang w:val="en-US"/>
        </w:rPr>
        <w:t>the Ministry of Justice</w:t>
      </w:r>
      <w:r w:rsidR="00F36400" w:rsidRPr="008A1DB4">
        <w:rPr>
          <w:spacing w:val="-2"/>
          <w:lang w:val="en-US"/>
        </w:rPr>
        <w:t xml:space="preserve"> and </w:t>
      </w:r>
      <w:r w:rsidR="002B3582" w:rsidRPr="008A1DB4">
        <w:rPr>
          <w:spacing w:val="-2"/>
          <w:lang w:val="en-US"/>
        </w:rPr>
        <w:t>the judge</w:t>
      </w:r>
      <w:r w:rsidR="00FE32A6" w:rsidRPr="008A1DB4">
        <w:rPr>
          <w:spacing w:val="-2"/>
          <w:lang w:val="en-US"/>
        </w:rPr>
        <w:t xml:space="preserve"> </w:t>
      </w:r>
      <w:r w:rsidR="00C168D8" w:rsidRPr="008A1DB4">
        <w:rPr>
          <w:spacing w:val="-2"/>
          <w:lang w:val="en-US"/>
        </w:rPr>
        <w:t>of the Seventh Criminal Court</w:t>
      </w:r>
      <w:r w:rsidR="00F36400" w:rsidRPr="008A1DB4">
        <w:rPr>
          <w:spacing w:val="-2"/>
          <w:lang w:val="en-US"/>
        </w:rPr>
        <w:t xml:space="preserve"> of the Court</w:t>
      </w:r>
      <w:r w:rsidR="00FE32A6" w:rsidRPr="008A1DB4">
        <w:rPr>
          <w:spacing w:val="-2"/>
          <w:lang w:val="en-US"/>
        </w:rPr>
        <w:t xml:space="preserve"> Superior </w:t>
      </w:r>
      <w:r w:rsidR="00E25031" w:rsidRPr="008A1DB4">
        <w:rPr>
          <w:spacing w:val="-2"/>
          <w:lang w:val="en-US"/>
        </w:rPr>
        <w:t>of El</w:t>
      </w:r>
      <w:r w:rsidR="00FE32A6" w:rsidRPr="008A1DB4">
        <w:rPr>
          <w:spacing w:val="-2"/>
          <w:lang w:val="en-US"/>
        </w:rPr>
        <w:t xml:space="preserve"> Callao </w:t>
      </w:r>
      <w:r w:rsidR="00E25031" w:rsidRPr="008A1DB4">
        <w:rPr>
          <w:spacing w:val="-2"/>
          <w:lang w:val="en-US"/>
        </w:rPr>
        <w:t xml:space="preserve">based on the initial forwarding of the file of the provisional arrest </w:t>
      </w:r>
      <w:r w:rsidR="00FC5891" w:rsidRPr="008A1DB4">
        <w:rPr>
          <w:spacing w:val="-2"/>
          <w:lang w:val="en-US"/>
        </w:rPr>
        <w:t>to the Ministry of Justice</w:t>
      </w:r>
      <w:r w:rsidR="00F36400" w:rsidRPr="008A1DB4">
        <w:rPr>
          <w:spacing w:val="-2"/>
          <w:lang w:val="en-US"/>
        </w:rPr>
        <w:t xml:space="preserve"> and </w:t>
      </w:r>
      <w:r w:rsidR="00E25031" w:rsidRPr="008A1DB4">
        <w:rPr>
          <w:spacing w:val="-2"/>
          <w:lang w:val="en-US"/>
        </w:rPr>
        <w:t>the subsequent failure to forward it to the court.</w:t>
      </w:r>
      <w:r w:rsidR="00FE32A6" w:rsidRPr="008A1DB4">
        <w:rPr>
          <w:rStyle w:val="FootnoteReference"/>
          <w:spacing w:val="-2"/>
          <w:lang w:val="en-US"/>
        </w:rPr>
        <w:footnoteReference w:id="154"/>
      </w:r>
      <w:r w:rsidR="00FE32A6" w:rsidRPr="008A1DB4">
        <w:rPr>
          <w:spacing w:val="-2"/>
          <w:lang w:val="en-US"/>
        </w:rPr>
        <w:t xml:space="preserve"> </w:t>
      </w:r>
      <w:r w:rsidRPr="008A1DB4">
        <w:rPr>
          <w:spacing w:val="-2"/>
          <w:lang w:val="en-US"/>
        </w:rPr>
        <w:t>On May 30,</w:t>
      </w:r>
      <w:r w:rsidR="00FE32A6" w:rsidRPr="008A1DB4">
        <w:rPr>
          <w:spacing w:val="-2"/>
          <w:lang w:val="en-US"/>
        </w:rPr>
        <w:t xml:space="preserve"> 2012</w:t>
      </w:r>
      <w:r w:rsidRPr="008A1DB4">
        <w:rPr>
          <w:spacing w:val="-2"/>
          <w:lang w:val="en-US"/>
        </w:rPr>
        <w:t>,</w:t>
      </w:r>
      <w:r w:rsidR="00E25031" w:rsidRPr="008A1DB4">
        <w:rPr>
          <w:spacing w:val="-2"/>
          <w:lang w:val="en-US"/>
        </w:rPr>
        <w:t xml:space="preserve"> the application for </w:t>
      </w:r>
      <w:r w:rsidR="00E022F9" w:rsidRPr="008A1DB4">
        <w:rPr>
          <w:i/>
          <w:spacing w:val="-2"/>
          <w:lang w:val="en-US"/>
        </w:rPr>
        <w:t>habeas corpus</w:t>
      </w:r>
      <w:r w:rsidR="00FE32A6" w:rsidRPr="008A1DB4">
        <w:rPr>
          <w:spacing w:val="-2"/>
          <w:lang w:val="en-US"/>
        </w:rPr>
        <w:t xml:space="preserve"> </w:t>
      </w:r>
      <w:r w:rsidR="00E25031" w:rsidRPr="008A1DB4">
        <w:rPr>
          <w:spacing w:val="-2"/>
          <w:lang w:val="en-US"/>
        </w:rPr>
        <w:t>was declared inadmissible, because it was not possible to observe “any harm to the constitutional right</w:t>
      </w:r>
      <w:r w:rsidR="00C37341">
        <w:rPr>
          <w:spacing w:val="-2"/>
          <w:lang w:val="en-US"/>
        </w:rPr>
        <w:t>s</w:t>
      </w:r>
      <w:r w:rsidR="00E25031" w:rsidRPr="008A1DB4">
        <w:rPr>
          <w:spacing w:val="-2"/>
          <w:lang w:val="en-US"/>
        </w:rPr>
        <w:t xml:space="preserve"> of the beneficiary.</w:t>
      </w:r>
      <w:r w:rsidR="00FE32A6" w:rsidRPr="008A1DB4">
        <w:rPr>
          <w:spacing w:val="-2"/>
          <w:lang w:val="en-US"/>
        </w:rPr>
        <w:t>”</w:t>
      </w:r>
      <w:r w:rsidR="00FE32A6" w:rsidRPr="008A1DB4">
        <w:rPr>
          <w:rStyle w:val="FootnoteReference"/>
          <w:spacing w:val="-2"/>
          <w:lang w:val="en-US"/>
        </w:rPr>
        <w:footnoteReference w:id="155"/>
      </w:r>
      <w:bookmarkEnd w:id="593"/>
    </w:p>
    <w:p w14:paraId="1D5C9F28" w14:textId="77777777" w:rsidR="00FE32A6" w:rsidRPr="008A1DB4" w:rsidRDefault="00FE32A6" w:rsidP="00956E97">
      <w:pPr>
        <w:pStyle w:val="ListParagraph"/>
        <w:tabs>
          <w:tab w:val="left" w:pos="567"/>
        </w:tabs>
        <w:ind w:left="0"/>
        <w:rPr>
          <w:spacing w:val="-2"/>
          <w:lang w:val="en-US"/>
        </w:rPr>
      </w:pPr>
    </w:p>
    <w:p w14:paraId="05527995" w14:textId="19644ECF" w:rsidR="00FE32A6" w:rsidRPr="008A1DB4" w:rsidRDefault="00D003F8" w:rsidP="00956E97">
      <w:pPr>
        <w:pStyle w:val="PrrafodeSentencia"/>
        <w:rPr>
          <w:spacing w:val="-2"/>
          <w:lang w:val="en-US"/>
        </w:rPr>
      </w:pPr>
      <w:bookmarkStart w:id="594" w:name="_Ref429065925"/>
      <w:r w:rsidRPr="008A1DB4">
        <w:rPr>
          <w:spacing w:val="-2"/>
          <w:lang w:val="en-US"/>
        </w:rPr>
        <w:t xml:space="preserve">On </w:t>
      </w:r>
      <w:r w:rsidR="00D72E3B" w:rsidRPr="008A1DB4">
        <w:rPr>
          <w:spacing w:val="-2"/>
          <w:lang w:val="en-US"/>
        </w:rPr>
        <w:t>April 26,</w:t>
      </w:r>
      <w:r w:rsidR="00FE32A6" w:rsidRPr="008A1DB4">
        <w:rPr>
          <w:spacing w:val="-2"/>
          <w:lang w:val="en-US"/>
        </w:rPr>
        <w:t xml:space="preserve"> 2013</w:t>
      </w:r>
      <w:r w:rsidR="00E25031" w:rsidRPr="008A1DB4">
        <w:rPr>
          <w:spacing w:val="-2"/>
          <w:lang w:val="en-US"/>
        </w:rPr>
        <w:t>,</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E25031" w:rsidRPr="008A1DB4">
        <w:rPr>
          <w:spacing w:val="-2"/>
          <w:lang w:val="en-US"/>
        </w:rPr>
        <w:t>filed a</w:t>
      </w:r>
      <w:r w:rsidR="00FE32A6" w:rsidRPr="008A1DB4">
        <w:rPr>
          <w:spacing w:val="-2"/>
          <w:lang w:val="en-US"/>
        </w:rPr>
        <w:t xml:space="preserve"> </w:t>
      </w:r>
      <w:r w:rsidR="00FE32A6" w:rsidRPr="008A1DB4">
        <w:rPr>
          <w:b/>
          <w:spacing w:val="-2"/>
          <w:lang w:val="en-US"/>
        </w:rPr>
        <w:t>s</w:t>
      </w:r>
      <w:r w:rsidR="00E25031" w:rsidRPr="008A1DB4">
        <w:rPr>
          <w:b/>
          <w:spacing w:val="-2"/>
          <w:lang w:val="en-US"/>
        </w:rPr>
        <w:t xml:space="preserve">ixth application for </w:t>
      </w:r>
      <w:r w:rsidR="00E022F9" w:rsidRPr="008A1DB4">
        <w:rPr>
          <w:b/>
          <w:i/>
          <w:spacing w:val="-2"/>
          <w:lang w:val="en-US"/>
        </w:rPr>
        <w:t>habeas corpus</w:t>
      </w:r>
      <w:r w:rsidR="00FE32A6" w:rsidRPr="008A1DB4">
        <w:rPr>
          <w:spacing w:val="-2"/>
          <w:lang w:val="en-US"/>
        </w:rPr>
        <w:t xml:space="preserve"> “</w:t>
      </w:r>
      <w:r w:rsidR="00E25031" w:rsidRPr="008A1DB4">
        <w:rPr>
          <w:spacing w:val="-2"/>
          <w:lang w:val="en-US"/>
        </w:rPr>
        <w:t>asking [that] the immediate release of [Wong Ho Wing] without any restriction be ordered.</w:t>
      </w:r>
      <w:r w:rsidR="00FE32A6" w:rsidRPr="008A1DB4">
        <w:rPr>
          <w:spacing w:val="-2"/>
          <w:lang w:val="en-US"/>
        </w:rPr>
        <w:t>”</w:t>
      </w:r>
      <w:r w:rsidR="00FE32A6" w:rsidRPr="008A1DB4">
        <w:rPr>
          <w:rStyle w:val="FootnoteReference"/>
          <w:spacing w:val="-2"/>
          <w:lang w:val="en-US"/>
        </w:rPr>
        <w:footnoteReference w:id="156"/>
      </w:r>
      <w:r w:rsidR="00FE32A6" w:rsidRPr="008A1DB4">
        <w:rPr>
          <w:spacing w:val="-2"/>
          <w:lang w:val="en-US"/>
        </w:rPr>
        <w:t xml:space="preserve"> </w:t>
      </w:r>
      <w:r w:rsidRPr="008A1DB4">
        <w:rPr>
          <w:spacing w:val="-2"/>
          <w:lang w:val="en-US"/>
        </w:rPr>
        <w:t>On October 24,</w:t>
      </w:r>
      <w:r w:rsidR="00FE32A6" w:rsidRPr="008A1DB4">
        <w:rPr>
          <w:spacing w:val="-2"/>
          <w:lang w:val="en-US"/>
        </w:rPr>
        <w:t xml:space="preserve"> 2014</w:t>
      </w:r>
      <w:r w:rsidR="00E25031" w:rsidRPr="008A1DB4">
        <w:rPr>
          <w:spacing w:val="-2"/>
          <w:lang w:val="en-US"/>
        </w:rPr>
        <w:t xml:space="preserve">, the corresponding court considered the application inadmissible, taking into account that the deprivation of liberty had already been changed to house arrest, and also that “the </w:t>
      </w:r>
      <w:r w:rsidR="00A33F97" w:rsidRPr="008A1DB4">
        <w:rPr>
          <w:spacing w:val="-2"/>
          <w:lang w:val="en-US"/>
        </w:rPr>
        <w:t>decision</w:t>
      </w:r>
      <w:r w:rsidR="00E25031" w:rsidRPr="008A1DB4">
        <w:rPr>
          <w:spacing w:val="-2"/>
          <w:lang w:val="en-US"/>
        </w:rPr>
        <w:t xml:space="preserve"> to release the beneficiary is currently before [the </w:t>
      </w:r>
      <w:r w:rsidR="00F36400" w:rsidRPr="008A1DB4">
        <w:rPr>
          <w:spacing w:val="-2"/>
          <w:lang w:val="en-US"/>
        </w:rPr>
        <w:t>Inter-American Court</w:t>
      </w:r>
      <w:r w:rsidR="00FE32A6" w:rsidRPr="008A1DB4">
        <w:rPr>
          <w:spacing w:val="-2"/>
          <w:lang w:val="en-US"/>
        </w:rPr>
        <w:t xml:space="preserve">, </w:t>
      </w:r>
      <w:r w:rsidR="00ED73A2" w:rsidRPr="008A1DB4">
        <w:rPr>
          <w:spacing w:val="-2"/>
          <w:lang w:val="en-US"/>
        </w:rPr>
        <w:t xml:space="preserve">so that </w:t>
      </w:r>
      <w:proofErr w:type="spellStart"/>
      <w:r w:rsidR="00ED73A2" w:rsidRPr="008A1DB4">
        <w:rPr>
          <w:i/>
          <w:spacing w:val="-2"/>
          <w:lang w:val="en-US"/>
        </w:rPr>
        <w:t>lis</w:t>
      </w:r>
      <w:proofErr w:type="spellEnd"/>
      <w:r w:rsidR="00ED73A2" w:rsidRPr="008A1DB4">
        <w:rPr>
          <w:i/>
          <w:spacing w:val="-2"/>
          <w:lang w:val="en-US"/>
        </w:rPr>
        <w:t xml:space="preserve"> </w:t>
      </w:r>
      <w:proofErr w:type="spellStart"/>
      <w:r w:rsidR="00ED73A2" w:rsidRPr="008A1DB4">
        <w:rPr>
          <w:i/>
          <w:spacing w:val="-2"/>
          <w:lang w:val="en-US"/>
        </w:rPr>
        <w:t>pendens</w:t>
      </w:r>
      <w:proofErr w:type="spellEnd"/>
      <w:r w:rsidR="00ED73A2" w:rsidRPr="008A1DB4">
        <w:rPr>
          <w:spacing w:val="-2"/>
          <w:lang w:val="en-US"/>
        </w:rPr>
        <w:t xml:space="preserve"> applies].</w:t>
      </w:r>
      <w:r w:rsidR="00FE32A6" w:rsidRPr="008A1DB4">
        <w:rPr>
          <w:spacing w:val="-2"/>
          <w:lang w:val="en-US"/>
        </w:rPr>
        <w:t>”</w:t>
      </w:r>
      <w:r w:rsidR="00FE32A6" w:rsidRPr="008A1DB4">
        <w:rPr>
          <w:rStyle w:val="FootnoteReference"/>
          <w:spacing w:val="-2"/>
          <w:lang w:val="en-US"/>
        </w:rPr>
        <w:footnoteReference w:id="157"/>
      </w:r>
      <w:bookmarkEnd w:id="594"/>
    </w:p>
    <w:p w14:paraId="480EF782" w14:textId="77777777" w:rsidR="00FE32A6" w:rsidRPr="008A1DB4" w:rsidRDefault="00FE32A6" w:rsidP="00956E97">
      <w:pPr>
        <w:pStyle w:val="ListParagraph"/>
        <w:tabs>
          <w:tab w:val="left" w:pos="567"/>
        </w:tabs>
        <w:ind w:left="0"/>
        <w:rPr>
          <w:spacing w:val="-2"/>
          <w:lang w:val="en-US"/>
        </w:rPr>
      </w:pPr>
    </w:p>
    <w:p w14:paraId="013A20C7" w14:textId="7D270C41" w:rsidR="00FE32A6" w:rsidRPr="008A1DB4" w:rsidRDefault="00D003F8" w:rsidP="00956E97">
      <w:pPr>
        <w:pStyle w:val="PrrafodeSentencia"/>
        <w:rPr>
          <w:spacing w:val="-2"/>
          <w:lang w:val="en-US"/>
        </w:rPr>
      </w:pPr>
      <w:bookmarkStart w:id="595" w:name="_Ref429663133"/>
      <w:r w:rsidRPr="008A1DB4">
        <w:rPr>
          <w:spacing w:val="-2"/>
          <w:lang w:val="en-US"/>
        </w:rPr>
        <w:t>On November 20,</w:t>
      </w:r>
      <w:r w:rsidR="00FE32A6" w:rsidRPr="008A1DB4">
        <w:rPr>
          <w:spacing w:val="-2"/>
          <w:lang w:val="en-US"/>
        </w:rPr>
        <w:t xml:space="preserve"> 2013</w:t>
      </w:r>
      <w:r w:rsidRPr="008A1DB4">
        <w:rPr>
          <w:spacing w:val="-2"/>
          <w:lang w:val="en-US"/>
        </w:rPr>
        <w:t>,</w:t>
      </w:r>
      <w:r w:rsidR="00FE32A6" w:rsidRPr="008A1DB4">
        <w:rPr>
          <w:spacing w:val="-2"/>
          <w:lang w:val="en-US"/>
        </w:rPr>
        <w:t xml:space="preserve"> </w:t>
      </w:r>
      <w:r w:rsidR="001E7113" w:rsidRPr="008A1DB4">
        <w:rPr>
          <w:spacing w:val="-2"/>
          <w:lang w:val="en-US"/>
        </w:rPr>
        <w:t>Wong</w:t>
      </w:r>
      <w:r w:rsidR="00FE32A6" w:rsidRPr="008A1DB4">
        <w:rPr>
          <w:spacing w:val="-2"/>
          <w:lang w:val="en-US"/>
        </w:rPr>
        <w:t xml:space="preserve"> Ho Wing </w:t>
      </w:r>
      <w:r w:rsidR="00ED73A2" w:rsidRPr="008A1DB4">
        <w:rPr>
          <w:spacing w:val="-2"/>
          <w:lang w:val="en-US"/>
        </w:rPr>
        <w:t>requested a change in the provisional arrest.</w:t>
      </w:r>
      <w:r w:rsidR="00FE32A6" w:rsidRPr="008A1DB4">
        <w:rPr>
          <w:rStyle w:val="FootnoteReference"/>
          <w:spacing w:val="-2"/>
          <w:lang w:val="en-US"/>
        </w:rPr>
        <w:footnoteReference w:id="158"/>
      </w:r>
      <w:bookmarkEnd w:id="595"/>
    </w:p>
    <w:p w14:paraId="2E083102" w14:textId="77777777" w:rsidR="00FE32A6" w:rsidRPr="008A1DB4" w:rsidRDefault="00FE32A6" w:rsidP="00956E97">
      <w:pPr>
        <w:pStyle w:val="ListParagraph"/>
        <w:tabs>
          <w:tab w:val="left" w:pos="567"/>
        </w:tabs>
        <w:ind w:left="0"/>
        <w:rPr>
          <w:spacing w:val="-2"/>
          <w:lang w:val="en-US"/>
        </w:rPr>
      </w:pPr>
    </w:p>
    <w:p w14:paraId="0B4CF4D8" w14:textId="67D4F508" w:rsidR="00FE32A6" w:rsidRPr="008A1DB4" w:rsidRDefault="00D003F8" w:rsidP="00ED73A2">
      <w:pPr>
        <w:pStyle w:val="PrrafodeSentencia"/>
        <w:rPr>
          <w:spacing w:val="-2"/>
          <w:lang w:val="en-US"/>
        </w:rPr>
      </w:pPr>
      <w:r w:rsidRPr="008A1DB4">
        <w:rPr>
          <w:spacing w:val="-2"/>
          <w:lang w:val="en-US"/>
        </w:rPr>
        <w:t>On January 24,</w:t>
      </w:r>
      <w:r w:rsidR="00FE32A6" w:rsidRPr="008A1DB4">
        <w:rPr>
          <w:spacing w:val="-2"/>
          <w:lang w:val="en-US"/>
        </w:rPr>
        <w:t xml:space="preserve"> 2014</w:t>
      </w:r>
      <w:r w:rsidRPr="008A1DB4">
        <w:rPr>
          <w:spacing w:val="-2"/>
          <w:lang w:val="en-US"/>
        </w:rPr>
        <w:t>,</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ED73A2" w:rsidRPr="008A1DB4">
        <w:rPr>
          <w:spacing w:val="-2"/>
          <w:lang w:val="en-US"/>
        </w:rPr>
        <w:t xml:space="preserve">filed a brief before </w:t>
      </w:r>
      <w:r w:rsidR="00F36400" w:rsidRPr="008A1DB4">
        <w:rPr>
          <w:spacing w:val="-2"/>
          <w:lang w:val="en-US"/>
        </w:rPr>
        <w:t xml:space="preserve">the </w:t>
      </w:r>
      <w:r w:rsidR="00B43F84" w:rsidRPr="008A1DB4">
        <w:rPr>
          <w:spacing w:val="-2"/>
          <w:lang w:val="en-US"/>
        </w:rPr>
        <w:t>Constitutional Court</w:t>
      </w:r>
      <w:r w:rsidR="00FE32A6" w:rsidRPr="008A1DB4">
        <w:rPr>
          <w:spacing w:val="-2"/>
          <w:lang w:val="en-US"/>
        </w:rPr>
        <w:t xml:space="preserve"> </w:t>
      </w:r>
      <w:r w:rsidR="00ED73A2" w:rsidRPr="008A1DB4">
        <w:rPr>
          <w:spacing w:val="-2"/>
          <w:lang w:val="en-US"/>
        </w:rPr>
        <w:t>requesting that it “make the necessary requests to the corresponding authorities so that they archive the extradition process in Peru against Wong Ho Wing and order his immediate release, with the return of his passport and other personal document</w:t>
      </w:r>
      <w:r w:rsidRPr="008A1DB4">
        <w:rPr>
          <w:spacing w:val="-2"/>
          <w:lang w:val="en-US"/>
        </w:rPr>
        <w:t>.</w:t>
      </w:r>
      <w:r w:rsidR="00FE32A6" w:rsidRPr="008A1DB4">
        <w:rPr>
          <w:spacing w:val="-2"/>
          <w:lang w:val="en-US"/>
        </w:rPr>
        <w:t>”</w:t>
      </w:r>
      <w:r w:rsidR="00FE32A6" w:rsidRPr="008A1DB4">
        <w:rPr>
          <w:rStyle w:val="FootnoteReference"/>
          <w:spacing w:val="-2"/>
          <w:lang w:val="en-US"/>
        </w:rPr>
        <w:footnoteReference w:id="159"/>
      </w:r>
      <w:r w:rsidRPr="008A1DB4">
        <w:rPr>
          <w:spacing w:val="-2"/>
          <w:lang w:val="en-US"/>
        </w:rPr>
        <w:t xml:space="preserve"> On</w:t>
      </w:r>
      <w:r w:rsidR="00FE32A6" w:rsidRPr="008A1DB4">
        <w:rPr>
          <w:spacing w:val="-2"/>
          <w:lang w:val="en-US"/>
        </w:rPr>
        <w:t xml:space="preserve"> </w:t>
      </w:r>
      <w:r w:rsidR="00671326" w:rsidRPr="008A1DB4">
        <w:rPr>
          <w:spacing w:val="-2"/>
          <w:lang w:val="en-US"/>
        </w:rPr>
        <w:t>January 27,</w:t>
      </w:r>
      <w:r w:rsidR="00FE32A6" w:rsidRPr="008A1DB4">
        <w:rPr>
          <w:spacing w:val="-2"/>
          <w:lang w:val="en-US"/>
        </w:rPr>
        <w:t xml:space="preserve"> 2014</w:t>
      </w:r>
      <w:r w:rsidRPr="008A1DB4">
        <w:rPr>
          <w:spacing w:val="-2"/>
          <w:lang w:val="en-US"/>
        </w:rPr>
        <w:t>,</w:t>
      </w:r>
      <w:r w:rsidR="00FE32A6" w:rsidRPr="008A1DB4">
        <w:rPr>
          <w:spacing w:val="-2"/>
          <w:lang w:val="en-US"/>
        </w:rPr>
        <w:t xml:space="preserve"> </w:t>
      </w:r>
      <w:r w:rsidR="00ED73A2" w:rsidRPr="008A1DB4">
        <w:rPr>
          <w:spacing w:val="-2"/>
          <w:lang w:val="en-US"/>
        </w:rPr>
        <w:t>an order was issued to return the brief “to the appellant so that, if appropriate, he can defend it before the corresponding court.</w:t>
      </w:r>
      <w:r w:rsidR="00FE32A6" w:rsidRPr="008A1DB4">
        <w:rPr>
          <w:spacing w:val="-2"/>
          <w:lang w:val="en-US"/>
        </w:rPr>
        <w:t>”</w:t>
      </w:r>
      <w:r w:rsidR="00FE32A6" w:rsidRPr="008A1DB4">
        <w:rPr>
          <w:rStyle w:val="FootnoteReference"/>
          <w:spacing w:val="-2"/>
          <w:lang w:val="en-US"/>
        </w:rPr>
        <w:footnoteReference w:id="160"/>
      </w:r>
    </w:p>
    <w:p w14:paraId="2259BCA7" w14:textId="77777777" w:rsidR="00FE32A6" w:rsidRPr="008A1DB4" w:rsidRDefault="00FE32A6" w:rsidP="00956E97">
      <w:pPr>
        <w:rPr>
          <w:spacing w:val="-2"/>
          <w:lang w:val="en-US"/>
        </w:rPr>
      </w:pPr>
    </w:p>
    <w:p w14:paraId="67A71B02" w14:textId="677F7982" w:rsidR="00FE32A6" w:rsidRPr="008A1DB4" w:rsidRDefault="00D003F8" w:rsidP="00ED73A2">
      <w:pPr>
        <w:pStyle w:val="PrrafodeSentencia"/>
        <w:rPr>
          <w:spacing w:val="-2"/>
          <w:lang w:val="en-US"/>
        </w:rPr>
      </w:pPr>
      <w:bookmarkStart w:id="596" w:name="_Ref428981612"/>
      <w:r w:rsidRPr="008A1DB4">
        <w:rPr>
          <w:spacing w:val="-2"/>
          <w:lang w:val="en-US"/>
        </w:rPr>
        <w:lastRenderedPageBreak/>
        <w:t>On March 10,</w:t>
      </w:r>
      <w:r w:rsidR="00FE32A6" w:rsidRPr="008A1DB4">
        <w:rPr>
          <w:spacing w:val="-2"/>
          <w:lang w:val="en-US"/>
        </w:rPr>
        <w:t xml:space="preserve"> 2014</w:t>
      </w:r>
      <w:r w:rsidR="00ED73A2" w:rsidRPr="008A1DB4">
        <w:rPr>
          <w:spacing w:val="-2"/>
          <w:lang w:val="en-US"/>
        </w:rPr>
        <w:t>,</w:t>
      </w:r>
      <w:r w:rsidR="00FE32A6" w:rsidRPr="008A1DB4">
        <w:rPr>
          <w:spacing w:val="-2"/>
          <w:lang w:val="en-US"/>
        </w:rPr>
        <w:t xml:space="preserve"> </w:t>
      </w:r>
      <w:r w:rsidR="00C168D8" w:rsidRPr="008A1DB4">
        <w:rPr>
          <w:spacing w:val="-2"/>
          <w:lang w:val="en-US"/>
        </w:rPr>
        <w:t>the Seventh Criminal Court</w:t>
      </w:r>
      <w:r w:rsidR="00FE32A6" w:rsidRPr="008A1DB4">
        <w:rPr>
          <w:spacing w:val="-2"/>
          <w:lang w:val="en-US"/>
        </w:rPr>
        <w:t xml:space="preserve"> </w:t>
      </w:r>
      <w:r w:rsidR="00ED73A2" w:rsidRPr="008A1DB4">
        <w:rPr>
          <w:spacing w:val="-2"/>
          <w:lang w:val="en-US"/>
        </w:rPr>
        <w:t xml:space="preserve">decided the request to change the provisional arrest in </w:t>
      </w:r>
      <w:r w:rsidR="00FE32A6" w:rsidRPr="008A1DB4">
        <w:rPr>
          <w:spacing w:val="-2"/>
          <w:lang w:val="en-US"/>
        </w:rPr>
        <w:t xml:space="preserve">favor </w:t>
      </w:r>
      <w:r w:rsidR="00B43F84" w:rsidRPr="008A1DB4">
        <w:rPr>
          <w:spacing w:val="-2"/>
          <w:lang w:val="en-US"/>
        </w:rPr>
        <w:t>of Wong</w:t>
      </w:r>
      <w:r w:rsidR="00FE32A6" w:rsidRPr="008A1DB4">
        <w:rPr>
          <w:spacing w:val="-2"/>
          <w:lang w:val="en-US"/>
        </w:rPr>
        <w:t xml:space="preserve"> Ho Wing </w:t>
      </w:r>
      <w:r w:rsidR="00262E0E" w:rsidRPr="008A1DB4">
        <w:rPr>
          <w:spacing w:val="-2"/>
          <w:lang w:val="en-US"/>
        </w:rPr>
        <w:t>(</w:t>
      </w:r>
      <w:r w:rsidR="00262E0E" w:rsidRPr="008A1DB4">
        <w:rPr>
          <w:i/>
          <w:spacing w:val="-2"/>
          <w:lang w:val="en-US"/>
        </w:rPr>
        <w:t>supra</w:t>
      </w:r>
      <w:r w:rsidR="00262E0E" w:rsidRPr="008A1DB4">
        <w:rPr>
          <w:spacing w:val="-2"/>
          <w:lang w:val="en-US"/>
        </w:rPr>
        <w:t xml:space="preserve"> </w:t>
      </w:r>
      <w:r w:rsidR="00C45946" w:rsidRPr="008A1DB4">
        <w:rPr>
          <w:spacing w:val="-2"/>
          <w:lang w:val="en-US"/>
        </w:rPr>
        <w:t xml:space="preserve">para. </w:t>
      </w:r>
      <w:r w:rsidR="00262E0E" w:rsidRPr="008A1DB4">
        <w:rPr>
          <w:spacing w:val="-2"/>
          <w:lang w:val="en-US"/>
        </w:rPr>
        <w:fldChar w:fldCharType="begin"/>
      </w:r>
      <w:r w:rsidR="00262E0E" w:rsidRPr="008A1DB4">
        <w:rPr>
          <w:spacing w:val="-2"/>
          <w:lang w:val="en-US"/>
        </w:rPr>
        <w:instrText xml:space="preserve"> REF _Ref429663133 \r \h </w:instrText>
      </w:r>
      <w:r w:rsidR="00DC41F4" w:rsidRPr="008A1DB4">
        <w:rPr>
          <w:spacing w:val="-2"/>
          <w:lang w:val="en-US"/>
        </w:rPr>
        <w:instrText xml:space="preserve"> \* MERGEFORMAT </w:instrText>
      </w:r>
      <w:r w:rsidR="00262E0E" w:rsidRPr="008A1DB4">
        <w:rPr>
          <w:spacing w:val="-2"/>
          <w:lang w:val="en-US"/>
        </w:rPr>
      </w:r>
      <w:r w:rsidR="00262E0E" w:rsidRPr="008A1DB4">
        <w:rPr>
          <w:spacing w:val="-2"/>
          <w:lang w:val="en-US"/>
        </w:rPr>
        <w:fldChar w:fldCharType="separate"/>
      </w:r>
      <w:r w:rsidR="00E961FA" w:rsidRPr="008A1DB4">
        <w:rPr>
          <w:spacing w:val="-2"/>
          <w:lang w:val="en-US"/>
        </w:rPr>
        <w:t>110</w:t>
      </w:r>
      <w:r w:rsidR="00262E0E" w:rsidRPr="008A1DB4">
        <w:rPr>
          <w:spacing w:val="-2"/>
          <w:lang w:val="en-US"/>
        </w:rPr>
        <w:fldChar w:fldCharType="end"/>
      </w:r>
      <w:r w:rsidR="00262E0E" w:rsidRPr="008A1DB4">
        <w:rPr>
          <w:spacing w:val="-2"/>
          <w:lang w:val="en-US"/>
        </w:rPr>
        <w:t xml:space="preserve">), </w:t>
      </w:r>
      <w:r w:rsidR="00ED73A2" w:rsidRPr="008A1DB4">
        <w:rPr>
          <w:spacing w:val="-2"/>
          <w:lang w:val="en-US"/>
        </w:rPr>
        <w:t xml:space="preserve">indicating that “the failure to establish a time </w:t>
      </w:r>
      <w:r w:rsidR="003D2FF4">
        <w:rPr>
          <w:spacing w:val="-2"/>
          <w:lang w:val="en-US"/>
        </w:rPr>
        <w:t xml:space="preserve">limit </w:t>
      </w:r>
      <w:r w:rsidR="00ED73A2" w:rsidRPr="008A1DB4">
        <w:rPr>
          <w:spacing w:val="-2"/>
          <w:lang w:val="en-US"/>
        </w:rPr>
        <w:t xml:space="preserve">for a provisional arrest </w:t>
      </w:r>
      <w:r w:rsidR="006B70BB">
        <w:rPr>
          <w:spacing w:val="-2"/>
          <w:lang w:val="en-US"/>
        </w:rPr>
        <w:t>with a view to</w:t>
      </w:r>
      <w:r w:rsidR="006B70BB" w:rsidRPr="008A1DB4">
        <w:rPr>
          <w:spacing w:val="-2"/>
          <w:lang w:val="en-US"/>
        </w:rPr>
        <w:t xml:space="preserve"> </w:t>
      </w:r>
      <w:r w:rsidR="00ED73A2" w:rsidRPr="008A1DB4">
        <w:rPr>
          <w:spacing w:val="-2"/>
          <w:lang w:val="en-US"/>
        </w:rPr>
        <w:t xml:space="preserve">extradition is incompatible with the principle of predictability and is also contrary to </w:t>
      </w:r>
      <w:r w:rsidR="00F36400" w:rsidRPr="008A1DB4">
        <w:rPr>
          <w:spacing w:val="-2"/>
          <w:lang w:val="en-US"/>
        </w:rPr>
        <w:t>Article</w:t>
      </w:r>
      <w:r w:rsidRPr="008A1DB4">
        <w:rPr>
          <w:spacing w:val="-2"/>
          <w:lang w:val="en-US"/>
        </w:rPr>
        <w:t xml:space="preserve"> 7(</w:t>
      </w:r>
      <w:r w:rsidR="00FE32A6" w:rsidRPr="008A1DB4">
        <w:rPr>
          <w:spacing w:val="-2"/>
          <w:lang w:val="en-US"/>
        </w:rPr>
        <w:t>5</w:t>
      </w:r>
      <w:r w:rsidRPr="008A1DB4">
        <w:rPr>
          <w:spacing w:val="-2"/>
          <w:lang w:val="en-US"/>
        </w:rPr>
        <w:t>)</w:t>
      </w:r>
      <w:r w:rsidR="00F36400" w:rsidRPr="008A1DB4">
        <w:rPr>
          <w:spacing w:val="-2"/>
          <w:lang w:val="en-US"/>
        </w:rPr>
        <w:t xml:space="preserve"> of the American Convention</w:t>
      </w:r>
      <w:r w:rsidR="00ED73A2" w:rsidRPr="008A1DB4">
        <w:rPr>
          <w:spacing w:val="-2"/>
          <w:lang w:val="en-US"/>
        </w:rPr>
        <w:t>.</w:t>
      </w:r>
      <w:r w:rsidR="00FE32A6" w:rsidRPr="008A1DB4">
        <w:rPr>
          <w:spacing w:val="-2"/>
          <w:lang w:val="en-US"/>
        </w:rPr>
        <w:t>”</w:t>
      </w:r>
      <w:r w:rsidR="00FE32A6" w:rsidRPr="008A1DB4">
        <w:rPr>
          <w:rStyle w:val="FootnoteReference"/>
          <w:spacing w:val="-2"/>
          <w:lang w:val="en-US"/>
        </w:rPr>
        <w:footnoteReference w:id="161"/>
      </w:r>
      <w:r w:rsidR="00ED73A2" w:rsidRPr="008A1DB4">
        <w:rPr>
          <w:spacing w:val="-2"/>
          <w:lang w:val="en-US"/>
        </w:rPr>
        <w:t xml:space="preserve"> Furthermore, it indicated that:</w:t>
      </w:r>
      <w:bookmarkEnd w:id="596"/>
    </w:p>
    <w:p w14:paraId="10C41719" w14:textId="77777777" w:rsidR="00FE32A6" w:rsidRPr="008A1DB4" w:rsidRDefault="00FE32A6" w:rsidP="00956E97">
      <w:pPr>
        <w:pStyle w:val="ListParagraph"/>
        <w:rPr>
          <w:spacing w:val="-2"/>
          <w:lang w:val="en-US"/>
        </w:rPr>
      </w:pPr>
    </w:p>
    <w:p w14:paraId="4DB6E383" w14:textId="7DDB0038" w:rsidR="00FE32A6" w:rsidRPr="008A1DB4" w:rsidRDefault="00ED73A2" w:rsidP="00ED73A2">
      <w:pPr>
        <w:pStyle w:val="ListParagraph"/>
        <w:tabs>
          <w:tab w:val="left" w:pos="567"/>
        </w:tabs>
        <w:ind w:left="567" w:right="615"/>
        <w:rPr>
          <w:spacing w:val="-2"/>
          <w:sz w:val="18"/>
          <w:szCs w:val="18"/>
          <w:lang w:val="en-US"/>
        </w:rPr>
      </w:pPr>
      <w:r w:rsidRPr="008A1DB4">
        <w:rPr>
          <w:spacing w:val="-2"/>
          <w:sz w:val="18"/>
          <w:szCs w:val="18"/>
          <w:lang w:val="en-US"/>
        </w:rPr>
        <w:t>[I</w:t>
      </w:r>
      <w:r w:rsidR="00FE32A6" w:rsidRPr="008A1DB4">
        <w:rPr>
          <w:spacing w:val="-2"/>
          <w:sz w:val="18"/>
          <w:szCs w:val="18"/>
          <w:lang w:val="en-US"/>
        </w:rPr>
        <w:t>]</w:t>
      </w:r>
      <w:r w:rsidRPr="008A1DB4">
        <w:rPr>
          <w:spacing w:val="-2"/>
          <w:sz w:val="18"/>
          <w:szCs w:val="18"/>
          <w:lang w:val="en-US"/>
        </w:rPr>
        <w:t>t is unreasonable that, in a passive extradition process such as this one, an individual may endure imprison for more than the maximum time that [the] procedural norm has established for an ordinary criminal proceeding; particularly if, in the extradition process, as in this case, there is no particular evidentiary activity, and neither numerous agents nor numerous victims are involved.</w:t>
      </w:r>
      <w:r w:rsidR="00FE32A6" w:rsidRPr="008A1DB4">
        <w:rPr>
          <w:rStyle w:val="FootnoteReference"/>
          <w:spacing w:val="-2"/>
          <w:sz w:val="18"/>
          <w:szCs w:val="18"/>
          <w:lang w:val="en-US"/>
        </w:rPr>
        <w:footnoteReference w:id="162"/>
      </w:r>
    </w:p>
    <w:p w14:paraId="7C42F2BA" w14:textId="77777777" w:rsidR="00FE32A6" w:rsidRPr="008A1DB4" w:rsidRDefault="00FE32A6" w:rsidP="00956E97">
      <w:pPr>
        <w:pStyle w:val="ListParagraph"/>
        <w:rPr>
          <w:spacing w:val="-2"/>
          <w:lang w:val="en-US"/>
        </w:rPr>
      </w:pPr>
    </w:p>
    <w:p w14:paraId="2F66B71E" w14:textId="44E77461" w:rsidR="00FE32A6" w:rsidRPr="008A1DB4" w:rsidRDefault="00ED73A2" w:rsidP="00956E97">
      <w:pPr>
        <w:pStyle w:val="PrrafodeSentencia"/>
        <w:rPr>
          <w:spacing w:val="-2"/>
          <w:lang w:val="en-US"/>
        </w:rPr>
      </w:pPr>
      <w:bookmarkStart w:id="597" w:name="_Ref428981618"/>
      <w:r w:rsidRPr="008A1DB4">
        <w:rPr>
          <w:spacing w:val="-2"/>
          <w:lang w:val="en-US"/>
        </w:rPr>
        <w:t xml:space="preserve">The court concluded that </w:t>
      </w:r>
      <w:r w:rsidR="00FE32A6" w:rsidRPr="008A1DB4">
        <w:rPr>
          <w:spacing w:val="-2"/>
          <w:lang w:val="en-US"/>
        </w:rPr>
        <w:t>“</w:t>
      </w:r>
      <w:r w:rsidR="001E7113" w:rsidRPr="008A1DB4">
        <w:rPr>
          <w:spacing w:val="-2"/>
          <w:lang w:val="en-US"/>
        </w:rPr>
        <w:t>Wong</w:t>
      </w:r>
      <w:r w:rsidR="00FE32A6" w:rsidRPr="008A1DB4">
        <w:rPr>
          <w:spacing w:val="-2"/>
          <w:lang w:val="en-US"/>
        </w:rPr>
        <w:t xml:space="preserve"> Ho Wing </w:t>
      </w:r>
      <w:r w:rsidRPr="008A1DB4">
        <w:rPr>
          <w:spacing w:val="-2"/>
          <w:lang w:val="en-US"/>
        </w:rPr>
        <w:t xml:space="preserve">[has been] deprived of his liberty for </w:t>
      </w:r>
      <w:r w:rsidR="00C37341">
        <w:rPr>
          <w:spacing w:val="-2"/>
          <w:lang w:val="en-US"/>
        </w:rPr>
        <w:t>more</w:t>
      </w:r>
      <w:r w:rsidRPr="008A1DB4">
        <w:rPr>
          <w:spacing w:val="-2"/>
          <w:lang w:val="en-US"/>
        </w:rPr>
        <w:t xml:space="preserve"> than a reasonable time […]; therefore, it is necessary […] to impose on him a less severe measure that is less restrictive of his liberty, but that ensures that he remains in the country until </w:t>
      </w:r>
      <w:r w:rsidR="00B43F84" w:rsidRPr="008A1DB4">
        <w:rPr>
          <w:spacing w:val="-2"/>
          <w:lang w:val="en-US"/>
        </w:rPr>
        <w:t>the Executive Branch</w:t>
      </w:r>
      <w:r w:rsidR="00FE32A6" w:rsidRPr="008A1DB4">
        <w:rPr>
          <w:spacing w:val="-2"/>
          <w:lang w:val="en-US"/>
        </w:rPr>
        <w:t xml:space="preserve"> </w:t>
      </w:r>
      <w:r w:rsidRPr="008A1DB4">
        <w:rPr>
          <w:spacing w:val="-2"/>
          <w:lang w:val="en-US"/>
        </w:rPr>
        <w:t>finally rules definitively on the extradition request.</w:t>
      </w:r>
      <w:r w:rsidR="00FE32A6" w:rsidRPr="008A1DB4">
        <w:rPr>
          <w:spacing w:val="-2"/>
          <w:lang w:val="en-US"/>
        </w:rPr>
        <w:t>”</w:t>
      </w:r>
      <w:r w:rsidR="00FE32A6" w:rsidRPr="008A1DB4">
        <w:rPr>
          <w:rStyle w:val="FootnoteReference"/>
          <w:spacing w:val="-2"/>
          <w:lang w:val="en-US"/>
        </w:rPr>
        <w:footnoteReference w:id="163"/>
      </w:r>
      <w:r w:rsidRPr="008A1DB4">
        <w:rPr>
          <w:spacing w:val="-2"/>
          <w:lang w:val="en-US"/>
        </w:rPr>
        <w:t xml:space="preserve"> The Court ordered “</w:t>
      </w:r>
      <w:r w:rsidR="00C91857" w:rsidRPr="008A1DB4">
        <w:rPr>
          <w:spacing w:val="-2"/>
          <w:lang w:val="en-US"/>
        </w:rPr>
        <w:t>house arrest […] in the custody of his brother.</w:t>
      </w:r>
      <w:r w:rsidR="00FE32A6" w:rsidRPr="008A1DB4">
        <w:rPr>
          <w:spacing w:val="-2"/>
          <w:lang w:val="en-US"/>
        </w:rPr>
        <w:t>”</w:t>
      </w:r>
      <w:r w:rsidR="00FE32A6" w:rsidRPr="008A1DB4">
        <w:rPr>
          <w:rStyle w:val="FootnoteReference"/>
          <w:spacing w:val="-2"/>
          <w:lang w:val="en-US"/>
        </w:rPr>
        <w:footnoteReference w:id="164"/>
      </w:r>
      <w:r w:rsidR="00FE32A6" w:rsidRPr="008A1DB4">
        <w:rPr>
          <w:spacing w:val="-2"/>
          <w:lang w:val="en-US"/>
        </w:rPr>
        <w:t xml:space="preserve"> </w:t>
      </w:r>
      <w:r w:rsidR="00C91857" w:rsidRPr="008A1DB4">
        <w:rPr>
          <w:spacing w:val="-2"/>
          <w:lang w:val="en-US"/>
        </w:rPr>
        <w:t xml:space="preserve">On </w:t>
      </w:r>
      <w:r w:rsidR="00B43F84" w:rsidRPr="008A1DB4">
        <w:rPr>
          <w:spacing w:val="-2"/>
          <w:lang w:val="en-US"/>
        </w:rPr>
        <w:t xml:space="preserve">March </w:t>
      </w:r>
      <w:r w:rsidR="00C91857" w:rsidRPr="008A1DB4">
        <w:rPr>
          <w:spacing w:val="-2"/>
          <w:lang w:val="en-US"/>
        </w:rPr>
        <w:t>2</w:t>
      </w:r>
      <w:r w:rsidR="00B43F84" w:rsidRPr="008A1DB4">
        <w:rPr>
          <w:spacing w:val="-2"/>
          <w:lang w:val="en-US"/>
        </w:rPr>
        <w:t>4,</w:t>
      </w:r>
      <w:r w:rsidR="00FE32A6" w:rsidRPr="008A1DB4">
        <w:rPr>
          <w:spacing w:val="-2"/>
          <w:lang w:val="en-US"/>
        </w:rPr>
        <w:t xml:space="preserve"> </w:t>
      </w:r>
      <w:r w:rsidR="00C168D8" w:rsidRPr="008A1DB4">
        <w:rPr>
          <w:spacing w:val="-2"/>
          <w:lang w:val="en-US"/>
        </w:rPr>
        <w:t>the Seventh Criminal Court</w:t>
      </w:r>
      <w:r w:rsidR="00FE32A6" w:rsidRPr="008A1DB4">
        <w:rPr>
          <w:spacing w:val="-2"/>
          <w:lang w:val="en-US"/>
        </w:rPr>
        <w:t xml:space="preserve"> </w:t>
      </w:r>
      <w:r w:rsidR="00C91857" w:rsidRPr="008A1DB4">
        <w:rPr>
          <w:spacing w:val="-2"/>
          <w:lang w:val="en-US"/>
        </w:rPr>
        <w:t>executed this order.</w:t>
      </w:r>
      <w:r w:rsidR="00FE32A6" w:rsidRPr="008A1DB4">
        <w:rPr>
          <w:rStyle w:val="FootnoteReference"/>
          <w:spacing w:val="-2"/>
          <w:lang w:val="en-US"/>
        </w:rPr>
        <w:footnoteReference w:id="165"/>
      </w:r>
      <w:bookmarkEnd w:id="597"/>
      <w:r w:rsidR="00FE32A6" w:rsidRPr="008A1DB4">
        <w:rPr>
          <w:spacing w:val="-2"/>
          <w:lang w:val="en-US"/>
        </w:rPr>
        <w:t xml:space="preserve"> </w:t>
      </w:r>
    </w:p>
    <w:p w14:paraId="128BC2F5" w14:textId="77777777" w:rsidR="00FE32A6" w:rsidRPr="008A1DB4" w:rsidRDefault="00FE32A6" w:rsidP="00956E97">
      <w:pPr>
        <w:pStyle w:val="PrrafodeSentencia"/>
        <w:numPr>
          <w:ilvl w:val="0"/>
          <w:numId w:val="0"/>
        </w:numPr>
        <w:rPr>
          <w:spacing w:val="-2"/>
          <w:lang w:val="en-US"/>
        </w:rPr>
      </w:pPr>
    </w:p>
    <w:p w14:paraId="16C2E84E" w14:textId="6A32C6F7" w:rsidR="00FE32A6" w:rsidRPr="008A1DB4" w:rsidRDefault="00FB261B" w:rsidP="00071662">
      <w:pPr>
        <w:pStyle w:val="PrrafodeSentencia"/>
        <w:rPr>
          <w:spacing w:val="-2"/>
          <w:lang w:val="en-US"/>
        </w:rPr>
      </w:pPr>
      <w:r w:rsidRPr="008A1DB4">
        <w:rPr>
          <w:spacing w:val="-2"/>
          <w:lang w:val="en-US"/>
        </w:rPr>
        <w:t xml:space="preserve">On </w:t>
      </w:r>
      <w:r w:rsidR="0027284C" w:rsidRPr="008A1DB4">
        <w:rPr>
          <w:spacing w:val="-2"/>
          <w:lang w:val="en-US"/>
        </w:rPr>
        <w:t>March 3,</w:t>
      </w:r>
      <w:r w:rsidR="00FE32A6" w:rsidRPr="008A1DB4">
        <w:rPr>
          <w:spacing w:val="-2"/>
          <w:lang w:val="en-US"/>
        </w:rPr>
        <w:t xml:space="preserve"> 2015</w:t>
      </w:r>
      <w:r w:rsidRPr="008A1DB4">
        <w:rPr>
          <w:spacing w:val="-2"/>
          <w:lang w:val="en-US"/>
        </w:rPr>
        <w:t>,</w:t>
      </w:r>
      <w:r w:rsidR="00FE32A6" w:rsidRPr="008A1DB4">
        <w:rPr>
          <w:spacing w:val="-2"/>
          <w:lang w:val="en-US"/>
        </w:rPr>
        <w:t xml:space="preserve"> </w:t>
      </w:r>
      <w:r w:rsidR="00C45946" w:rsidRPr="008A1DB4">
        <w:rPr>
          <w:spacing w:val="-2"/>
          <w:lang w:val="en-US"/>
        </w:rPr>
        <w:t>the representative</w:t>
      </w:r>
      <w:r w:rsidR="00071662" w:rsidRPr="008A1DB4">
        <w:rPr>
          <w:spacing w:val="-2"/>
          <w:lang w:val="en-US"/>
        </w:rPr>
        <w:t xml:space="preserve"> requested a change in the house arrest order, owing to the “urgency of an operation for the presence of neoplasia.” He indicated that the change in the arrest warrant would mean that Wong Ho Wing could be treated promptly by the corresponding doctors. In addition, he underscored the length of time that the presumed victim’s deprivation of liberty had lasted.</w:t>
      </w:r>
      <w:r w:rsidR="00FE32A6" w:rsidRPr="008A1DB4">
        <w:rPr>
          <w:rStyle w:val="FootnoteReference"/>
          <w:spacing w:val="-2"/>
          <w:lang w:val="en-US"/>
        </w:rPr>
        <w:footnoteReference w:id="166"/>
      </w:r>
      <w:r w:rsidR="00071662" w:rsidRPr="008A1DB4">
        <w:rPr>
          <w:spacing w:val="-2"/>
          <w:lang w:val="en-US"/>
        </w:rPr>
        <w:t xml:space="preserve"> On</w:t>
      </w:r>
      <w:r w:rsidR="00FE32A6" w:rsidRPr="008A1DB4">
        <w:rPr>
          <w:spacing w:val="-2"/>
          <w:lang w:val="en-US"/>
        </w:rPr>
        <w:t xml:space="preserve"> </w:t>
      </w:r>
      <w:r w:rsidR="00071662" w:rsidRPr="008A1DB4">
        <w:rPr>
          <w:spacing w:val="-2"/>
          <w:lang w:val="en-US"/>
        </w:rPr>
        <w:t>June 3,</w:t>
      </w:r>
      <w:r w:rsidR="00FE32A6" w:rsidRPr="008A1DB4">
        <w:rPr>
          <w:spacing w:val="-2"/>
          <w:lang w:val="en-US"/>
        </w:rPr>
        <w:t xml:space="preserve"> 2015</w:t>
      </w:r>
      <w:r w:rsidR="00071662" w:rsidRPr="008A1DB4">
        <w:rPr>
          <w:spacing w:val="-2"/>
          <w:lang w:val="en-US"/>
        </w:rPr>
        <w:t xml:space="preserve">, the court declared the request </w:t>
      </w:r>
      <w:r w:rsidR="00947926" w:rsidRPr="008A1DB4">
        <w:rPr>
          <w:spacing w:val="-2"/>
          <w:lang w:val="en-US"/>
        </w:rPr>
        <w:t>inadmissible</w:t>
      </w:r>
      <w:r w:rsidR="00071662" w:rsidRPr="008A1DB4">
        <w:rPr>
          <w:spacing w:val="-2"/>
          <w:lang w:val="en-US"/>
        </w:rPr>
        <w:t>, indicated that the need to undergo an operation, “was not sufficient for the effect of changing the legal status of the applicant.</w:t>
      </w:r>
      <w:r w:rsidR="00FE32A6" w:rsidRPr="008A1DB4">
        <w:rPr>
          <w:spacing w:val="-2"/>
          <w:lang w:val="en-US"/>
        </w:rPr>
        <w:t>”</w:t>
      </w:r>
      <w:r w:rsidR="00FE32A6" w:rsidRPr="008A1DB4">
        <w:rPr>
          <w:rStyle w:val="FootnoteReference"/>
          <w:spacing w:val="-2"/>
          <w:lang w:val="en-US"/>
        </w:rPr>
        <w:footnoteReference w:id="167"/>
      </w:r>
      <w:r w:rsidR="00071662" w:rsidRPr="008A1DB4">
        <w:rPr>
          <w:spacing w:val="-2"/>
          <w:lang w:val="en-US"/>
        </w:rPr>
        <w:t xml:space="preserve"> On</w:t>
      </w:r>
      <w:r w:rsidR="00FE32A6" w:rsidRPr="008A1DB4">
        <w:rPr>
          <w:spacing w:val="-2"/>
          <w:lang w:val="en-US"/>
        </w:rPr>
        <w:t xml:space="preserve"> </w:t>
      </w:r>
      <w:r w:rsidR="00071662" w:rsidRPr="008A1DB4">
        <w:rPr>
          <w:spacing w:val="-2"/>
          <w:lang w:val="en-US"/>
        </w:rPr>
        <w:t>June 11,</w:t>
      </w:r>
      <w:r w:rsidR="00FE32A6" w:rsidRPr="008A1DB4">
        <w:rPr>
          <w:spacing w:val="-2"/>
          <w:lang w:val="en-US"/>
        </w:rPr>
        <w:t xml:space="preserve"> </w:t>
      </w:r>
      <w:r w:rsidR="00C45946" w:rsidRPr="008A1DB4">
        <w:rPr>
          <w:spacing w:val="-2"/>
          <w:lang w:val="en-US"/>
        </w:rPr>
        <w:t>the representative</w:t>
      </w:r>
      <w:r w:rsidR="00FE32A6" w:rsidRPr="008A1DB4">
        <w:rPr>
          <w:spacing w:val="-2"/>
          <w:lang w:val="en-US"/>
        </w:rPr>
        <w:t xml:space="preserve"> </w:t>
      </w:r>
      <w:r w:rsidR="00071662" w:rsidRPr="008A1DB4">
        <w:rPr>
          <w:spacing w:val="-2"/>
          <w:lang w:val="en-US"/>
        </w:rPr>
        <w:t>appealed this decision.</w:t>
      </w:r>
      <w:r w:rsidR="00FE32A6" w:rsidRPr="008A1DB4">
        <w:rPr>
          <w:rStyle w:val="FootnoteReference"/>
          <w:spacing w:val="-2"/>
          <w:lang w:val="en-US"/>
        </w:rPr>
        <w:footnoteReference w:id="168"/>
      </w:r>
      <w:r w:rsidR="00FE32A6" w:rsidRPr="008A1DB4">
        <w:rPr>
          <w:spacing w:val="-2"/>
          <w:lang w:val="en-US"/>
        </w:rPr>
        <w:t xml:space="preserve"> </w:t>
      </w:r>
      <w:r w:rsidR="00F36400" w:rsidRPr="008A1DB4">
        <w:rPr>
          <w:spacing w:val="-2"/>
          <w:lang w:val="en-US"/>
        </w:rPr>
        <w:t>The Court</w:t>
      </w:r>
      <w:r w:rsidR="00FE32A6" w:rsidRPr="008A1DB4">
        <w:rPr>
          <w:spacing w:val="-2"/>
          <w:lang w:val="en-US"/>
        </w:rPr>
        <w:t xml:space="preserve"> </w:t>
      </w:r>
      <w:r w:rsidR="00071662" w:rsidRPr="008A1DB4">
        <w:rPr>
          <w:spacing w:val="-2"/>
          <w:lang w:val="en-US"/>
        </w:rPr>
        <w:t>has no information on the result of this appeal.</w:t>
      </w:r>
    </w:p>
    <w:p w14:paraId="7C309FED" w14:textId="77777777" w:rsidR="00B16E52" w:rsidRPr="008A1DB4" w:rsidRDefault="00B16E52" w:rsidP="00956E97">
      <w:pPr>
        <w:tabs>
          <w:tab w:val="left" w:pos="567"/>
        </w:tabs>
        <w:rPr>
          <w:spacing w:val="-2"/>
          <w:lang w:val="en-US"/>
        </w:rPr>
      </w:pPr>
    </w:p>
    <w:p w14:paraId="70745156" w14:textId="361A1958" w:rsidR="00B16E52" w:rsidRPr="008A1DB4" w:rsidRDefault="002306C1" w:rsidP="00956E97">
      <w:pPr>
        <w:pStyle w:val="Title"/>
        <w:rPr>
          <w:spacing w:val="-2"/>
          <w:lang w:val="en-US"/>
        </w:rPr>
      </w:pPr>
      <w:bookmarkStart w:id="598" w:name="_Toc418912611"/>
      <w:bookmarkStart w:id="599" w:name="_Toc419394397"/>
      <w:bookmarkStart w:id="600" w:name="_Toc429490263"/>
      <w:bookmarkStart w:id="601" w:name="_Toc429503775"/>
      <w:bookmarkStart w:id="602" w:name="_Toc429504281"/>
      <w:bookmarkStart w:id="603" w:name="_Toc429677994"/>
      <w:bookmarkStart w:id="604" w:name="_Toc430017157"/>
      <w:bookmarkStart w:id="605" w:name="_Toc430017386"/>
      <w:bookmarkStart w:id="606" w:name="_Toc430018668"/>
      <w:bookmarkStart w:id="607" w:name="_Toc430125266"/>
      <w:bookmarkStart w:id="608" w:name="_Toc430125374"/>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r>
      <w:r>
        <w:rPr>
          <w:spacing w:val="-2"/>
          <w:lang w:val="en-US"/>
        </w:rPr>
        <w:tab/>
        <w:t>7</w:t>
      </w:r>
      <w:r w:rsidR="00B16E52" w:rsidRPr="008A1DB4">
        <w:rPr>
          <w:spacing w:val="-2"/>
          <w:lang w:val="en-US"/>
        </w:rPr>
        <w:t>IX</w:t>
      </w:r>
      <w:bookmarkEnd w:id="598"/>
      <w:bookmarkEnd w:id="599"/>
      <w:bookmarkEnd w:id="600"/>
      <w:bookmarkEnd w:id="601"/>
      <w:bookmarkEnd w:id="602"/>
      <w:bookmarkEnd w:id="603"/>
      <w:bookmarkEnd w:id="604"/>
      <w:bookmarkEnd w:id="605"/>
      <w:bookmarkEnd w:id="606"/>
      <w:bookmarkEnd w:id="607"/>
      <w:bookmarkEnd w:id="608"/>
    </w:p>
    <w:p w14:paraId="39615564" w14:textId="7E57533E" w:rsidR="00B16E52" w:rsidRPr="008A1DB4" w:rsidRDefault="00860B3A" w:rsidP="00956E97">
      <w:pPr>
        <w:pStyle w:val="Title"/>
        <w:rPr>
          <w:spacing w:val="-2"/>
          <w:lang w:val="en-US"/>
        </w:rPr>
      </w:pPr>
      <w:bookmarkStart w:id="609" w:name="_Toc418074081"/>
      <w:bookmarkStart w:id="610" w:name="_Toc418503886"/>
      <w:bookmarkStart w:id="611" w:name="_Toc418912612"/>
      <w:bookmarkStart w:id="612" w:name="_Toc418912817"/>
      <w:bookmarkStart w:id="613" w:name="_Toc419394398"/>
      <w:bookmarkStart w:id="614" w:name="_Toc419394733"/>
      <w:bookmarkStart w:id="615" w:name="_Toc419469697"/>
      <w:bookmarkStart w:id="616" w:name="_Toc419470164"/>
      <w:bookmarkStart w:id="617" w:name="_Toc423359726"/>
      <w:bookmarkStart w:id="618" w:name="_Toc423361002"/>
      <w:bookmarkStart w:id="619" w:name="_Toc429490264"/>
      <w:bookmarkStart w:id="620" w:name="_Toc429503776"/>
      <w:bookmarkStart w:id="621" w:name="_Toc429503884"/>
      <w:bookmarkStart w:id="622" w:name="_Toc429504282"/>
      <w:bookmarkStart w:id="623" w:name="_Toc429504384"/>
      <w:bookmarkStart w:id="624" w:name="_Toc429677995"/>
      <w:bookmarkStart w:id="625" w:name="_Toc429678103"/>
      <w:bookmarkStart w:id="626" w:name="_Toc430017158"/>
      <w:bookmarkStart w:id="627" w:name="_Toc430017266"/>
      <w:bookmarkStart w:id="628" w:name="_Toc430017387"/>
      <w:bookmarkStart w:id="629" w:name="_Toc430017692"/>
      <w:bookmarkStart w:id="630" w:name="_Toc430018669"/>
      <w:bookmarkStart w:id="631" w:name="_Toc430018771"/>
      <w:bookmarkStart w:id="632" w:name="_Toc430125267"/>
      <w:bookmarkStart w:id="633" w:name="_Toc430125375"/>
      <w:r w:rsidRPr="008A1DB4">
        <w:rPr>
          <w:spacing w:val="-2"/>
          <w:lang w:val="en-US"/>
        </w:rPr>
        <w:t>RIGHTS TO LIFE AND PERSONAL INTEGRITY AND PRINCIPLE OF NON-REFOULEMENT</w:t>
      </w:r>
      <w:r w:rsidR="00756A79" w:rsidRPr="008A1DB4">
        <w:rPr>
          <w:spacing w:val="-2"/>
          <w:lang w:val="en-US"/>
        </w:rPr>
        <w:t xml:space="preserve">, </w:t>
      </w:r>
      <w:r w:rsidRPr="008A1DB4">
        <w:rPr>
          <w:spacing w:val="-2"/>
          <w:lang w:val="en-US"/>
        </w:rPr>
        <w:t>IN RELATION TO THE OBLIGATION TO ENSURE RIGHTS</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00B16E52" w:rsidRPr="008A1DB4">
        <w:rPr>
          <w:spacing w:val="-2"/>
          <w:lang w:val="en-US"/>
        </w:rPr>
        <w:t xml:space="preserve"> </w:t>
      </w:r>
    </w:p>
    <w:p w14:paraId="6615AEA0" w14:textId="77777777" w:rsidR="00B16E52" w:rsidRPr="008A1DB4" w:rsidRDefault="00B16E52" w:rsidP="00956E97">
      <w:pPr>
        <w:pStyle w:val="ListParagraph"/>
        <w:tabs>
          <w:tab w:val="left" w:pos="284"/>
          <w:tab w:val="left" w:pos="567"/>
        </w:tabs>
        <w:ind w:left="0"/>
        <w:rPr>
          <w:spacing w:val="-2"/>
          <w:lang w:val="en-US"/>
        </w:rPr>
      </w:pPr>
    </w:p>
    <w:p w14:paraId="68D90D09" w14:textId="02125E5C" w:rsidR="00E80E88" w:rsidRPr="008A1DB4" w:rsidRDefault="00071662" w:rsidP="00956E97">
      <w:pPr>
        <w:pStyle w:val="PrrafodeSentencia"/>
        <w:rPr>
          <w:spacing w:val="-2"/>
          <w:lang w:val="en-US"/>
        </w:rPr>
      </w:pPr>
      <w:r w:rsidRPr="008A1DB4">
        <w:rPr>
          <w:spacing w:val="-2"/>
          <w:lang w:val="en-US"/>
        </w:rPr>
        <w:t>In this chapter, the Court will examine the</w:t>
      </w:r>
      <w:r w:rsidR="00B16E52" w:rsidRPr="008A1DB4">
        <w:rPr>
          <w:spacing w:val="-2"/>
          <w:lang w:val="en-US"/>
        </w:rPr>
        <w:t xml:space="preserve"> </w:t>
      </w:r>
      <w:r w:rsidR="0058668C" w:rsidRPr="008A1DB4">
        <w:rPr>
          <w:spacing w:val="-2"/>
          <w:lang w:val="en-US"/>
        </w:rPr>
        <w:t>arguments</w:t>
      </w:r>
      <w:r w:rsidR="00C45946" w:rsidRPr="008A1DB4">
        <w:rPr>
          <w:spacing w:val="-2"/>
          <w:lang w:val="en-US"/>
        </w:rPr>
        <w:t xml:space="preserve"> of the </w:t>
      </w:r>
      <w:r w:rsidR="00F36400" w:rsidRPr="008A1DB4">
        <w:rPr>
          <w:spacing w:val="-2"/>
          <w:lang w:val="en-US"/>
        </w:rPr>
        <w:t xml:space="preserve">Commission and </w:t>
      </w:r>
      <w:r w:rsidR="00860B3A" w:rsidRPr="008A1DB4">
        <w:rPr>
          <w:spacing w:val="-2"/>
          <w:lang w:val="en-US"/>
        </w:rPr>
        <w:t>of the parties</w:t>
      </w:r>
      <w:r w:rsidR="00E80E88" w:rsidRPr="008A1DB4">
        <w:rPr>
          <w:spacing w:val="-2"/>
          <w:lang w:val="en-US"/>
        </w:rPr>
        <w:t xml:space="preserve"> </w:t>
      </w:r>
      <w:r w:rsidRPr="008A1DB4">
        <w:rPr>
          <w:spacing w:val="-2"/>
          <w:lang w:val="en-US"/>
        </w:rPr>
        <w:t>concerning the</w:t>
      </w:r>
      <w:r w:rsidR="00FC5891" w:rsidRPr="008A1DB4">
        <w:rPr>
          <w:spacing w:val="-2"/>
          <w:lang w:val="en-US"/>
        </w:rPr>
        <w:t xml:space="preserve"> extradition process</w:t>
      </w:r>
      <w:r w:rsidRPr="008A1DB4">
        <w:rPr>
          <w:spacing w:val="-2"/>
          <w:lang w:val="en-US"/>
        </w:rPr>
        <w:t xml:space="preserve"> in</w:t>
      </w:r>
      <w:r w:rsidR="00E80E88" w:rsidRPr="008A1DB4">
        <w:rPr>
          <w:spacing w:val="-2"/>
          <w:lang w:val="en-US"/>
        </w:rPr>
        <w:t xml:space="preserve"> </w:t>
      </w:r>
      <w:r w:rsidR="00FE5E87" w:rsidRPr="008A1DB4">
        <w:rPr>
          <w:spacing w:val="-2"/>
          <w:lang w:val="en-US"/>
        </w:rPr>
        <w:t>Peru</w:t>
      </w:r>
      <w:r w:rsidR="00E80E88" w:rsidRPr="008A1DB4">
        <w:rPr>
          <w:spacing w:val="-2"/>
          <w:lang w:val="en-US"/>
        </w:rPr>
        <w:t xml:space="preserve"> </w:t>
      </w:r>
      <w:r w:rsidRPr="008A1DB4">
        <w:rPr>
          <w:spacing w:val="-2"/>
          <w:lang w:val="en-US"/>
        </w:rPr>
        <w:t>against</w:t>
      </w:r>
      <w:r w:rsidR="00E80E88" w:rsidRPr="008A1DB4">
        <w:rPr>
          <w:spacing w:val="-2"/>
          <w:lang w:val="en-US"/>
        </w:rPr>
        <w:t xml:space="preserve"> </w:t>
      </w:r>
      <w:r w:rsidR="001E7113" w:rsidRPr="008A1DB4">
        <w:rPr>
          <w:spacing w:val="-2"/>
          <w:lang w:val="en-US"/>
        </w:rPr>
        <w:t>Wong</w:t>
      </w:r>
      <w:r w:rsidR="00E80E88" w:rsidRPr="008A1DB4">
        <w:rPr>
          <w:spacing w:val="-2"/>
          <w:lang w:val="en-US"/>
        </w:rPr>
        <w:t xml:space="preserve"> Ho Wing.</w:t>
      </w:r>
      <w:r w:rsidRPr="008A1DB4">
        <w:rPr>
          <w:spacing w:val="-2"/>
          <w:lang w:val="en-US"/>
        </w:rPr>
        <w:t xml:space="preserve"> In this regard, the Court takes note that Peru was asked to extradite</w:t>
      </w:r>
      <w:r w:rsidR="00C45946" w:rsidRPr="008A1DB4">
        <w:rPr>
          <w:spacing w:val="-2"/>
          <w:lang w:val="en-US"/>
        </w:rPr>
        <w:t xml:space="preserve"> the </w:t>
      </w:r>
      <w:r w:rsidR="00F36400" w:rsidRPr="008A1DB4">
        <w:rPr>
          <w:spacing w:val="-2"/>
          <w:lang w:val="en-US"/>
        </w:rPr>
        <w:t>presumed victim</w:t>
      </w:r>
      <w:r w:rsidRPr="008A1DB4">
        <w:rPr>
          <w:spacing w:val="-2"/>
          <w:lang w:val="en-US"/>
        </w:rPr>
        <w:t xml:space="preserve"> by</w:t>
      </w:r>
      <w:r w:rsidR="00E80E88" w:rsidRPr="008A1DB4">
        <w:rPr>
          <w:spacing w:val="-2"/>
          <w:lang w:val="en-US"/>
        </w:rPr>
        <w:t xml:space="preserve"> </w:t>
      </w:r>
      <w:r w:rsidR="00FE5E87" w:rsidRPr="008A1DB4">
        <w:rPr>
          <w:spacing w:val="-2"/>
          <w:lang w:val="en-US"/>
        </w:rPr>
        <w:t>the People’s Republic of China</w:t>
      </w:r>
      <w:r w:rsidRPr="008A1DB4">
        <w:rPr>
          <w:spacing w:val="-2"/>
          <w:lang w:val="en-US"/>
        </w:rPr>
        <w:t xml:space="preserve"> i</w:t>
      </w:r>
      <w:r w:rsidR="00E80E88" w:rsidRPr="008A1DB4">
        <w:rPr>
          <w:spacing w:val="-2"/>
          <w:lang w:val="en-US"/>
        </w:rPr>
        <w:t xml:space="preserve">n 2008. </w:t>
      </w:r>
      <w:r w:rsidRPr="008A1DB4">
        <w:rPr>
          <w:spacing w:val="-2"/>
          <w:lang w:val="en-US"/>
        </w:rPr>
        <w:t xml:space="preserve">To date, </w:t>
      </w:r>
      <w:r w:rsidR="001E7113" w:rsidRPr="008A1DB4">
        <w:rPr>
          <w:spacing w:val="-2"/>
          <w:lang w:val="en-US"/>
        </w:rPr>
        <w:t>Wong</w:t>
      </w:r>
      <w:r w:rsidR="00E80E88" w:rsidRPr="008A1DB4">
        <w:rPr>
          <w:spacing w:val="-2"/>
          <w:lang w:val="en-US"/>
        </w:rPr>
        <w:t xml:space="preserve"> Ho Wing </w:t>
      </w:r>
      <w:r w:rsidRPr="008A1DB4">
        <w:rPr>
          <w:spacing w:val="-2"/>
          <w:lang w:val="en-US"/>
        </w:rPr>
        <w:t>has not been extradited. Under the laws of Peru</w:t>
      </w:r>
      <w:r w:rsidR="00E80E88" w:rsidRPr="008A1DB4">
        <w:rPr>
          <w:spacing w:val="-2"/>
          <w:lang w:val="en-US"/>
        </w:rPr>
        <w:t xml:space="preserve">, </w:t>
      </w:r>
      <w:r w:rsidR="00FC5891" w:rsidRPr="008A1DB4">
        <w:rPr>
          <w:spacing w:val="-2"/>
          <w:lang w:val="en-US"/>
        </w:rPr>
        <w:t>the extradition process</w:t>
      </w:r>
      <w:r w:rsidR="00E80E88" w:rsidRPr="008A1DB4">
        <w:rPr>
          <w:spacing w:val="-2"/>
          <w:lang w:val="en-US"/>
        </w:rPr>
        <w:t xml:space="preserve"> </w:t>
      </w:r>
      <w:r w:rsidRPr="008A1DB4">
        <w:rPr>
          <w:spacing w:val="-2"/>
          <w:lang w:val="en-US"/>
        </w:rPr>
        <w:t xml:space="preserve">has two parts, with the participation </w:t>
      </w:r>
      <w:r w:rsidR="00F36400" w:rsidRPr="008A1DB4">
        <w:rPr>
          <w:spacing w:val="-2"/>
          <w:lang w:val="en-US"/>
        </w:rPr>
        <w:t xml:space="preserve">of </w:t>
      </w:r>
      <w:r w:rsidR="00B67AC5" w:rsidRPr="008A1DB4">
        <w:rPr>
          <w:spacing w:val="-2"/>
          <w:lang w:val="en-US"/>
        </w:rPr>
        <w:t xml:space="preserve">the </w:t>
      </w:r>
      <w:r w:rsidR="001E7113" w:rsidRPr="008A1DB4">
        <w:rPr>
          <w:spacing w:val="-2"/>
          <w:lang w:val="en-US"/>
        </w:rPr>
        <w:t>Supreme Court of Justice</w:t>
      </w:r>
      <w:r w:rsidR="00F36400" w:rsidRPr="008A1DB4">
        <w:rPr>
          <w:spacing w:val="-2"/>
          <w:lang w:val="en-US"/>
        </w:rPr>
        <w:t xml:space="preserve"> and</w:t>
      </w:r>
      <w:r w:rsidR="00776D24" w:rsidRPr="008A1DB4">
        <w:rPr>
          <w:spacing w:val="-2"/>
          <w:lang w:val="en-US"/>
        </w:rPr>
        <w:t xml:space="preserve"> of the </w:t>
      </w:r>
      <w:r w:rsidR="00B43F84" w:rsidRPr="008A1DB4">
        <w:rPr>
          <w:spacing w:val="-2"/>
          <w:lang w:val="en-US"/>
        </w:rPr>
        <w:t>Executive Branch</w:t>
      </w:r>
      <w:r w:rsidR="00E80E88" w:rsidRPr="008A1DB4">
        <w:rPr>
          <w:spacing w:val="-2"/>
          <w:lang w:val="en-US"/>
        </w:rPr>
        <w:t xml:space="preserve">. </w:t>
      </w:r>
      <w:r w:rsidRPr="008A1DB4">
        <w:rPr>
          <w:spacing w:val="-2"/>
          <w:lang w:val="en-US"/>
        </w:rPr>
        <w:t xml:space="preserve">In this case, although </w:t>
      </w:r>
      <w:r w:rsidR="00B67AC5" w:rsidRPr="008A1DB4">
        <w:rPr>
          <w:spacing w:val="-2"/>
          <w:lang w:val="en-US"/>
        </w:rPr>
        <w:t xml:space="preserve">the </w:t>
      </w:r>
      <w:r w:rsidR="001E7113" w:rsidRPr="008A1DB4">
        <w:rPr>
          <w:spacing w:val="-2"/>
          <w:lang w:val="en-US"/>
        </w:rPr>
        <w:t>Supreme Court of Justice</w:t>
      </w:r>
      <w:r w:rsidRPr="008A1DB4">
        <w:rPr>
          <w:spacing w:val="-2"/>
          <w:lang w:val="en-US"/>
        </w:rPr>
        <w:t xml:space="preserve"> considered that the extradition was admissible, this determination constituted an </w:t>
      </w:r>
      <w:r w:rsidR="002D1CFC" w:rsidRPr="008A1DB4">
        <w:rPr>
          <w:spacing w:val="-2"/>
          <w:lang w:val="en-US"/>
        </w:rPr>
        <w:t>advisory decision</w:t>
      </w:r>
      <w:r w:rsidRPr="008A1DB4">
        <w:rPr>
          <w:spacing w:val="-2"/>
          <w:lang w:val="en-US"/>
        </w:rPr>
        <w:t xml:space="preserve"> that, although favorable, was not </w:t>
      </w:r>
      <w:r w:rsidRPr="008A1DB4">
        <w:rPr>
          <w:spacing w:val="-2"/>
          <w:lang w:val="en-US"/>
        </w:rPr>
        <w:lastRenderedPageBreak/>
        <w:t xml:space="preserve">binding. As has been shown and explained, the final decision in this regard falls to the </w:t>
      </w:r>
      <w:r w:rsidR="00B43F84" w:rsidRPr="008A1DB4">
        <w:rPr>
          <w:spacing w:val="-2"/>
          <w:lang w:val="en-US"/>
        </w:rPr>
        <w:t>Executive Branch</w:t>
      </w:r>
      <w:r w:rsidR="00E80E88" w:rsidRPr="008A1DB4">
        <w:rPr>
          <w:spacing w:val="-2"/>
          <w:lang w:val="en-US"/>
        </w:rPr>
        <w:t xml:space="preserve"> </w:t>
      </w:r>
      <w:r w:rsidRPr="008A1DB4">
        <w:rPr>
          <w:spacing w:val="-2"/>
          <w:lang w:val="en-US"/>
        </w:rPr>
        <w:t>and, to date, it has not ruled.</w:t>
      </w:r>
    </w:p>
    <w:p w14:paraId="69D5F519" w14:textId="77777777" w:rsidR="00E80E88" w:rsidRPr="008A1DB4" w:rsidRDefault="00E80E88" w:rsidP="00956E97">
      <w:pPr>
        <w:pStyle w:val="ListParagraph"/>
        <w:tabs>
          <w:tab w:val="left" w:pos="567"/>
        </w:tabs>
        <w:ind w:left="0"/>
        <w:rPr>
          <w:spacing w:val="-2"/>
          <w:u w:val="single"/>
          <w:lang w:val="en-US"/>
        </w:rPr>
      </w:pPr>
    </w:p>
    <w:p w14:paraId="5028B053" w14:textId="4651BA12" w:rsidR="00E80E88" w:rsidRPr="008A1DB4" w:rsidRDefault="00F36400" w:rsidP="00956E97">
      <w:pPr>
        <w:pStyle w:val="PrrafodeSentencia"/>
        <w:rPr>
          <w:spacing w:val="-2"/>
          <w:u w:val="single"/>
          <w:lang w:val="en-US"/>
        </w:rPr>
      </w:pPr>
      <w:r w:rsidRPr="008A1DB4">
        <w:rPr>
          <w:spacing w:val="-2"/>
          <w:lang w:val="en-US"/>
        </w:rPr>
        <w:t xml:space="preserve">The Commission and </w:t>
      </w:r>
      <w:r w:rsidR="00C45946" w:rsidRPr="008A1DB4">
        <w:rPr>
          <w:spacing w:val="-2"/>
          <w:lang w:val="en-US"/>
        </w:rPr>
        <w:t>the representative</w:t>
      </w:r>
      <w:r w:rsidR="00E80E88" w:rsidRPr="008A1DB4">
        <w:rPr>
          <w:spacing w:val="-2"/>
          <w:lang w:val="en-US"/>
        </w:rPr>
        <w:t xml:space="preserve"> a</w:t>
      </w:r>
      <w:r w:rsidR="00071662" w:rsidRPr="008A1DB4">
        <w:rPr>
          <w:spacing w:val="-2"/>
          <w:lang w:val="en-US"/>
        </w:rPr>
        <w:t>rgue that, if he had been extradite</w:t>
      </w:r>
      <w:r w:rsidR="00C37341">
        <w:rPr>
          <w:spacing w:val="-2"/>
          <w:lang w:val="en-US"/>
        </w:rPr>
        <w:t>d</w:t>
      </w:r>
      <w:r w:rsidR="00E80E88" w:rsidRPr="008A1DB4">
        <w:rPr>
          <w:spacing w:val="-2"/>
          <w:lang w:val="en-US"/>
        </w:rPr>
        <w:t xml:space="preserve">, </w:t>
      </w:r>
      <w:r w:rsidR="001E7113" w:rsidRPr="008A1DB4">
        <w:rPr>
          <w:spacing w:val="-2"/>
          <w:lang w:val="en-US"/>
        </w:rPr>
        <w:t>Wong</w:t>
      </w:r>
      <w:r w:rsidR="00E80E88" w:rsidRPr="008A1DB4">
        <w:rPr>
          <w:spacing w:val="-2"/>
          <w:lang w:val="en-US"/>
        </w:rPr>
        <w:t xml:space="preserve"> Ho Wing </w:t>
      </w:r>
      <w:r w:rsidR="00071662" w:rsidRPr="008A1DB4">
        <w:rPr>
          <w:spacing w:val="-2"/>
          <w:lang w:val="en-US"/>
        </w:rPr>
        <w:t xml:space="preserve">would </w:t>
      </w:r>
      <w:r w:rsidR="00C37341">
        <w:rPr>
          <w:spacing w:val="-2"/>
          <w:lang w:val="en-US"/>
        </w:rPr>
        <w:t xml:space="preserve">have been exposed – and </w:t>
      </w:r>
      <w:r w:rsidR="00071662" w:rsidRPr="008A1DB4">
        <w:rPr>
          <w:spacing w:val="-2"/>
          <w:lang w:val="en-US"/>
        </w:rPr>
        <w:t xml:space="preserve">still </w:t>
      </w:r>
      <w:r w:rsidR="00C37341">
        <w:rPr>
          <w:spacing w:val="-2"/>
          <w:lang w:val="en-US"/>
        </w:rPr>
        <w:t>is to a certain extent – to</w:t>
      </w:r>
      <w:r w:rsidR="00071662" w:rsidRPr="008A1DB4">
        <w:rPr>
          <w:spacing w:val="-2"/>
          <w:lang w:val="en-US"/>
        </w:rPr>
        <w:t xml:space="preserve"> different types of risk in </w:t>
      </w:r>
      <w:r w:rsidR="00653211" w:rsidRPr="008A1DB4">
        <w:rPr>
          <w:spacing w:val="-2"/>
          <w:lang w:val="en-US"/>
        </w:rPr>
        <w:t>the requesting State</w:t>
      </w:r>
      <w:r w:rsidR="00E80E88" w:rsidRPr="008A1DB4">
        <w:rPr>
          <w:spacing w:val="-2"/>
          <w:lang w:val="en-US"/>
        </w:rPr>
        <w:t>, particular</w:t>
      </w:r>
      <w:r w:rsidR="00071662" w:rsidRPr="008A1DB4">
        <w:rPr>
          <w:spacing w:val="-2"/>
          <w:lang w:val="en-US"/>
        </w:rPr>
        <w:t xml:space="preserve">ly with regard to his right to life, owing to the possibility of the imposition </w:t>
      </w:r>
      <w:r w:rsidR="00BB44A4" w:rsidRPr="008A1DB4">
        <w:rPr>
          <w:spacing w:val="-2"/>
          <w:lang w:val="en-US"/>
        </w:rPr>
        <w:t xml:space="preserve">of the </w:t>
      </w:r>
      <w:r w:rsidR="00A3310A" w:rsidRPr="008A1DB4">
        <w:rPr>
          <w:spacing w:val="-2"/>
          <w:lang w:val="en-US"/>
        </w:rPr>
        <w:t>death penalty</w:t>
      </w:r>
      <w:r w:rsidR="00071662" w:rsidRPr="008A1DB4">
        <w:rPr>
          <w:spacing w:val="-2"/>
          <w:lang w:val="en-US"/>
        </w:rPr>
        <w:t xml:space="preserve">; his right to </w:t>
      </w:r>
      <w:r w:rsidR="00776D24" w:rsidRPr="008A1DB4">
        <w:rPr>
          <w:spacing w:val="-2"/>
          <w:lang w:val="en-US"/>
        </w:rPr>
        <w:t>personal integrity</w:t>
      </w:r>
      <w:r w:rsidR="00E80E88" w:rsidRPr="008A1DB4">
        <w:rPr>
          <w:spacing w:val="-2"/>
          <w:lang w:val="en-US"/>
        </w:rPr>
        <w:t xml:space="preserve">, </w:t>
      </w:r>
      <w:r w:rsidR="00071662" w:rsidRPr="008A1DB4">
        <w:rPr>
          <w:spacing w:val="-2"/>
          <w:lang w:val="en-US"/>
        </w:rPr>
        <w:t xml:space="preserve">owing to a presumed risk of being subjected to torture or other forms of cruel, inhuman or degrading treatment and, to a </w:t>
      </w:r>
      <w:r w:rsidR="00947926" w:rsidRPr="008A1DB4">
        <w:rPr>
          <w:spacing w:val="-2"/>
          <w:lang w:val="en-US"/>
        </w:rPr>
        <w:t>lesser</w:t>
      </w:r>
      <w:r w:rsidR="00071662" w:rsidRPr="008A1DB4">
        <w:rPr>
          <w:spacing w:val="-2"/>
          <w:lang w:val="en-US"/>
        </w:rPr>
        <w:t xml:space="preserve"> degree, owing to a risk of presumed irregularities and violations of due process in </w:t>
      </w:r>
      <w:r w:rsidR="00653211" w:rsidRPr="008A1DB4">
        <w:rPr>
          <w:spacing w:val="-2"/>
          <w:lang w:val="en-US"/>
        </w:rPr>
        <w:t>the requesting State</w:t>
      </w:r>
      <w:r w:rsidR="00E80E88" w:rsidRPr="008A1DB4">
        <w:rPr>
          <w:spacing w:val="-2"/>
          <w:lang w:val="en-US"/>
        </w:rPr>
        <w:t xml:space="preserve">. </w:t>
      </w:r>
    </w:p>
    <w:p w14:paraId="44013DBD" w14:textId="77777777" w:rsidR="00E80E88" w:rsidRPr="008A1DB4" w:rsidRDefault="00E80E88" w:rsidP="00956E97">
      <w:pPr>
        <w:pStyle w:val="PrrafodeSentencia"/>
        <w:numPr>
          <w:ilvl w:val="0"/>
          <w:numId w:val="0"/>
        </w:numPr>
        <w:rPr>
          <w:spacing w:val="-2"/>
          <w:lang w:val="en-US"/>
        </w:rPr>
      </w:pPr>
    </w:p>
    <w:p w14:paraId="7EAA507A" w14:textId="01710386" w:rsidR="00E80E88" w:rsidRPr="008A1DB4" w:rsidRDefault="00071662" w:rsidP="00956E97">
      <w:pPr>
        <w:pStyle w:val="PrrafodeSentencia"/>
        <w:rPr>
          <w:spacing w:val="-2"/>
          <w:u w:val="single"/>
          <w:lang w:val="en-US"/>
        </w:rPr>
      </w:pPr>
      <w:r w:rsidRPr="008A1DB4">
        <w:rPr>
          <w:spacing w:val="-2"/>
          <w:lang w:val="en-US"/>
        </w:rPr>
        <w:t xml:space="preserve">In this regard, in May </w:t>
      </w:r>
      <w:r w:rsidR="00E80E88" w:rsidRPr="008A1DB4">
        <w:rPr>
          <w:spacing w:val="-2"/>
          <w:lang w:val="en-US"/>
        </w:rPr>
        <w:t>2011</w:t>
      </w:r>
      <w:r w:rsidRPr="008A1DB4">
        <w:rPr>
          <w:spacing w:val="-2"/>
          <w:lang w:val="en-US"/>
        </w:rPr>
        <w:t>,</w:t>
      </w:r>
      <w:r w:rsidR="00E80E88"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E80E88" w:rsidRPr="008A1DB4">
        <w:rPr>
          <w:spacing w:val="-2"/>
          <w:lang w:val="en-US"/>
        </w:rPr>
        <w:t xml:space="preserve"> </w:t>
      </w:r>
      <w:r w:rsidRPr="008A1DB4">
        <w:rPr>
          <w:spacing w:val="-2"/>
          <w:lang w:val="en-US"/>
        </w:rPr>
        <w:t xml:space="preserve">issued a binding </w:t>
      </w:r>
      <w:r w:rsidR="00404CAB" w:rsidRPr="008A1DB4">
        <w:rPr>
          <w:i/>
          <w:spacing w:val="-2"/>
          <w:lang w:val="en-US"/>
        </w:rPr>
        <w:t>prima facie</w:t>
      </w:r>
      <w:r w:rsidR="00404CAB" w:rsidRPr="008A1DB4">
        <w:rPr>
          <w:spacing w:val="-2"/>
          <w:lang w:val="en-US"/>
        </w:rPr>
        <w:t xml:space="preserve"> </w:t>
      </w:r>
      <w:r w:rsidRPr="008A1DB4">
        <w:rPr>
          <w:spacing w:val="-2"/>
          <w:lang w:val="en-US"/>
        </w:rPr>
        <w:t xml:space="preserve">decision ordering the </w:t>
      </w:r>
      <w:r w:rsidR="00B43F84" w:rsidRPr="008A1DB4">
        <w:rPr>
          <w:spacing w:val="-2"/>
          <w:lang w:val="en-US"/>
        </w:rPr>
        <w:t>Executive Branch</w:t>
      </w:r>
      <w:r w:rsidR="00E80E88" w:rsidRPr="008A1DB4">
        <w:rPr>
          <w:spacing w:val="-2"/>
          <w:lang w:val="en-US"/>
        </w:rPr>
        <w:t xml:space="preserve"> </w:t>
      </w:r>
      <w:r w:rsidRPr="008A1DB4">
        <w:rPr>
          <w:spacing w:val="-2"/>
          <w:lang w:val="en-US"/>
        </w:rPr>
        <w:t>to refrain from extraditing</w:t>
      </w:r>
      <w:r w:rsidR="00E80E88" w:rsidRPr="008A1DB4">
        <w:rPr>
          <w:spacing w:val="-2"/>
          <w:lang w:val="en-US"/>
        </w:rPr>
        <w:t xml:space="preserve"> </w:t>
      </w:r>
      <w:r w:rsidR="00B43F84" w:rsidRPr="008A1DB4">
        <w:rPr>
          <w:spacing w:val="-2"/>
          <w:lang w:val="en-US"/>
        </w:rPr>
        <w:t>Wong</w:t>
      </w:r>
      <w:r w:rsidR="00E80E88" w:rsidRPr="008A1DB4">
        <w:rPr>
          <w:spacing w:val="-2"/>
          <w:lang w:val="en-US"/>
        </w:rPr>
        <w:t xml:space="preserve"> Ho Wing, </w:t>
      </w:r>
      <w:r w:rsidRPr="008A1DB4">
        <w:rPr>
          <w:spacing w:val="-2"/>
          <w:lang w:val="en-US"/>
        </w:rPr>
        <w:t>considering that a risk to his life persisted if he was extradited, because the concerns about the possibility that the death penalty would be imposed if he was convicted had not been fully dispelled</w:t>
      </w:r>
      <w:r w:rsidR="00E80E88" w:rsidRPr="008A1DB4">
        <w:rPr>
          <w:spacing w:val="-2"/>
          <w:lang w:val="en-US"/>
        </w:rPr>
        <w:t xml:space="preserve">. </w:t>
      </w:r>
    </w:p>
    <w:p w14:paraId="66DE49D6" w14:textId="77777777" w:rsidR="00E80E88" w:rsidRPr="008A1DB4" w:rsidRDefault="00E80E88" w:rsidP="00956E97">
      <w:pPr>
        <w:pStyle w:val="PrrafodeSentencia"/>
        <w:numPr>
          <w:ilvl w:val="0"/>
          <w:numId w:val="0"/>
        </w:numPr>
        <w:rPr>
          <w:spacing w:val="-2"/>
          <w:lang w:val="en-US"/>
        </w:rPr>
      </w:pPr>
    </w:p>
    <w:p w14:paraId="78C377C5" w14:textId="43992F28" w:rsidR="00E80E88" w:rsidRPr="008A1DB4" w:rsidRDefault="00071662" w:rsidP="00956E97">
      <w:pPr>
        <w:pStyle w:val="PrrafodeSentencia"/>
        <w:rPr>
          <w:spacing w:val="-2"/>
          <w:u w:val="single"/>
          <w:lang w:val="en-US"/>
        </w:rPr>
      </w:pPr>
      <w:r w:rsidRPr="008A1DB4">
        <w:rPr>
          <w:spacing w:val="-2"/>
          <w:lang w:val="en-US"/>
        </w:rPr>
        <w:t>In principle this constitutional ruling would prevent the</w:t>
      </w:r>
      <w:r w:rsidR="00C45946" w:rsidRPr="008A1DB4">
        <w:rPr>
          <w:spacing w:val="-2"/>
          <w:lang w:val="en-US"/>
        </w:rPr>
        <w:t xml:space="preserve"> </w:t>
      </w:r>
      <w:r w:rsidR="00F36400" w:rsidRPr="008A1DB4">
        <w:rPr>
          <w:spacing w:val="-2"/>
          <w:lang w:val="en-US"/>
        </w:rPr>
        <w:t>presumed victim</w:t>
      </w:r>
      <w:r w:rsidRPr="008A1DB4">
        <w:rPr>
          <w:spacing w:val="-2"/>
          <w:lang w:val="en-US"/>
        </w:rPr>
        <w:t xml:space="preserve">’s extradition, so that much of this dispute between the parties would be pointless. However, the Court notes that the position of the State before this Court questions the conclusions of that ruling, as well as the scope and interpretation that should be given to it. Therefore, the Court observes that, in this case, the dispute between the parties subsists in relation to the possibility of extraditing </w:t>
      </w:r>
      <w:r w:rsidR="00B43F84" w:rsidRPr="008A1DB4">
        <w:rPr>
          <w:spacing w:val="-2"/>
          <w:lang w:val="en-US"/>
        </w:rPr>
        <w:t>Wong</w:t>
      </w:r>
      <w:r w:rsidRPr="008A1DB4">
        <w:rPr>
          <w:spacing w:val="-2"/>
          <w:lang w:val="en-US"/>
        </w:rPr>
        <w:t xml:space="preserve"> Ho Wing to</w:t>
      </w:r>
      <w:r w:rsidR="00E80E88" w:rsidRPr="008A1DB4">
        <w:rPr>
          <w:spacing w:val="-2"/>
          <w:lang w:val="en-US"/>
        </w:rPr>
        <w:t xml:space="preserve"> </w:t>
      </w:r>
      <w:r w:rsidR="00FE5E87" w:rsidRPr="008A1DB4">
        <w:rPr>
          <w:spacing w:val="-2"/>
          <w:lang w:val="en-US"/>
        </w:rPr>
        <w:t>the People’s Republic of China</w:t>
      </w:r>
      <w:r w:rsidR="00E80E88" w:rsidRPr="008A1DB4">
        <w:rPr>
          <w:spacing w:val="-2"/>
          <w:lang w:val="en-US"/>
        </w:rPr>
        <w:t xml:space="preserve">, </w:t>
      </w:r>
      <w:r w:rsidRPr="008A1DB4">
        <w:rPr>
          <w:spacing w:val="-2"/>
          <w:lang w:val="en-US"/>
        </w:rPr>
        <w:t>owing to the alleged risk of violation of his rights in</w:t>
      </w:r>
      <w:r w:rsidR="00E80E88" w:rsidRPr="008A1DB4">
        <w:rPr>
          <w:spacing w:val="-2"/>
          <w:lang w:val="en-US"/>
        </w:rPr>
        <w:t xml:space="preserve"> </w:t>
      </w:r>
      <w:r w:rsidR="00653211" w:rsidRPr="008A1DB4">
        <w:rPr>
          <w:spacing w:val="-2"/>
          <w:lang w:val="en-US"/>
        </w:rPr>
        <w:t>the requesting State</w:t>
      </w:r>
      <w:r w:rsidR="00E80E88" w:rsidRPr="008A1DB4">
        <w:rPr>
          <w:spacing w:val="-2"/>
          <w:lang w:val="en-US"/>
        </w:rPr>
        <w:t>, as</w:t>
      </w:r>
      <w:r w:rsidRPr="008A1DB4">
        <w:rPr>
          <w:spacing w:val="-2"/>
          <w:lang w:val="en-US"/>
        </w:rPr>
        <w:t xml:space="preserve"> well as owing to the May 2011 order </w:t>
      </w:r>
      <w:r w:rsidR="00C45946" w:rsidRPr="008A1DB4">
        <w:rPr>
          <w:spacing w:val="-2"/>
          <w:lang w:val="en-US"/>
        </w:rPr>
        <w:t xml:space="preserve">of the </w:t>
      </w:r>
      <w:r w:rsidR="00B43F84" w:rsidRPr="008A1DB4">
        <w:rPr>
          <w:spacing w:val="-2"/>
          <w:lang w:val="en-US"/>
        </w:rPr>
        <w:t>Constitutional Court</w:t>
      </w:r>
      <w:r w:rsidR="00E80E88" w:rsidRPr="008A1DB4">
        <w:rPr>
          <w:spacing w:val="-2"/>
          <w:lang w:val="en-US"/>
        </w:rPr>
        <w:t xml:space="preserve">. </w:t>
      </w:r>
    </w:p>
    <w:p w14:paraId="7DD6C962" w14:textId="77777777" w:rsidR="00E80E88" w:rsidRPr="008A1DB4" w:rsidRDefault="00E80E88" w:rsidP="00956E97">
      <w:pPr>
        <w:pStyle w:val="ListParagraph"/>
        <w:tabs>
          <w:tab w:val="left" w:pos="567"/>
        </w:tabs>
        <w:ind w:left="0"/>
        <w:rPr>
          <w:spacing w:val="-2"/>
          <w:u w:val="single"/>
          <w:lang w:val="en-US"/>
        </w:rPr>
      </w:pPr>
    </w:p>
    <w:p w14:paraId="33F8A884" w14:textId="6E50F254" w:rsidR="00E80E88" w:rsidRPr="008A1DB4" w:rsidRDefault="00071662" w:rsidP="00956E97">
      <w:pPr>
        <w:pStyle w:val="PrrafodeSentencia"/>
        <w:rPr>
          <w:spacing w:val="-2"/>
          <w:u w:val="single"/>
          <w:lang w:val="en-US"/>
        </w:rPr>
      </w:pPr>
      <w:bookmarkStart w:id="634" w:name="_Ref419136042"/>
      <w:r w:rsidRPr="008A1DB4">
        <w:rPr>
          <w:spacing w:val="-2"/>
          <w:lang w:val="en-US"/>
        </w:rPr>
        <w:t>This</w:t>
      </w:r>
      <w:r w:rsidR="00F36400" w:rsidRPr="008A1DB4">
        <w:rPr>
          <w:spacing w:val="-2"/>
          <w:lang w:val="en-US"/>
        </w:rPr>
        <w:t xml:space="preserve"> Court</w:t>
      </w:r>
      <w:r w:rsidR="00E80E88" w:rsidRPr="008A1DB4">
        <w:rPr>
          <w:spacing w:val="-2"/>
          <w:lang w:val="en-US"/>
        </w:rPr>
        <w:t xml:space="preserve"> </w:t>
      </w:r>
      <w:r w:rsidRPr="008A1DB4">
        <w:rPr>
          <w:spacing w:val="-2"/>
          <w:lang w:val="en-US"/>
        </w:rPr>
        <w:t>emphasizes, as it has in previous cases although in other contexts, the importance of the mechanism of extradition and the obligation of the States to collaborate in this regard.</w:t>
      </w:r>
      <w:r w:rsidR="00E80E88" w:rsidRPr="008A1DB4">
        <w:rPr>
          <w:rStyle w:val="FootnoteReference"/>
          <w:spacing w:val="-2"/>
          <w:lang w:val="en-US"/>
        </w:rPr>
        <w:footnoteReference w:id="169"/>
      </w:r>
      <w:r w:rsidR="00E80E88" w:rsidRPr="008A1DB4">
        <w:rPr>
          <w:spacing w:val="-2"/>
          <w:lang w:val="en-US"/>
        </w:rPr>
        <w:t xml:space="preserve"> </w:t>
      </w:r>
      <w:r w:rsidRPr="008A1DB4">
        <w:rPr>
          <w:spacing w:val="-2"/>
          <w:lang w:val="en-US"/>
        </w:rPr>
        <w:t xml:space="preserve">It is in the interests of the community of Nations that individuals who have been accused of certain offenses may be brought to justice. However, the Court notes that, in the context of extradition processes or other forms of international judicial cooperation, the States Parties to </w:t>
      </w:r>
      <w:r w:rsidR="00F36400" w:rsidRPr="008A1DB4">
        <w:rPr>
          <w:spacing w:val="-2"/>
          <w:lang w:val="en-US"/>
        </w:rPr>
        <w:t>the Convention</w:t>
      </w:r>
      <w:r w:rsidR="00E80E88" w:rsidRPr="008A1DB4">
        <w:rPr>
          <w:spacing w:val="-2"/>
          <w:lang w:val="en-US"/>
        </w:rPr>
        <w:t xml:space="preserve"> </w:t>
      </w:r>
      <w:r w:rsidRPr="008A1DB4">
        <w:rPr>
          <w:spacing w:val="-2"/>
          <w:lang w:val="en-US"/>
        </w:rPr>
        <w:t xml:space="preserve">must observe the human rights obligations arising from this instrument. Thus, the international human rights obligations of the States and the requirements of due process must be observed in extradition </w:t>
      </w:r>
      <w:proofErr w:type="gramStart"/>
      <w:r w:rsidRPr="008A1DB4">
        <w:rPr>
          <w:spacing w:val="-2"/>
          <w:lang w:val="en-US"/>
        </w:rPr>
        <w:t>proceedings,</w:t>
      </w:r>
      <w:proofErr w:type="gramEnd"/>
      <w:r w:rsidRPr="008A1DB4">
        <w:rPr>
          <w:spacing w:val="-2"/>
          <w:lang w:val="en-US"/>
        </w:rPr>
        <w:t xml:space="preserve"> and this legal mechanism cannot be used as a path or impunity.</w:t>
      </w:r>
      <w:r w:rsidR="00E80E88" w:rsidRPr="008A1DB4">
        <w:rPr>
          <w:rStyle w:val="FootnoteReference"/>
          <w:spacing w:val="-2"/>
          <w:lang w:val="en-US"/>
        </w:rPr>
        <w:footnoteReference w:id="170"/>
      </w:r>
      <w:bookmarkEnd w:id="634"/>
    </w:p>
    <w:p w14:paraId="6565A9CA" w14:textId="77777777" w:rsidR="00E80E88" w:rsidRPr="008A1DB4" w:rsidRDefault="00E80E88" w:rsidP="00956E97">
      <w:pPr>
        <w:pStyle w:val="ListParagraph"/>
        <w:tabs>
          <w:tab w:val="left" w:pos="567"/>
        </w:tabs>
        <w:ind w:left="0"/>
        <w:rPr>
          <w:spacing w:val="-2"/>
          <w:u w:val="single"/>
          <w:lang w:val="en-US"/>
        </w:rPr>
      </w:pPr>
    </w:p>
    <w:p w14:paraId="082FA26C" w14:textId="4A168BE8" w:rsidR="00C91C10" w:rsidRPr="008A1DB4" w:rsidRDefault="00071662" w:rsidP="00956E97">
      <w:pPr>
        <w:pStyle w:val="PrrafodeSentencia"/>
        <w:rPr>
          <w:spacing w:val="-2"/>
          <w:lang w:val="en-US"/>
        </w:rPr>
      </w:pPr>
      <w:r w:rsidRPr="008A1DB4">
        <w:rPr>
          <w:spacing w:val="-2"/>
          <w:lang w:val="en-US"/>
        </w:rPr>
        <w:t xml:space="preserve">In order to determine the </w:t>
      </w:r>
      <w:r w:rsidR="00947926" w:rsidRPr="008A1DB4">
        <w:rPr>
          <w:spacing w:val="-2"/>
          <w:lang w:val="en-US"/>
        </w:rPr>
        <w:t>possible</w:t>
      </w:r>
      <w:r w:rsidRPr="008A1DB4">
        <w:rPr>
          <w:spacing w:val="-2"/>
          <w:lang w:val="en-US"/>
        </w:rPr>
        <w:t xml:space="preserve"> responsibility of the State for the</w:t>
      </w:r>
      <w:r w:rsidR="00E80E88" w:rsidRPr="008A1DB4">
        <w:rPr>
          <w:spacing w:val="-2"/>
          <w:lang w:val="en-US"/>
        </w:rPr>
        <w:t xml:space="preserve"> eventual </w:t>
      </w:r>
      <w:r w:rsidR="00947926" w:rsidRPr="008A1DB4">
        <w:rPr>
          <w:spacing w:val="-2"/>
          <w:lang w:val="en-US"/>
        </w:rPr>
        <w:t>extradition</w:t>
      </w:r>
      <w:r w:rsidR="00E80E88" w:rsidRPr="008A1DB4">
        <w:rPr>
          <w:spacing w:val="-2"/>
          <w:lang w:val="en-US"/>
        </w:rPr>
        <w:t xml:space="preserve"> </w:t>
      </w:r>
      <w:r w:rsidR="00B43F84" w:rsidRPr="008A1DB4">
        <w:rPr>
          <w:spacing w:val="-2"/>
          <w:lang w:val="en-US"/>
        </w:rPr>
        <w:t>of Wong</w:t>
      </w:r>
      <w:r w:rsidR="00E80E88" w:rsidRPr="008A1DB4">
        <w:rPr>
          <w:spacing w:val="-2"/>
          <w:lang w:val="en-US"/>
        </w:rPr>
        <w:t xml:space="preserve"> Ho Wing, </w:t>
      </w:r>
      <w:r w:rsidRPr="008A1DB4">
        <w:rPr>
          <w:spacing w:val="-2"/>
          <w:lang w:val="en-US"/>
        </w:rPr>
        <w:t xml:space="preserve">in this chapter </w:t>
      </w:r>
      <w:r w:rsidR="00F36400" w:rsidRPr="008A1DB4">
        <w:rPr>
          <w:spacing w:val="-2"/>
          <w:lang w:val="en-US"/>
        </w:rPr>
        <w:t>the Court</w:t>
      </w:r>
      <w:r w:rsidR="00C91C10" w:rsidRPr="008A1DB4">
        <w:rPr>
          <w:spacing w:val="-2"/>
          <w:lang w:val="en-US"/>
        </w:rPr>
        <w:t xml:space="preserve"> </w:t>
      </w:r>
      <w:r w:rsidRPr="008A1DB4">
        <w:rPr>
          <w:spacing w:val="-2"/>
          <w:lang w:val="en-US"/>
        </w:rPr>
        <w:t xml:space="preserve">will analyze the obligation to ensure the right to life and to </w:t>
      </w:r>
      <w:r w:rsidR="00776D24" w:rsidRPr="008A1DB4">
        <w:rPr>
          <w:spacing w:val="-2"/>
          <w:lang w:val="en-US"/>
        </w:rPr>
        <w:t>personal integrity</w:t>
      </w:r>
      <w:r w:rsidR="00C45946" w:rsidRPr="008A1DB4">
        <w:rPr>
          <w:spacing w:val="-2"/>
          <w:lang w:val="en-US"/>
        </w:rPr>
        <w:t xml:space="preserve"> of the </w:t>
      </w:r>
      <w:r w:rsidR="00F36400" w:rsidRPr="008A1DB4">
        <w:rPr>
          <w:spacing w:val="-2"/>
          <w:lang w:val="en-US"/>
        </w:rPr>
        <w:t>presumed victim</w:t>
      </w:r>
      <w:r w:rsidR="00C91C10" w:rsidRPr="008A1DB4">
        <w:rPr>
          <w:spacing w:val="-2"/>
          <w:lang w:val="en-US"/>
        </w:rPr>
        <w:t xml:space="preserve">, </w:t>
      </w:r>
      <w:r w:rsidRPr="008A1DB4">
        <w:rPr>
          <w:spacing w:val="-2"/>
          <w:lang w:val="en-US"/>
        </w:rPr>
        <w:t>together with the obligation to respect the principle of non-</w:t>
      </w:r>
      <w:proofErr w:type="spellStart"/>
      <w:r w:rsidRPr="008A1DB4">
        <w:rPr>
          <w:spacing w:val="-2"/>
          <w:lang w:val="en-US"/>
        </w:rPr>
        <w:t>refoulement</w:t>
      </w:r>
      <w:proofErr w:type="spellEnd"/>
      <w:r w:rsidR="00C91C10" w:rsidRPr="008A1DB4">
        <w:rPr>
          <w:spacing w:val="-2"/>
          <w:lang w:val="en-US"/>
        </w:rPr>
        <w:t xml:space="preserve"> </w:t>
      </w:r>
      <w:r w:rsidRPr="008A1DB4">
        <w:rPr>
          <w:spacing w:val="-2"/>
          <w:lang w:val="en-US"/>
        </w:rPr>
        <w:t>in case of extradition, when there is an alleged risk of harm to those rights.</w:t>
      </w:r>
      <w:r w:rsidR="00994B74" w:rsidRPr="008A1DB4">
        <w:rPr>
          <w:spacing w:val="-2"/>
          <w:lang w:val="en-US"/>
        </w:rPr>
        <w:t xml:space="preserve"> </w:t>
      </w:r>
    </w:p>
    <w:p w14:paraId="2676BC43" w14:textId="77777777" w:rsidR="002B29EC" w:rsidRPr="008A1DB4" w:rsidRDefault="002B29EC" w:rsidP="00956E97">
      <w:pPr>
        <w:rPr>
          <w:spacing w:val="-2"/>
          <w:lang w:val="en-US"/>
        </w:rPr>
      </w:pPr>
    </w:p>
    <w:p w14:paraId="34212491" w14:textId="38207EC5" w:rsidR="00B16E52" w:rsidRPr="008A1DB4" w:rsidRDefault="00B16E52" w:rsidP="00956E97">
      <w:pPr>
        <w:pStyle w:val="Heading1"/>
        <w:rPr>
          <w:spacing w:val="-2"/>
          <w:lang w:val="en-US"/>
        </w:rPr>
      </w:pPr>
      <w:bookmarkStart w:id="635" w:name="_Toc418912614"/>
      <w:bookmarkStart w:id="636" w:name="_Toc419394400"/>
      <w:bookmarkStart w:id="637" w:name="_Toc429490265"/>
      <w:bookmarkStart w:id="638" w:name="_Toc429503777"/>
      <w:bookmarkStart w:id="639" w:name="_Toc429504283"/>
      <w:bookmarkStart w:id="640" w:name="_Toc429677996"/>
      <w:bookmarkStart w:id="641" w:name="_Toc430017159"/>
      <w:bookmarkStart w:id="642" w:name="_Toc430017388"/>
      <w:bookmarkStart w:id="643" w:name="_Toc430018670"/>
      <w:bookmarkStart w:id="644" w:name="_Toc430125268"/>
      <w:bookmarkStart w:id="645" w:name="_Toc430125376"/>
      <w:r w:rsidRPr="008A1DB4">
        <w:rPr>
          <w:spacing w:val="-2"/>
          <w:lang w:val="en-US"/>
        </w:rPr>
        <w:t xml:space="preserve">A. </w:t>
      </w:r>
      <w:r w:rsidR="0058668C" w:rsidRPr="008A1DB4">
        <w:rPr>
          <w:spacing w:val="-2"/>
          <w:lang w:val="en-US"/>
        </w:rPr>
        <w:t>Arguments</w:t>
      </w:r>
      <w:r w:rsidR="004D32C6"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635"/>
      <w:bookmarkEnd w:id="636"/>
      <w:bookmarkEnd w:id="637"/>
      <w:bookmarkEnd w:id="638"/>
      <w:bookmarkEnd w:id="639"/>
      <w:bookmarkEnd w:id="640"/>
      <w:bookmarkEnd w:id="641"/>
      <w:bookmarkEnd w:id="642"/>
      <w:bookmarkEnd w:id="643"/>
      <w:bookmarkEnd w:id="644"/>
      <w:bookmarkEnd w:id="645"/>
      <w:r w:rsidRPr="008A1DB4">
        <w:rPr>
          <w:spacing w:val="-2"/>
          <w:lang w:val="en-US"/>
        </w:rPr>
        <w:t xml:space="preserve"> </w:t>
      </w:r>
    </w:p>
    <w:p w14:paraId="76849A6D" w14:textId="77777777" w:rsidR="00B16E52" w:rsidRPr="008A1DB4" w:rsidRDefault="00B16E52" w:rsidP="00956E97">
      <w:pPr>
        <w:tabs>
          <w:tab w:val="left" w:pos="567"/>
        </w:tabs>
        <w:rPr>
          <w:spacing w:val="-2"/>
          <w:lang w:val="en-US"/>
        </w:rPr>
      </w:pPr>
    </w:p>
    <w:p w14:paraId="582539F0" w14:textId="65ADE621" w:rsidR="001063D9" w:rsidRPr="008A1DB4" w:rsidRDefault="00F36400" w:rsidP="00071662">
      <w:pPr>
        <w:pStyle w:val="PrrafodeSentencia"/>
        <w:rPr>
          <w:b/>
          <w:spacing w:val="-2"/>
          <w:lang w:val="en-US"/>
        </w:rPr>
      </w:pPr>
      <w:bookmarkStart w:id="646" w:name="_Ref418071492"/>
      <w:r w:rsidRPr="008A1DB4">
        <w:rPr>
          <w:spacing w:val="-2"/>
          <w:lang w:val="en-US"/>
        </w:rPr>
        <w:t>The Commission</w:t>
      </w:r>
      <w:r w:rsidR="001063D9" w:rsidRPr="008A1DB4">
        <w:rPr>
          <w:spacing w:val="-2"/>
          <w:lang w:val="en-US"/>
        </w:rPr>
        <w:t xml:space="preserve"> a</w:t>
      </w:r>
      <w:r w:rsidR="00071662" w:rsidRPr="008A1DB4">
        <w:rPr>
          <w:spacing w:val="-2"/>
          <w:lang w:val="en-US"/>
        </w:rPr>
        <w:t xml:space="preserve">rgued that, in this case there are three different levels of risk for </w:t>
      </w:r>
      <w:r w:rsidR="001063D9" w:rsidRPr="008A1DB4">
        <w:rPr>
          <w:spacing w:val="-2"/>
          <w:lang w:val="en-US"/>
        </w:rPr>
        <w:t xml:space="preserve">Wong Ho Wing: </w:t>
      </w:r>
      <w:r w:rsidR="00071662" w:rsidRPr="008A1DB4">
        <w:rPr>
          <w:spacing w:val="-2"/>
          <w:lang w:val="en-US"/>
        </w:rPr>
        <w:t xml:space="preserve">a risk as regards the legal imposition </w:t>
      </w:r>
      <w:r w:rsidR="00BB44A4" w:rsidRPr="008A1DB4">
        <w:rPr>
          <w:spacing w:val="-2"/>
          <w:lang w:val="en-US"/>
        </w:rPr>
        <w:t xml:space="preserve">of the </w:t>
      </w:r>
      <w:r w:rsidR="00A3310A" w:rsidRPr="008A1DB4">
        <w:rPr>
          <w:spacing w:val="-2"/>
          <w:lang w:val="en-US"/>
        </w:rPr>
        <w:t>death penalty</w:t>
      </w:r>
      <w:r w:rsidR="001063D9" w:rsidRPr="008A1DB4">
        <w:rPr>
          <w:spacing w:val="-2"/>
          <w:lang w:val="en-US"/>
        </w:rPr>
        <w:t xml:space="preserve"> </w:t>
      </w:r>
      <w:r w:rsidR="00071662" w:rsidRPr="008A1DB4">
        <w:rPr>
          <w:spacing w:val="-2"/>
          <w:lang w:val="en-US"/>
        </w:rPr>
        <w:t xml:space="preserve">for one of the offenses for which his extradition was requested; a risk of the clandestine or secret application of the death penalty, and a risk of the application of torture or cruel, inhuman or degrading treatment. Consequently, it </w:t>
      </w:r>
      <w:r w:rsidR="00071662" w:rsidRPr="008A1DB4">
        <w:rPr>
          <w:spacing w:val="-2"/>
          <w:lang w:val="en-US"/>
        </w:rPr>
        <w:lastRenderedPageBreak/>
        <w:t>argued that the obligations to respect and ensure the rights to life and to personal integrity have “a procedural component” that “requires the State to request and assess diligently the</w:t>
      </w:r>
      <w:r w:rsidR="00C37341">
        <w:rPr>
          <w:spacing w:val="-2"/>
          <w:lang w:val="en-US"/>
        </w:rPr>
        <w:t xml:space="preserve"> assurances</w:t>
      </w:r>
      <w:r w:rsidR="00071662" w:rsidRPr="008A1DB4">
        <w:rPr>
          <w:spacing w:val="-2"/>
          <w:lang w:val="en-US"/>
        </w:rPr>
        <w:t xml:space="preserve"> that the death penalty will not be imposed on him legally, and also a careful examination of the context in the requesting country, in terms of both the death penalty and of torture or cruel, inhuman or degrading treatment.” It underlined that Peru has not taken “into account that the requesting State committed serious omissions and irregularities in the initial request, and has an internationally-“known context as regard the application </w:t>
      </w:r>
      <w:r w:rsidR="00BB44A4" w:rsidRPr="008A1DB4">
        <w:rPr>
          <w:spacing w:val="-2"/>
          <w:lang w:val="en-US"/>
        </w:rPr>
        <w:t xml:space="preserve">of the </w:t>
      </w:r>
      <w:r w:rsidR="00A3310A" w:rsidRPr="008A1DB4">
        <w:rPr>
          <w:spacing w:val="-2"/>
          <w:lang w:val="en-US"/>
        </w:rPr>
        <w:t>death penalty</w:t>
      </w:r>
      <w:r w:rsidRPr="008A1DB4">
        <w:rPr>
          <w:spacing w:val="-2"/>
          <w:lang w:val="en-US"/>
        </w:rPr>
        <w:t xml:space="preserve"> and </w:t>
      </w:r>
      <w:r w:rsidR="00071662" w:rsidRPr="008A1DB4">
        <w:rPr>
          <w:spacing w:val="-2"/>
          <w:lang w:val="en-US"/>
        </w:rPr>
        <w:t xml:space="preserve">reports of the use of torture.” It indicated that the </w:t>
      </w:r>
      <w:r w:rsidR="00C37341">
        <w:rPr>
          <w:spacing w:val="-2"/>
          <w:lang w:val="en-US"/>
        </w:rPr>
        <w:t>assurances</w:t>
      </w:r>
      <w:r w:rsidR="00071662" w:rsidRPr="008A1DB4">
        <w:rPr>
          <w:spacing w:val="-2"/>
          <w:lang w:val="en-US"/>
        </w:rPr>
        <w:t xml:space="preserve"> given to date “only seek to respond to the first level of risk”; that is, that the death penalty would not be imposed legally, but “serious concerns [remain] in view of the inexistence of judicial mechanisms to implement them.” The Commission concluded that the State had failed to comply with its obligation to ensure the right</w:t>
      </w:r>
      <w:r w:rsidR="00C37341">
        <w:rPr>
          <w:spacing w:val="-2"/>
          <w:lang w:val="en-US"/>
        </w:rPr>
        <w:t>s</w:t>
      </w:r>
      <w:r w:rsidR="00071662" w:rsidRPr="008A1DB4">
        <w:rPr>
          <w:spacing w:val="-2"/>
          <w:lang w:val="en-US"/>
        </w:rPr>
        <w:t xml:space="preserve"> to life and</w:t>
      </w:r>
      <w:bookmarkEnd w:id="646"/>
      <w:r w:rsidR="00071662" w:rsidRPr="008A1DB4">
        <w:rPr>
          <w:b/>
          <w:spacing w:val="-2"/>
          <w:lang w:val="en-US"/>
        </w:rPr>
        <w:t xml:space="preserve"> </w:t>
      </w:r>
      <w:r w:rsidR="00776D24" w:rsidRPr="008A1DB4">
        <w:rPr>
          <w:spacing w:val="-2"/>
          <w:lang w:val="en-US"/>
        </w:rPr>
        <w:t>personal integrity</w:t>
      </w:r>
      <w:r w:rsidR="001063D9" w:rsidRPr="008A1DB4">
        <w:rPr>
          <w:spacing w:val="-2"/>
          <w:lang w:val="en-US"/>
        </w:rPr>
        <w:t xml:space="preserve"> </w:t>
      </w:r>
      <w:r w:rsidR="00B43F84" w:rsidRPr="008A1DB4">
        <w:rPr>
          <w:spacing w:val="-2"/>
          <w:lang w:val="en-US"/>
        </w:rPr>
        <w:t>of Wong</w:t>
      </w:r>
      <w:r w:rsidR="001063D9" w:rsidRPr="008A1DB4">
        <w:rPr>
          <w:spacing w:val="-2"/>
          <w:lang w:val="en-US"/>
        </w:rPr>
        <w:t xml:space="preserve"> Ho Wing. </w:t>
      </w:r>
    </w:p>
    <w:p w14:paraId="272C8D39" w14:textId="77777777" w:rsidR="001063D9" w:rsidRPr="008A1DB4" w:rsidRDefault="001063D9" w:rsidP="00956E97">
      <w:pPr>
        <w:pStyle w:val="PrrafodeSentencia"/>
        <w:numPr>
          <w:ilvl w:val="0"/>
          <w:numId w:val="0"/>
        </w:numPr>
        <w:rPr>
          <w:spacing w:val="-2"/>
          <w:lang w:val="en-US"/>
        </w:rPr>
      </w:pPr>
    </w:p>
    <w:p w14:paraId="73327FCC" w14:textId="228ACC7F" w:rsidR="001063D9" w:rsidRPr="008A1DB4" w:rsidRDefault="00C45946" w:rsidP="00071662">
      <w:pPr>
        <w:pStyle w:val="PrrafodeSentencia"/>
        <w:rPr>
          <w:b/>
          <w:spacing w:val="-2"/>
          <w:lang w:val="en-US"/>
        </w:rPr>
      </w:pPr>
      <w:r w:rsidRPr="00282063">
        <w:rPr>
          <w:spacing w:val="-2"/>
          <w:lang w:val="en-US"/>
        </w:rPr>
        <w:t>The representative</w:t>
      </w:r>
      <w:r w:rsidR="001063D9" w:rsidRPr="00282063">
        <w:rPr>
          <w:i/>
          <w:spacing w:val="-2"/>
          <w:lang w:val="en-US"/>
        </w:rPr>
        <w:t xml:space="preserve"> </w:t>
      </w:r>
      <w:r w:rsidR="00071662" w:rsidRPr="00282063">
        <w:rPr>
          <w:spacing w:val="-2"/>
          <w:lang w:val="en-US"/>
        </w:rPr>
        <w:t>indicated that Peru had failed to comply with its obligation to ensure the</w:t>
      </w:r>
      <w:r w:rsidR="00071662" w:rsidRPr="008A1DB4">
        <w:rPr>
          <w:spacing w:val="-2"/>
          <w:lang w:val="en-US"/>
        </w:rPr>
        <w:t xml:space="preserve"> rights to life and </w:t>
      </w:r>
      <w:r w:rsidR="00776D24" w:rsidRPr="008A1DB4">
        <w:rPr>
          <w:spacing w:val="-2"/>
          <w:lang w:val="en-US"/>
        </w:rPr>
        <w:t>personal integrity</w:t>
      </w:r>
      <w:r w:rsidR="001063D9" w:rsidRPr="008A1DB4">
        <w:rPr>
          <w:spacing w:val="-2"/>
          <w:lang w:val="en-US"/>
        </w:rPr>
        <w:t xml:space="preserve"> </w:t>
      </w:r>
      <w:r w:rsidR="00B43F84" w:rsidRPr="008A1DB4">
        <w:rPr>
          <w:spacing w:val="-2"/>
          <w:lang w:val="en-US"/>
        </w:rPr>
        <w:t>of Wong</w:t>
      </w:r>
      <w:r w:rsidR="00071662" w:rsidRPr="008A1DB4">
        <w:rPr>
          <w:spacing w:val="-2"/>
          <w:lang w:val="en-US"/>
        </w:rPr>
        <w:t xml:space="preserve"> Ho Wing at</w:t>
      </w:r>
      <w:r w:rsidR="001063D9" w:rsidRPr="008A1DB4">
        <w:rPr>
          <w:spacing w:val="-2"/>
          <w:lang w:val="en-US"/>
        </w:rPr>
        <w:t xml:space="preserve"> “</w:t>
      </w:r>
      <w:r w:rsidR="00071662" w:rsidRPr="008A1DB4">
        <w:rPr>
          <w:spacing w:val="-2"/>
          <w:lang w:val="en-US"/>
        </w:rPr>
        <w:t xml:space="preserve">two moments”: </w:t>
      </w:r>
      <w:r w:rsidR="001063D9" w:rsidRPr="008A1DB4">
        <w:rPr>
          <w:spacing w:val="-2"/>
          <w:lang w:val="en-US"/>
        </w:rPr>
        <w:t>(</w:t>
      </w:r>
      <w:proofErr w:type="spellStart"/>
      <w:r w:rsidR="001063D9" w:rsidRPr="008A1DB4">
        <w:rPr>
          <w:spacing w:val="-2"/>
          <w:lang w:val="en-US"/>
        </w:rPr>
        <w:t>i</w:t>
      </w:r>
      <w:proofErr w:type="spellEnd"/>
      <w:r w:rsidR="001063D9" w:rsidRPr="008A1DB4">
        <w:rPr>
          <w:spacing w:val="-2"/>
          <w:lang w:val="en-US"/>
        </w:rPr>
        <w:t xml:space="preserve">) </w:t>
      </w:r>
      <w:r w:rsidR="00071662" w:rsidRPr="008A1DB4">
        <w:rPr>
          <w:spacing w:val="-2"/>
          <w:lang w:val="en-US"/>
        </w:rPr>
        <w:t xml:space="preserve">when twice approving the </w:t>
      </w:r>
      <w:r w:rsidR="002D1CFC" w:rsidRPr="008A1DB4">
        <w:rPr>
          <w:spacing w:val="-2"/>
          <w:lang w:val="en-US"/>
        </w:rPr>
        <w:t>extradition</w:t>
      </w:r>
      <w:r w:rsidRPr="008A1DB4">
        <w:rPr>
          <w:spacing w:val="-2"/>
          <w:lang w:val="en-US"/>
        </w:rPr>
        <w:t xml:space="preserve"> of the </w:t>
      </w:r>
      <w:r w:rsidR="00F36400" w:rsidRPr="008A1DB4">
        <w:rPr>
          <w:spacing w:val="-2"/>
          <w:lang w:val="en-US"/>
        </w:rPr>
        <w:t>presumed victim</w:t>
      </w:r>
      <w:r w:rsidR="001063D9" w:rsidRPr="008A1DB4">
        <w:rPr>
          <w:spacing w:val="-2"/>
          <w:lang w:val="en-US"/>
        </w:rPr>
        <w:t xml:space="preserve"> </w:t>
      </w:r>
      <w:r w:rsidR="00282063">
        <w:rPr>
          <w:spacing w:val="-2"/>
          <w:lang w:val="en-US"/>
        </w:rPr>
        <w:t>even though the authorities had not</w:t>
      </w:r>
      <w:r w:rsidR="00071662" w:rsidRPr="008A1DB4">
        <w:rPr>
          <w:spacing w:val="-2"/>
          <w:lang w:val="en-US"/>
        </w:rPr>
        <w:t xml:space="preserve"> obtained “sufficient, clear and reliable </w:t>
      </w:r>
      <w:r w:rsidR="00C37341">
        <w:rPr>
          <w:spacing w:val="-2"/>
          <w:lang w:val="en-US"/>
        </w:rPr>
        <w:t>assurances</w:t>
      </w:r>
      <w:r w:rsidR="00071662" w:rsidRPr="008A1DB4">
        <w:rPr>
          <w:spacing w:val="-2"/>
          <w:lang w:val="en-US"/>
        </w:rPr>
        <w:t xml:space="preserve">” that </w:t>
      </w:r>
      <w:r w:rsidR="00A3310A" w:rsidRPr="008A1DB4">
        <w:rPr>
          <w:spacing w:val="-2"/>
          <w:lang w:val="en-US"/>
        </w:rPr>
        <w:t>the death penalty</w:t>
      </w:r>
      <w:r w:rsidR="00071662" w:rsidRPr="008A1DB4">
        <w:rPr>
          <w:spacing w:val="-2"/>
          <w:lang w:val="en-US"/>
        </w:rPr>
        <w:t xml:space="preserve"> would not be imposed on him and that he would not be subjected to torture or other forms of cruel, inhuman or degrading treatment, </w:t>
      </w:r>
      <w:r w:rsidR="00F36400" w:rsidRPr="008A1DB4">
        <w:rPr>
          <w:spacing w:val="-2"/>
          <w:lang w:val="en-US"/>
        </w:rPr>
        <w:t xml:space="preserve">and </w:t>
      </w:r>
      <w:r w:rsidR="001063D9" w:rsidRPr="008A1DB4">
        <w:rPr>
          <w:spacing w:val="-2"/>
          <w:lang w:val="en-US"/>
        </w:rPr>
        <w:t xml:space="preserve">(ii) </w:t>
      </w:r>
      <w:r w:rsidR="00071662" w:rsidRPr="008A1DB4">
        <w:rPr>
          <w:spacing w:val="-2"/>
          <w:lang w:val="en-US"/>
        </w:rPr>
        <w:t>by the “authorities</w:t>
      </w:r>
      <w:r w:rsidR="00282063">
        <w:rPr>
          <w:spacing w:val="-2"/>
          <w:lang w:val="en-US"/>
        </w:rPr>
        <w:t>’ systematic failure</w:t>
      </w:r>
      <w:r w:rsidR="00071662" w:rsidRPr="008A1DB4">
        <w:rPr>
          <w:spacing w:val="-2"/>
          <w:lang w:val="en-US"/>
        </w:rPr>
        <w:t xml:space="preserve"> […] to take a final decision on the </w:t>
      </w:r>
      <w:r w:rsidR="002D1CFC" w:rsidRPr="008A1DB4">
        <w:rPr>
          <w:spacing w:val="-2"/>
          <w:lang w:val="en-US"/>
        </w:rPr>
        <w:t>extradition</w:t>
      </w:r>
      <w:r w:rsidR="00071662" w:rsidRPr="008A1DB4">
        <w:rPr>
          <w:spacing w:val="-2"/>
          <w:lang w:val="en-US"/>
        </w:rPr>
        <w:t xml:space="preserve"> of</w:t>
      </w:r>
      <w:r w:rsidR="001063D9" w:rsidRPr="008A1DB4">
        <w:rPr>
          <w:spacing w:val="-2"/>
          <w:lang w:val="en-US"/>
        </w:rPr>
        <w:t xml:space="preserve"> Wong Ho Wing </w:t>
      </w:r>
      <w:r w:rsidR="00071662" w:rsidRPr="008A1DB4">
        <w:rPr>
          <w:spacing w:val="-2"/>
          <w:lang w:val="en-US"/>
        </w:rPr>
        <w:t xml:space="preserve">in compliance with the judgment </w:t>
      </w:r>
      <w:r w:rsidRPr="008A1DB4">
        <w:rPr>
          <w:spacing w:val="-2"/>
          <w:lang w:val="en-US"/>
        </w:rPr>
        <w:t xml:space="preserve">of the </w:t>
      </w:r>
      <w:r w:rsidR="00B43F84" w:rsidRPr="008A1DB4">
        <w:rPr>
          <w:spacing w:val="-2"/>
          <w:lang w:val="en-US"/>
        </w:rPr>
        <w:t>Constitutional Court</w:t>
      </w:r>
      <w:r w:rsidR="00071662" w:rsidRPr="008A1DB4">
        <w:rPr>
          <w:spacing w:val="-2"/>
          <w:lang w:val="en-US"/>
        </w:rPr>
        <w:t>.” Regarding the second</w:t>
      </w:r>
      <w:r w:rsidR="001063D9" w:rsidRPr="008A1DB4">
        <w:rPr>
          <w:spacing w:val="-2"/>
          <w:lang w:val="en-US"/>
        </w:rPr>
        <w:t xml:space="preserve"> </w:t>
      </w:r>
      <w:r w:rsidR="002D1CFC" w:rsidRPr="008A1DB4">
        <w:rPr>
          <w:spacing w:val="-2"/>
          <w:lang w:val="en-US"/>
        </w:rPr>
        <w:t>advisory decision</w:t>
      </w:r>
      <w:r w:rsidR="001063D9" w:rsidRPr="008A1DB4">
        <w:rPr>
          <w:spacing w:val="-2"/>
          <w:lang w:val="en-US"/>
        </w:rPr>
        <w:t xml:space="preserve">, </w:t>
      </w:r>
      <w:r w:rsidR="00071662" w:rsidRPr="008A1DB4">
        <w:rPr>
          <w:spacing w:val="-2"/>
          <w:lang w:val="en-US"/>
        </w:rPr>
        <w:t xml:space="preserve">he indicated that “the supposed </w:t>
      </w:r>
      <w:r w:rsidR="00282063">
        <w:rPr>
          <w:spacing w:val="-2"/>
          <w:lang w:val="en-US"/>
        </w:rPr>
        <w:t>assurances</w:t>
      </w:r>
      <w:r w:rsidR="00071662" w:rsidRPr="008A1DB4">
        <w:rPr>
          <w:spacing w:val="-2"/>
          <w:lang w:val="en-US"/>
        </w:rPr>
        <w:t xml:space="preserve"> presented to the Peruvian State by </w:t>
      </w:r>
      <w:r w:rsidR="00FE5E87" w:rsidRPr="008A1DB4">
        <w:rPr>
          <w:spacing w:val="-2"/>
          <w:lang w:val="en-US"/>
        </w:rPr>
        <w:t>the People’s Republic of China</w:t>
      </w:r>
      <w:r w:rsidR="00071662" w:rsidRPr="008A1DB4">
        <w:rPr>
          <w:spacing w:val="-2"/>
          <w:lang w:val="en-US"/>
        </w:rPr>
        <w:t xml:space="preserve"> that it would not impose </w:t>
      </w:r>
      <w:r w:rsidR="00A3310A" w:rsidRPr="008A1DB4">
        <w:rPr>
          <w:spacing w:val="-2"/>
          <w:lang w:val="en-US"/>
        </w:rPr>
        <w:t>the death penalty</w:t>
      </w:r>
      <w:r w:rsidR="001063D9" w:rsidRPr="008A1DB4">
        <w:rPr>
          <w:spacing w:val="-2"/>
          <w:lang w:val="en-US"/>
        </w:rPr>
        <w:t xml:space="preserve"> </w:t>
      </w:r>
      <w:r w:rsidR="00071662" w:rsidRPr="008A1DB4">
        <w:rPr>
          <w:spacing w:val="-2"/>
          <w:lang w:val="en-US"/>
        </w:rPr>
        <w:t>are not reliable.” He added that, owing to th</w:t>
      </w:r>
      <w:r w:rsidR="00282063">
        <w:rPr>
          <w:spacing w:val="-2"/>
          <w:lang w:val="en-US"/>
        </w:rPr>
        <w:t>e context of torture that existed</w:t>
      </w:r>
      <w:r w:rsidR="00071662" w:rsidRPr="008A1DB4">
        <w:rPr>
          <w:spacing w:val="-2"/>
          <w:lang w:val="en-US"/>
        </w:rPr>
        <w:t xml:space="preserve"> in</w:t>
      </w:r>
      <w:r w:rsidR="001063D9" w:rsidRPr="008A1DB4">
        <w:rPr>
          <w:spacing w:val="-2"/>
          <w:lang w:val="en-US"/>
        </w:rPr>
        <w:t xml:space="preserve"> </w:t>
      </w:r>
      <w:r w:rsidR="00FE5E87" w:rsidRPr="008A1DB4">
        <w:rPr>
          <w:spacing w:val="-2"/>
          <w:lang w:val="en-US"/>
        </w:rPr>
        <w:t>the People’s Republic of China</w:t>
      </w:r>
      <w:r w:rsidR="00007493" w:rsidRPr="008A1DB4">
        <w:rPr>
          <w:spacing w:val="-2"/>
          <w:lang w:val="en-US"/>
        </w:rPr>
        <w:t>,</w:t>
      </w:r>
      <w:r w:rsidR="001063D9" w:rsidRPr="008A1DB4">
        <w:rPr>
          <w:spacing w:val="-2"/>
          <w:lang w:val="en-US"/>
        </w:rPr>
        <w:t xml:space="preserve"> </w:t>
      </w:r>
      <w:r w:rsidR="00071662" w:rsidRPr="008A1DB4">
        <w:rPr>
          <w:spacing w:val="-2"/>
          <w:lang w:val="en-US"/>
        </w:rPr>
        <w:t xml:space="preserve">the Peruvian State “should also have requested […] the </w:t>
      </w:r>
      <w:r w:rsidR="00282063">
        <w:rPr>
          <w:spacing w:val="-2"/>
          <w:lang w:val="en-US"/>
        </w:rPr>
        <w:t>assurance</w:t>
      </w:r>
      <w:r w:rsidR="00071662" w:rsidRPr="008A1DB4">
        <w:rPr>
          <w:spacing w:val="-2"/>
          <w:lang w:val="en-US"/>
        </w:rPr>
        <w:t xml:space="preserve"> that torture or other cruel, inhuman or degrading treatment would not be applied.” </w:t>
      </w:r>
      <w:r w:rsidR="00282063">
        <w:rPr>
          <w:spacing w:val="-2"/>
          <w:lang w:val="en-US"/>
        </w:rPr>
        <w:t>In addition, he</w:t>
      </w:r>
      <w:r w:rsidR="00071662" w:rsidRPr="008A1DB4">
        <w:rPr>
          <w:spacing w:val="-2"/>
          <w:lang w:val="en-US"/>
        </w:rPr>
        <w:t xml:space="preserve"> indicated “that the </w:t>
      </w:r>
      <w:r w:rsidR="00282063">
        <w:rPr>
          <w:spacing w:val="-2"/>
          <w:lang w:val="en-US"/>
        </w:rPr>
        <w:t>assurances</w:t>
      </w:r>
      <w:r w:rsidR="00071662" w:rsidRPr="008A1DB4">
        <w:rPr>
          <w:spacing w:val="-2"/>
          <w:lang w:val="en-US"/>
        </w:rPr>
        <w:t xml:space="preserve"> alone are insufficient to provide adequate protection against the ri</w:t>
      </w:r>
      <w:r w:rsidR="00282063">
        <w:rPr>
          <w:spacing w:val="-2"/>
          <w:lang w:val="en-US"/>
        </w:rPr>
        <w:t>sk of ill-treatment</w:t>
      </w:r>
      <w:r w:rsidR="00071662" w:rsidRPr="008A1DB4">
        <w:rPr>
          <w:spacing w:val="-2"/>
          <w:lang w:val="en-US"/>
        </w:rPr>
        <w:t>”</w:t>
      </w:r>
      <w:r w:rsidR="00282063">
        <w:rPr>
          <w:spacing w:val="-2"/>
          <w:lang w:val="en-US"/>
        </w:rPr>
        <w:t>;</w:t>
      </w:r>
      <w:r w:rsidR="00071662" w:rsidRPr="008A1DB4">
        <w:rPr>
          <w:spacing w:val="-2"/>
          <w:lang w:val="en-US"/>
        </w:rPr>
        <w:t xml:space="preserve"> the State should </w:t>
      </w:r>
      <w:r w:rsidR="00282063">
        <w:rPr>
          <w:spacing w:val="-2"/>
          <w:lang w:val="en-US"/>
        </w:rPr>
        <w:t xml:space="preserve">also </w:t>
      </w:r>
      <w:r w:rsidR="00071662" w:rsidRPr="008A1DB4">
        <w:rPr>
          <w:spacing w:val="-2"/>
          <w:lang w:val="en-US"/>
        </w:rPr>
        <w:t xml:space="preserve">examine the human rights situation in China and the special situation </w:t>
      </w:r>
      <w:r w:rsidR="00B43F84" w:rsidRPr="008A1DB4">
        <w:rPr>
          <w:spacing w:val="-2"/>
          <w:lang w:val="en-US"/>
        </w:rPr>
        <w:t>of Wong</w:t>
      </w:r>
      <w:r w:rsidR="001063D9" w:rsidRPr="008A1DB4">
        <w:rPr>
          <w:spacing w:val="-2"/>
          <w:lang w:val="en-US"/>
        </w:rPr>
        <w:t xml:space="preserve"> Ho Wing. </w:t>
      </w:r>
      <w:r w:rsidR="00282063">
        <w:rPr>
          <w:spacing w:val="-2"/>
          <w:lang w:val="en-US"/>
        </w:rPr>
        <w:t>Furthermore, t</w:t>
      </w:r>
      <w:r w:rsidR="00071662" w:rsidRPr="008A1DB4">
        <w:rPr>
          <w:spacing w:val="-2"/>
          <w:lang w:val="en-US"/>
        </w:rPr>
        <w:t>he</w:t>
      </w:r>
      <w:r w:rsidRPr="008A1DB4">
        <w:rPr>
          <w:spacing w:val="-2"/>
          <w:lang w:val="en-US"/>
        </w:rPr>
        <w:t xml:space="preserve"> representative</w:t>
      </w:r>
      <w:r w:rsidR="001063D9" w:rsidRPr="008A1DB4">
        <w:rPr>
          <w:spacing w:val="-2"/>
          <w:lang w:val="en-US"/>
        </w:rPr>
        <w:t xml:space="preserve"> </w:t>
      </w:r>
      <w:r w:rsidR="00071662" w:rsidRPr="008A1DB4">
        <w:rPr>
          <w:spacing w:val="-2"/>
          <w:lang w:val="en-US"/>
        </w:rPr>
        <w:t xml:space="preserve">argued that the obligations arising from </w:t>
      </w:r>
      <w:r w:rsidR="00F36400" w:rsidRPr="008A1DB4">
        <w:rPr>
          <w:spacing w:val="-2"/>
          <w:lang w:val="en-US"/>
        </w:rPr>
        <w:t xml:space="preserve">the American Convention and the </w:t>
      </w:r>
      <w:r w:rsidR="00071662" w:rsidRPr="008A1DB4">
        <w:rPr>
          <w:spacing w:val="-2"/>
          <w:lang w:val="en-US"/>
        </w:rPr>
        <w:t>Inter-American Convention to Prevent and Punish Torture</w:t>
      </w:r>
      <w:r w:rsidR="00313C37" w:rsidRPr="008A1DB4">
        <w:rPr>
          <w:spacing w:val="-2"/>
          <w:lang w:val="en-US"/>
        </w:rPr>
        <w:t xml:space="preserve"> </w:t>
      </w:r>
      <w:r w:rsidR="00071662" w:rsidRPr="008A1DB4">
        <w:rPr>
          <w:spacing w:val="-2"/>
          <w:lang w:val="en-US"/>
        </w:rPr>
        <w:t>were complemented by a</w:t>
      </w:r>
      <w:r w:rsidR="00F36400" w:rsidRPr="008A1DB4">
        <w:rPr>
          <w:spacing w:val="-2"/>
          <w:lang w:val="en-US"/>
        </w:rPr>
        <w:t>rticle</w:t>
      </w:r>
      <w:r w:rsidR="00071662" w:rsidRPr="008A1DB4">
        <w:rPr>
          <w:spacing w:val="-2"/>
          <w:lang w:val="en-US"/>
        </w:rPr>
        <w:t xml:space="preserve"> 5 of the bilateral Extradition Treaty between Peru </w:t>
      </w:r>
      <w:r w:rsidR="00F36400" w:rsidRPr="008A1DB4">
        <w:rPr>
          <w:spacing w:val="-2"/>
          <w:lang w:val="en-US"/>
        </w:rPr>
        <w:t xml:space="preserve">and </w:t>
      </w:r>
      <w:r w:rsidR="00FE5E87" w:rsidRPr="008A1DB4">
        <w:rPr>
          <w:spacing w:val="-2"/>
          <w:lang w:val="en-US"/>
        </w:rPr>
        <w:t>the People’s Republic of China</w:t>
      </w:r>
      <w:r w:rsidR="00F36400" w:rsidRPr="008A1DB4">
        <w:rPr>
          <w:spacing w:val="-2"/>
          <w:lang w:val="en-US"/>
        </w:rPr>
        <w:t xml:space="preserve"> and </w:t>
      </w:r>
      <w:r w:rsidR="00071662" w:rsidRPr="008A1DB4">
        <w:rPr>
          <w:spacing w:val="-2"/>
          <w:lang w:val="en-US"/>
        </w:rPr>
        <w:t>by</w:t>
      </w:r>
      <w:r w:rsidR="001063D9" w:rsidRPr="008A1DB4">
        <w:rPr>
          <w:spacing w:val="-2"/>
          <w:lang w:val="en-US"/>
        </w:rPr>
        <w:t xml:space="preserve"> </w:t>
      </w:r>
      <w:r w:rsidR="00071662" w:rsidRPr="008A1DB4">
        <w:rPr>
          <w:spacing w:val="-2"/>
          <w:lang w:val="en-US"/>
        </w:rPr>
        <w:t>a</w:t>
      </w:r>
      <w:r w:rsidR="00F36400" w:rsidRPr="008A1DB4">
        <w:rPr>
          <w:spacing w:val="-2"/>
          <w:lang w:val="en-US"/>
        </w:rPr>
        <w:t>rticle</w:t>
      </w:r>
      <w:r w:rsidR="001063D9" w:rsidRPr="008A1DB4">
        <w:rPr>
          <w:spacing w:val="-2"/>
          <w:lang w:val="en-US"/>
        </w:rPr>
        <w:t xml:space="preserve"> 517 </w:t>
      </w:r>
      <w:r w:rsidR="00071662" w:rsidRPr="008A1DB4">
        <w:rPr>
          <w:spacing w:val="-2"/>
          <w:lang w:val="en-US"/>
        </w:rPr>
        <w:t xml:space="preserve">of the new </w:t>
      </w:r>
      <w:r w:rsidR="00B43F84" w:rsidRPr="008A1DB4">
        <w:rPr>
          <w:spacing w:val="-2"/>
          <w:lang w:val="en-US"/>
        </w:rPr>
        <w:t>Code of Criminal Procedure</w:t>
      </w:r>
      <w:r w:rsidR="001063D9" w:rsidRPr="008A1DB4">
        <w:rPr>
          <w:spacing w:val="-2"/>
          <w:lang w:val="en-US"/>
        </w:rPr>
        <w:t xml:space="preserve"> </w:t>
      </w:r>
      <w:r w:rsidR="00071662" w:rsidRPr="008A1DB4">
        <w:rPr>
          <w:spacing w:val="-2"/>
          <w:lang w:val="en-US"/>
        </w:rPr>
        <w:t xml:space="preserve">that, interpreted together, establish that </w:t>
      </w:r>
      <w:r w:rsidR="002D1CFC" w:rsidRPr="008A1DB4">
        <w:rPr>
          <w:spacing w:val="-2"/>
          <w:lang w:val="en-US"/>
        </w:rPr>
        <w:t>extradition</w:t>
      </w:r>
      <w:r w:rsidR="001063D9" w:rsidRPr="008A1DB4">
        <w:rPr>
          <w:spacing w:val="-2"/>
          <w:lang w:val="en-US"/>
        </w:rPr>
        <w:t xml:space="preserve"> </w:t>
      </w:r>
      <w:r w:rsidR="00071662" w:rsidRPr="008A1DB4">
        <w:rPr>
          <w:spacing w:val="-2"/>
          <w:lang w:val="en-US"/>
        </w:rPr>
        <w:t xml:space="preserve">shall not take place, among other reasons: </w:t>
      </w:r>
      <w:r w:rsidR="0029294F" w:rsidRPr="008A1DB4">
        <w:rPr>
          <w:spacing w:val="-2"/>
          <w:lang w:val="en-US"/>
        </w:rPr>
        <w:t xml:space="preserve">(1) </w:t>
      </w:r>
      <w:r w:rsidR="00071662" w:rsidRPr="008A1DB4">
        <w:rPr>
          <w:spacing w:val="-2"/>
          <w:lang w:val="en-US"/>
        </w:rPr>
        <w:t xml:space="preserve">if the offense for which extradition is requested bears the death penalty in </w:t>
      </w:r>
      <w:r w:rsidR="00653211" w:rsidRPr="008A1DB4">
        <w:rPr>
          <w:spacing w:val="-2"/>
          <w:lang w:val="en-US"/>
        </w:rPr>
        <w:t>the requesting State</w:t>
      </w:r>
      <w:r w:rsidR="00F36400" w:rsidRPr="008A1DB4">
        <w:rPr>
          <w:spacing w:val="-2"/>
          <w:lang w:val="en-US"/>
        </w:rPr>
        <w:t xml:space="preserve"> and </w:t>
      </w:r>
      <w:r w:rsidR="00071662" w:rsidRPr="008A1DB4">
        <w:rPr>
          <w:spacing w:val="-2"/>
          <w:lang w:val="en-US"/>
        </w:rPr>
        <w:t>the latter fails to provide assurances that it will not be applied, and (2) if the proceedings to which the individual e</w:t>
      </w:r>
      <w:r w:rsidR="00282063">
        <w:rPr>
          <w:spacing w:val="-2"/>
          <w:lang w:val="en-US"/>
        </w:rPr>
        <w:t>xtradited will be subject do</w:t>
      </w:r>
      <w:r w:rsidR="00071662" w:rsidRPr="008A1DB4">
        <w:rPr>
          <w:spacing w:val="-2"/>
          <w:lang w:val="en-US"/>
        </w:rPr>
        <w:t xml:space="preserve"> not comply with the international requirements of due process</w:t>
      </w:r>
      <w:r w:rsidR="001063D9" w:rsidRPr="008A1DB4">
        <w:rPr>
          <w:spacing w:val="-2"/>
          <w:lang w:val="en-US"/>
        </w:rPr>
        <w:t>.</w:t>
      </w:r>
      <w:r w:rsidR="001063D9" w:rsidRPr="008A1DB4">
        <w:rPr>
          <w:b/>
          <w:spacing w:val="-2"/>
          <w:lang w:val="en-US"/>
        </w:rPr>
        <w:t xml:space="preserve"> </w:t>
      </w:r>
    </w:p>
    <w:p w14:paraId="735DA8DF" w14:textId="77777777" w:rsidR="001063D9" w:rsidRPr="008A1DB4" w:rsidRDefault="001063D9" w:rsidP="00956E97">
      <w:pPr>
        <w:pStyle w:val="ListParagraph"/>
        <w:tabs>
          <w:tab w:val="left" w:pos="284"/>
          <w:tab w:val="left" w:pos="567"/>
        </w:tabs>
        <w:ind w:left="0"/>
        <w:rPr>
          <w:b/>
          <w:spacing w:val="-2"/>
          <w:lang w:val="en-US"/>
        </w:rPr>
      </w:pPr>
    </w:p>
    <w:p w14:paraId="6B246546" w14:textId="025689E5" w:rsidR="00B16E52" w:rsidRPr="008A1DB4" w:rsidRDefault="00F36400" w:rsidP="00CC6F1B">
      <w:pPr>
        <w:pStyle w:val="PrrafodeSentencia"/>
        <w:rPr>
          <w:b/>
          <w:spacing w:val="-2"/>
          <w:lang w:val="en-US"/>
        </w:rPr>
      </w:pPr>
      <w:r w:rsidRPr="008A1DB4">
        <w:rPr>
          <w:spacing w:val="-2"/>
          <w:lang w:val="en-US"/>
        </w:rPr>
        <w:t>The State</w:t>
      </w:r>
      <w:r w:rsidR="001063D9" w:rsidRPr="008A1DB4">
        <w:rPr>
          <w:spacing w:val="-2"/>
          <w:lang w:val="en-US"/>
        </w:rPr>
        <w:t xml:space="preserve"> </w:t>
      </w:r>
      <w:r w:rsidR="00CC6F1B" w:rsidRPr="008A1DB4">
        <w:rPr>
          <w:spacing w:val="-2"/>
          <w:lang w:val="en-US"/>
        </w:rPr>
        <w:t xml:space="preserve">affirmed that it had complied with its international obligation to respect and ensure the rights to life, </w:t>
      </w:r>
      <w:r w:rsidR="00776D24" w:rsidRPr="008A1DB4">
        <w:rPr>
          <w:spacing w:val="-2"/>
          <w:lang w:val="en-US"/>
        </w:rPr>
        <w:t>personal integrity</w:t>
      </w:r>
      <w:r w:rsidRPr="008A1DB4">
        <w:rPr>
          <w:spacing w:val="-2"/>
          <w:lang w:val="en-US"/>
        </w:rPr>
        <w:t xml:space="preserve"> and </w:t>
      </w:r>
      <w:r w:rsidR="00CC6F1B" w:rsidRPr="008A1DB4">
        <w:rPr>
          <w:spacing w:val="-2"/>
          <w:lang w:val="en-US"/>
        </w:rPr>
        <w:t xml:space="preserve">judicial guarantees </w:t>
      </w:r>
      <w:r w:rsidR="00282063">
        <w:rPr>
          <w:spacing w:val="-2"/>
          <w:lang w:val="en-US"/>
        </w:rPr>
        <w:t>of the petitioner. It underlined</w:t>
      </w:r>
      <w:r w:rsidR="00CC6F1B" w:rsidRPr="008A1DB4">
        <w:rPr>
          <w:spacing w:val="-2"/>
          <w:lang w:val="en-US"/>
        </w:rPr>
        <w:t xml:space="preserve"> that the Supreme Court of Justice and the Constitutional Court had assessed the </w:t>
      </w:r>
      <w:r w:rsidR="00282063">
        <w:rPr>
          <w:spacing w:val="-2"/>
          <w:lang w:val="en-US"/>
        </w:rPr>
        <w:t>guarantees</w:t>
      </w:r>
      <w:r w:rsidR="00CC6F1B" w:rsidRPr="008A1DB4">
        <w:rPr>
          <w:spacing w:val="-2"/>
          <w:lang w:val="en-US"/>
        </w:rPr>
        <w:t xml:space="preserve"> that existed when they took their decision, but were unable to rule on the additional </w:t>
      </w:r>
      <w:r w:rsidR="00282063">
        <w:rPr>
          <w:spacing w:val="-2"/>
          <w:lang w:val="en-US"/>
        </w:rPr>
        <w:t>assurances</w:t>
      </w:r>
      <w:r w:rsidR="00CC6F1B" w:rsidRPr="008A1DB4">
        <w:rPr>
          <w:spacing w:val="-2"/>
          <w:lang w:val="en-US"/>
        </w:rPr>
        <w:t xml:space="preserve"> </w:t>
      </w:r>
      <w:r w:rsidR="00282063">
        <w:rPr>
          <w:spacing w:val="-2"/>
          <w:lang w:val="en-US"/>
        </w:rPr>
        <w:t>provided</w:t>
      </w:r>
      <w:r w:rsidR="00CC6F1B" w:rsidRPr="008A1DB4">
        <w:rPr>
          <w:spacing w:val="-2"/>
          <w:lang w:val="en-US"/>
        </w:rPr>
        <w:t xml:space="preserve"> by China and </w:t>
      </w:r>
      <w:r w:rsidR="00282063">
        <w:rPr>
          <w:spacing w:val="-2"/>
          <w:lang w:val="en-US"/>
        </w:rPr>
        <w:t>on</w:t>
      </w:r>
      <w:r w:rsidR="00CC6F1B" w:rsidRPr="008A1DB4">
        <w:rPr>
          <w:spacing w:val="-2"/>
          <w:lang w:val="en-US"/>
        </w:rPr>
        <w:t xml:space="preserve"> the annulment of the death penalty as a criminal sanction for the offense of </w:t>
      </w:r>
      <w:r w:rsidR="00127339" w:rsidRPr="008A1DB4">
        <w:rPr>
          <w:spacing w:val="-2"/>
          <w:lang w:val="en-US"/>
        </w:rPr>
        <w:t>smuggling ordinary merchandise</w:t>
      </w:r>
      <w:r w:rsidR="001063D9" w:rsidRPr="008A1DB4">
        <w:rPr>
          <w:spacing w:val="-2"/>
          <w:lang w:val="en-US"/>
        </w:rPr>
        <w:t xml:space="preserve">, </w:t>
      </w:r>
      <w:r w:rsidR="00CC6F1B" w:rsidRPr="008A1DB4">
        <w:rPr>
          <w:spacing w:val="-2"/>
          <w:lang w:val="en-US"/>
        </w:rPr>
        <w:t xml:space="preserve">which </w:t>
      </w:r>
      <w:r w:rsidR="00282063">
        <w:rPr>
          <w:spacing w:val="-2"/>
          <w:lang w:val="en-US"/>
        </w:rPr>
        <w:t>had also not been assessed by the Commission</w:t>
      </w:r>
      <w:r w:rsidR="00CC6F1B" w:rsidRPr="008A1DB4">
        <w:rPr>
          <w:spacing w:val="-2"/>
          <w:lang w:val="en-US"/>
        </w:rPr>
        <w:t xml:space="preserve">. The State emphasized that the Court should consider the circumstances at the time of the proceedings before it, and assess carefully the outdated or, at the very least, incomplete sources </w:t>
      </w:r>
      <w:r w:rsidR="00C45946" w:rsidRPr="008A1DB4">
        <w:rPr>
          <w:spacing w:val="-2"/>
          <w:lang w:val="en-US"/>
        </w:rPr>
        <w:t xml:space="preserve">of the </w:t>
      </w:r>
      <w:r w:rsidRPr="008A1DB4">
        <w:rPr>
          <w:spacing w:val="-2"/>
          <w:lang w:val="en-US"/>
        </w:rPr>
        <w:t xml:space="preserve">Commission and </w:t>
      </w:r>
      <w:r w:rsidR="00CC6F1B" w:rsidRPr="008A1DB4">
        <w:rPr>
          <w:spacing w:val="-2"/>
          <w:lang w:val="en-US"/>
        </w:rPr>
        <w:t>the petitioner. The State also indicated that</w:t>
      </w:r>
      <w:r w:rsidR="001063D9" w:rsidRPr="008A1DB4">
        <w:rPr>
          <w:spacing w:val="-2"/>
          <w:lang w:val="en-US"/>
        </w:rPr>
        <w:t xml:space="preserve"> </w:t>
      </w:r>
      <w:r w:rsidR="00071662" w:rsidRPr="008A1DB4">
        <w:rPr>
          <w:spacing w:val="-2"/>
          <w:lang w:val="en-US"/>
        </w:rPr>
        <w:t>the principle of non-</w:t>
      </w:r>
      <w:proofErr w:type="spellStart"/>
      <w:r w:rsidR="00071662" w:rsidRPr="008A1DB4">
        <w:rPr>
          <w:spacing w:val="-2"/>
          <w:lang w:val="en-US"/>
        </w:rPr>
        <w:t>refoulement</w:t>
      </w:r>
      <w:proofErr w:type="spellEnd"/>
      <w:r w:rsidR="001063D9" w:rsidRPr="008A1DB4">
        <w:rPr>
          <w:spacing w:val="-2"/>
          <w:lang w:val="en-US"/>
        </w:rPr>
        <w:t xml:space="preserve"> </w:t>
      </w:r>
      <w:r w:rsidR="0058668C" w:rsidRPr="008A1DB4">
        <w:rPr>
          <w:spacing w:val="-2"/>
          <w:lang w:val="en-US"/>
        </w:rPr>
        <w:t>of Article</w:t>
      </w:r>
      <w:r w:rsidR="00775124" w:rsidRPr="008A1DB4">
        <w:rPr>
          <w:spacing w:val="-2"/>
          <w:lang w:val="en-US"/>
        </w:rPr>
        <w:t xml:space="preserve"> 13(</w:t>
      </w:r>
      <w:r w:rsidR="001063D9" w:rsidRPr="008A1DB4">
        <w:rPr>
          <w:spacing w:val="-2"/>
          <w:lang w:val="en-US"/>
        </w:rPr>
        <w:t>4</w:t>
      </w:r>
      <w:r w:rsidR="00775124" w:rsidRPr="008A1DB4">
        <w:rPr>
          <w:spacing w:val="-2"/>
          <w:lang w:val="en-US"/>
        </w:rPr>
        <w:t>)</w:t>
      </w:r>
      <w:r w:rsidRPr="008A1DB4">
        <w:rPr>
          <w:spacing w:val="-2"/>
          <w:lang w:val="en-US"/>
        </w:rPr>
        <w:t xml:space="preserve"> of the </w:t>
      </w:r>
      <w:r w:rsidR="00071662" w:rsidRPr="008A1DB4">
        <w:rPr>
          <w:spacing w:val="-2"/>
          <w:lang w:val="en-US"/>
        </w:rPr>
        <w:t>Inter-American Convention to Prevent and Punish Torture</w:t>
      </w:r>
      <w:r w:rsidR="00CC6F1B" w:rsidRPr="008A1DB4">
        <w:rPr>
          <w:spacing w:val="-2"/>
          <w:lang w:val="en-US"/>
        </w:rPr>
        <w:t xml:space="preserve"> </w:t>
      </w:r>
      <w:r w:rsidR="00947926" w:rsidRPr="008A1DB4">
        <w:rPr>
          <w:spacing w:val="-2"/>
          <w:lang w:val="en-US"/>
        </w:rPr>
        <w:t>operates</w:t>
      </w:r>
      <w:r w:rsidR="00CC6F1B" w:rsidRPr="008A1DB4">
        <w:rPr>
          <w:spacing w:val="-2"/>
          <w:lang w:val="en-US"/>
        </w:rPr>
        <w:t xml:space="preserve"> provi</w:t>
      </w:r>
      <w:r w:rsidR="00947926">
        <w:rPr>
          <w:spacing w:val="-2"/>
          <w:lang w:val="en-US"/>
        </w:rPr>
        <w:t>d</w:t>
      </w:r>
      <w:r w:rsidR="00CC6F1B" w:rsidRPr="008A1DB4">
        <w:rPr>
          <w:spacing w:val="-2"/>
          <w:lang w:val="en-US"/>
        </w:rPr>
        <w:t>ed that there is a well-founded presumption (and not a mere unsubstantiated affirmation) about the risk that an individual’s life could be harmed or that he could be subjected to torture or cruel, inhuman or degrading treatment</w:t>
      </w:r>
      <w:r w:rsidR="001063D9" w:rsidRPr="008A1DB4">
        <w:rPr>
          <w:spacing w:val="-2"/>
          <w:lang w:val="en-US"/>
        </w:rPr>
        <w:t xml:space="preserve">. </w:t>
      </w:r>
      <w:r w:rsidRPr="008A1DB4">
        <w:rPr>
          <w:spacing w:val="-2"/>
          <w:lang w:val="en-US"/>
        </w:rPr>
        <w:t>The State</w:t>
      </w:r>
      <w:r w:rsidR="001063D9" w:rsidRPr="008A1DB4">
        <w:rPr>
          <w:spacing w:val="-2"/>
          <w:lang w:val="en-US"/>
        </w:rPr>
        <w:t xml:space="preserve"> a</w:t>
      </w:r>
      <w:r w:rsidR="00CC6F1B" w:rsidRPr="008A1DB4">
        <w:rPr>
          <w:spacing w:val="-2"/>
          <w:lang w:val="en-US"/>
        </w:rPr>
        <w:t xml:space="preserve">rgued that, in this case, this well-founded presumption has not been proved and that, in the domestic courts, the burden of proof was on the presumed victim and/or his representative. Regarding the actions of the State authorities from the time of </w:t>
      </w:r>
      <w:r w:rsidR="00087CF8" w:rsidRPr="008A1DB4">
        <w:rPr>
          <w:spacing w:val="-2"/>
          <w:lang w:val="en-US"/>
        </w:rPr>
        <w:t>the extradition request</w:t>
      </w:r>
      <w:r w:rsidR="001063D9" w:rsidRPr="008A1DB4">
        <w:rPr>
          <w:spacing w:val="-2"/>
          <w:lang w:val="en-US"/>
        </w:rPr>
        <w:t xml:space="preserve"> </w:t>
      </w:r>
      <w:r w:rsidR="00CC6F1B" w:rsidRPr="008A1DB4">
        <w:rPr>
          <w:spacing w:val="-2"/>
          <w:lang w:val="en-US"/>
        </w:rPr>
        <w:t>and until the first</w:t>
      </w:r>
      <w:r w:rsidR="001063D9" w:rsidRPr="008A1DB4">
        <w:rPr>
          <w:spacing w:val="-2"/>
          <w:lang w:val="en-US"/>
        </w:rPr>
        <w:t xml:space="preserve"> </w:t>
      </w:r>
      <w:r w:rsidR="002D1CFC" w:rsidRPr="008A1DB4">
        <w:rPr>
          <w:spacing w:val="-2"/>
          <w:lang w:val="en-US"/>
        </w:rPr>
        <w:t>advisory decision</w:t>
      </w:r>
      <w:r w:rsidR="001063D9" w:rsidRPr="008A1DB4">
        <w:rPr>
          <w:spacing w:val="-2"/>
          <w:lang w:val="en-US"/>
        </w:rPr>
        <w:t xml:space="preserve">, </w:t>
      </w:r>
      <w:r w:rsidRPr="008A1DB4">
        <w:rPr>
          <w:spacing w:val="-2"/>
          <w:lang w:val="en-US"/>
        </w:rPr>
        <w:t>the State</w:t>
      </w:r>
      <w:r w:rsidR="001063D9" w:rsidRPr="008A1DB4">
        <w:rPr>
          <w:spacing w:val="-2"/>
          <w:lang w:val="en-US"/>
        </w:rPr>
        <w:t xml:space="preserve"> a</w:t>
      </w:r>
      <w:r w:rsidR="00CC6F1B" w:rsidRPr="008A1DB4">
        <w:rPr>
          <w:spacing w:val="-2"/>
          <w:lang w:val="en-US"/>
        </w:rPr>
        <w:t xml:space="preserve">rgued that </w:t>
      </w:r>
      <w:r w:rsidRPr="008A1DB4">
        <w:rPr>
          <w:spacing w:val="-2"/>
          <w:lang w:val="en-US"/>
        </w:rPr>
        <w:t>the Commission</w:t>
      </w:r>
      <w:r w:rsidR="001063D9" w:rsidRPr="008A1DB4">
        <w:rPr>
          <w:spacing w:val="-2"/>
          <w:lang w:val="en-US"/>
        </w:rPr>
        <w:t xml:space="preserve"> </w:t>
      </w:r>
      <w:r w:rsidR="00CC6F1B" w:rsidRPr="008A1DB4">
        <w:rPr>
          <w:spacing w:val="-2"/>
          <w:lang w:val="en-US"/>
        </w:rPr>
        <w:t xml:space="preserve">had not taken into account that the nullification of the ruling </w:t>
      </w:r>
      <w:r w:rsidRPr="008A1DB4">
        <w:rPr>
          <w:spacing w:val="-2"/>
          <w:lang w:val="en-US"/>
        </w:rPr>
        <w:t xml:space="preserve">of </w:t>
      </w:r>
      <w:r w:rsidR="00B67AC5" w:rsidRPr="008A1DB4">
        <w:rPr>
          <w:spacing w:val="-2"/>
          <w:lang w:val="en-US"/>
        </w:rPr>
        <w:t>the Supreme Court</w:t>
      </w:r>
      <w:r w:rsidR="00CC6F1B" w:rsidRPr="008A1DB4">
        <w:rPr>
          <w:spacing w:val="-2"/>
          <w:lang w:val="en-US"/>
        </w:rPr>
        <w:t xml:space="preserve"> of</w:t>
      </w:r>
      <w:r w:rsidR="001063D9" w:rsidRPr="008A1DB4">
        <w:rPr>
          <w:spacing w:val="-2"/>
          <w:lang w:val="en-US"/>
        </w:rPr>
        <w:t xml:space="preserve"> </w:t>
      </w:r>
      <w:r w:rsidR="001E7113" w:rsidRPr="008A1DB4">
        <w:rPr>
          <w:spacing w:val="-2"/>
          <w:lang w:val="en-US"/>
        </w:rPr>
        <w:t>January 20,</w:t>
      </w:r>
      <w:r w:rsidR="001063D9" w:rsidRPr="008A1DB4">
        <w:rPr>
          <w:spacing w:val="-2"/>
          <w:lang w:val="en-US"/>
        </w:rPr>
        <w:t xml:space="preserve"> </w:t>
      </w:r>
      <w:r w:rsidR="001063D9" w:rsidRPr="008A1DB4">
        <w:rPr>
          <w:spacing w:val="-2"/>
          <w:lang w:val="en-US"/>
        </w:rPr>
        <w:lastRenderedPageBreak/>
        <w:t>2009</w:t>
      </w:r>
      <w:r w:rsidR="00CC6F1B" w:rsidRPr="008A1DB4">
        <w:rPr>
          <w:spacing w:val="-2"/>
          <w:lang w:val="en-US"/>
        </w:rPr>
        <w:t>,</w:t>
      </w:r>
      <w:r w:rsidR="001063D9" w:rsidRPr="008A1DB4">
        <w:rPr>
          <w:spacing w:val="-2"/>
          <w:lang w:val="en-US"/>
        </w:rPr>
        <w:t xml:space="preserve"> </w:t>
      </w:r>
      <w:r w:rsidR="00CC6F1B" w:rsidRPr="008A1DB4">
        <w:rPr>
          <w:spacing w:val="-2"/>
          <w:lang w:val="en-US"/>
        </w:rPr>
        <w:t xml:space="preserve">rectified, in the domestic sphere, by </w:t>
      </w:r>
      <w:r w:rsidR="00947926">
        <w:rPr>
          <w:spacing w:val="-2"/>
          <w:lang w:val="en-US"/>
        </w:rPr>
        <w:t>m</w:t>
      </w:r>
      <w:r w:rsidR="00CC6F1B" w:rsidRPr="008A1DB4">
        <w:rPr>
          <w:spacing w:val="-2"/>
          <w:lang w:val="en-US"/>
        </w:rPr>
        <w:t xml:space="preserve">eans of effective and appropriate remedies, any possible </w:t>
      </w:r>
      <w:r w:rsidR="00A80898">
        <w:rPr>
          <w:spacing w:val="-2"/>
          <w:lang w:val="en-US"/>
        </w:rPr>
        <w:t>errors or omissions</w:t>
      </w:r>
      <w:r w:rsidR="00CC6F1B" w:rsidRPr="008A1DB4">
        <w:rPr>
          <w:spacing w:val="-2"/>
          <w:lang w:val="en-US"/>
        </w:rPr>
        <w:t xml:space="preserve"> that could have occurred during that first stage of the process.</w:t>
      </w:r>
      <w:r w:rsidR="001063D9" w:rsidRPr="008A1DB4">
        <w:rPr>
          <w:spacing w:val="-2"/>
          <w:lang w:val="en-US"/>
        </w:rPr>
        <w:t xml:space="preserve"> </w:t>
      </w:r>
      <w:r w:rsidR="00775124" w:rsidRPr="008A1DB4">
        <w:rPr>
          <w:spacing w:val="-2"/>
          <w:lang w:val="en-US"/>
        </w:rPr>
        <w:t>Regarding the second</w:t>
      </w:r>
      <w:r w:rsidR="001063D9" w:rsidRPr="008A1DB4">
        <w:rPr>
          <w:spacing w:val="-2"/>
          <w:lang w:val="en-US"/>
        </w:rPr>
        <w:t xml:space="preserve"> </w:t>
      </w:r>
      <w:r w:rsidR="002D1CFC" w:rsidRPr="008A1DB4">
        <w:rPr>
          <w:spacing w:val="-2"/>
          <w:lang w:val="en-US"/>
        </w:rPr>
        <w:t>advisory decision</w:t>
      </w:r>
      <w:r w:rsidR="001063D9" w:rsidRPr="008A1DB4">
        <w:rPr>
          <w:spacing w:val="-2"/>
          <w:lang w:val="en-US"/>
        </w:rPr>
        <w:t xml:space="preserve"> </w:t>
      </w:r>
      <w:r w:rsidR="00671326" w:rsidRPr="008A1DB4">
        <w:rPr>
          <w:spacing w:val="-2"/>
          <w:lang w:val="en-US"/>
        </w:rPr>
        <w:t>of January 27,</w:t>
      </w:r>
      <w:r w:rsidR="001063D9" w:rsidRPr="008A1DB4">
        <w:rPr>
          <w:spacing w:val="-2"/>
          <w:lang w:val="en-US"/>
        </w:rPr>
        <w:t xml:space="preserve"> 2010, </w:t>
      </w:r>
      <w:r w:rsidRPr="008A1DB4">
        <w:rPr>
          <w:spacing w:val="-2"/>
          <w:lang w:val="en-US"/>
        </w:rPr>
        <w:t>the State</w:t>
      </w:r>
      <w:r w:rsidR="001063D9" w:rsidRPr="008A1DB4">
        <w:rPr>
          <w:spacing w:val="-2"/>
          <w:lang w:val="en-US"/>
        </w:rPr>
        <w:t xml:space="preserve"> </w:t>
      </w:r>
      <w:r w:rsidR="00775124" w:rsidRPr="008A1DB4">
        <w:rPr>
          <w:spacing w:val="-2"/>
          <w:lang w:val="en-US"/>
        </w:rPr>
        <w:t>underlined that</w:t>
      </w:r>
      <w:r w:rsidR="001063D9" w:rsidRPr="008A1DB4">
        <w:rPr>
          <w:spacing w:val="-2"/>
          <w:lang w:val="en-US"/>
        </w:rPr>
        <w:t xml:space="preserve"> </w:t>
      </w:r>
      <w:r w:rsidR="00B67AC5" w:rsidRPr="008A1DB4">
        <w:rPr>
          <w:spacing w:val="-2"/>
          <w:lang w:val="en-US"/>
        </w:rPr>
        <w:t xml:space="preserve">the </w:t>
      </w:r>
      <w:r w:rsidR="001E7113" w:rsidRPr="008A1DB4">
        <w:rPr>
          <w:spacing w:val="-2"/>
          <w:lang w:val="en-US"/>
        </w:rPr>
        <w:t>Supreme Court of Justice</w:t>
      </w:r>
      <w:r w:rsidR="001063D9" w:rsidRPr="008A1DB4">
        <w:rPr>
          <w:spacing w:val="-2"/>
          <w:lang w:val="en-US"/>
        </w:rPr>
        <w:t xml:space="preserve"> </w:t>
      </w:r>
      <w:r w:rsidR="00CC6F1B" w:rsidRPr="008A1DB4">
        <w:rPr>
          <w:spacing w:val="-2"/>
          <w:lang w:val="en-US"/>
        </w:rPr>
        <w:t xml:space="preserve">had </w:t>
      </w:r>
      <w:r w:rsidR="00775124" w:rsidRPr="008A1DB4">
        <w:rPr>
          <w:spacing w:val="-2"/>
          <w:lang w:val="en-US"/>
        </w:rPr>
        <w:t xml:space="preserve">assessed the </w:t>
      </w:r>
      <w:r w:rsidR="00A80898">
        <w:rPr>
          <w:spacing w:val="-2"/>
          <w:lang w:val="en-US"/>
        </w:rPr>
        <w:t>assurances that</w:t>
      </w:r>
      <w:r w:rsidR="00775124" w:rsidRPr="008A1DB4">
        <w:rPr>
          <w:spacing w:val="-2"/>
          <w:lang w:val="en-US"/>
        </w:rPr>
        <w:t xml:space="preserve"> </w:t>
      </w:r>
      <w:r w:rsidR="00BB44A4" w:rsidRPr="008A1DB4">
        <w:rPr>
          <w:spacing w:val="-2"/>
          <w:lang w:val="en-US"/>
        </w:rPr>
        <w:t xml:space="preserve">the </w:t>
      </w:r>
      <w:r w:rsidR="00A3310A" w:rsidRPr="008A1DB4">
        <w:rPr>
          <w:spacing w:val="-2"/>
          <w:lang w:val="en-US"/>
        </w:rPr>
        <w:t>death penalty</w:t>
      </w:r>
      <w:r w:rsidR="001063D9" w:rsidRPr="008A1DB4">
        <w:rPr>
          <w:spacing w:val="-2"/>
          <w:lang w:val="en-US"/>
        </w:rPr>
        <w:t xml:space="preserve"> </w:t>
      </w:r>
      <w:r w:rsidR="00A80898">
        <w:rPr>
          <w:spacing w:val="-2"/>
          <w:lang w:val="en-US"/>
        </w:rPr>
        <w:t xml:space="preserve">would not be applied </w:t>
      </w:r>
      <w:r w:rsidR="001063D9" w:rsidRPr="008A1DB4">
        <w:rPr>
          <w:spacing w:val="-2"/>
          <w:lang w:val="en-US"/>
        </w:rPr>
        <w:t>present</w:t>
      </w:r>
      <w:r w:rsidR="00775124" w:rsidRPr="008A1DB4">
        <w:rPr>
          <w:spacing w:val="-2"/>
          <w:lang w:val="en-US"/>
        </w:rPr>
        <w:t xml:space="preserve">ed by the diplomatic authorities </w:t>
      </w:r>
      <w:r w:rsidRPr="008A1DB4">
        <w:rPr>
          <w:spacing w:val="-2"/>
          <w:lang w:val="en-US"/>
        </w:rPr>
        <w:t xml:space="preserve">and the </w:t>
      </w:r>
      <w:r w:rsidR="008065B7" w:rsidRPr="008A1DB4">
        <w:rPr>
          <w:spacing w:val="-2"/>
          <w:lang w:val="en-US"/>
        </w:rPr>
        <w:t>People’s Supreme Court</w:t>
      </w:r>
      <w:r w:rsidR="00775124" w:rsidRPr="008A1DB4">
        <w:rPr>
          <w:spacing w:val="-2"/>
          <w:lang w:val="en-US"/>
        </w:rPr>
        <w:t xml:space="preserve"> of</w:t>
      </w:r>
      <w:r w:rsidR="001063D9" w:rsidRPr="008A1DB4">
        <w:rPr>
          <w:spacing w:val="-2"/>
          <w:lang w:val="en-US"/>
        </w:rPr>
        <w:t xml:space="preserve"> China</w:t>
      </w:r>
      <w:r w:rsidRPr="008A1DB4">
        <w:rPr>
          <w:spacing w:val="-2"/>
          <w:lang w:val="en-US"/>
        </w:rPr>
        <w:t xml:space="preserve"> and </w:t>
      </w:r>
      <w:r w:rsidR="00775124" w:rsidRPr="008A1DB4">
        <w:rPr>
          <w:spacing w:val="-2"/>
          <w:lang w:val="en-US"/>
        </w:rPr>
        <w:t xml:space="preserve">considered them an </w:t>
      </w:r>
      <w:r w:rsidR="00CC6F1B" w:rsidRPr="008A1DB4">
        <w:rPr>
          <w:spacing w:val="-2"/>
          <w:lang w:val="en-US"/>
        </w:rPr>
        <w:t>i</w:t>
      </w:r>
      <w:r w:rsidR="00A80898">
        <w:rPr>
          <w:spacing w:val="-2"/>
          <w:lang w:val="en-US"/>
        </w:rPr>
        <w:t>ncontrovertible</w:t>
      </w:r>
      <w:r w:rsidR="00775124" w:rsidRPr="008A1DB4">
        <w:rPr>
          <w:spacing w:val="-2"/>
          <w:lang w:val="en-US"/>
        </w:rPr>
        <w:t xml:space="preserve"> commitment. It also indicated that “the present context in </w:t>
      </w:r>
      <w:r w:rsidR="00653211" w:rsidRPr="008A1DB4">
        <w:rPr>
          <w:spacing w:val="-2"/>
          <w:lang w:val="en-US"/>
        </w:rPr>
        <w:t>the requesting State</w:t>
      </w:r>
      <w:r w:rsidR="001063D9" w:rsidRPr="008A1DB4">
        <w:rPr>
          <w:spacing w:val="-2"/>
          <w:lang w:val="en-US"/>
        </w:rPr>
        <w:t xml:space="preserve"> </w:t>
      </w:r>
      <w:r w:rsidR="00775124" w:rsidRPr="008A1DB4">
        <w:rPr>
          <w:spacing w:val="-2"/>
          <w:lang w:val="en-US"/>
        </w:rPr>
        <w:t xml:space="preserve">is not as the [Commission] </w:t>
      </w:r>
      <w:r w:rsidRPr="008A1DB4">
        <w:rPr>
          <w:spacing w:val="-2"/>
          <w:lang w:val="en-US"/>
        </w:rPr>
        <w:t xml:space="preserve">and </w:t>
      </w:r>
      <w:r w:rsidR="00C45946" w:rsidRPr="008A1DB4">
        <w:rPr>
          <w:spacing w:val="-2"/>
          <w:lang w:val="en-US"/>
        </w:rPr>
        <w:t>the representative</w:t>
      </w:r>
      <w:r w:rsidR="001063D9" w:rsidRPr="008A1DB4">
        <w:rPr>
          <w:spacing w:val="-2"/>
          <w:lang w:val="en-US"/>
        </w:rPr>
        <w:t xml:space="preserve"> […] </w:t>
      </w:r>
      <w:r w:rsidR="00775124" w:rsidRPr="008A1DB4">
        <w:rPr>
          <w:spacing w:val="-2"/>
          <w:lang w:val="en-US"/>
        </w:rPr>
        <w:t xml:space="preserve">seek to affirm.” </w:t>
      </w:r>
    </w:p>
    <w:p w14:paraId="6E4E2EC8" w14:textId="77777777" w:rsidR="00B16E52" w:rsidRPr="008A1DB4" w:rsidRDefault="00B16E52" w:rsidP="00956E97">
      <w:pPr>
        <w:pStyle w:val="ListParagraph"/>
        <w:tabs>
          <w:tab w:val="left" w:pos="284"/>
          <w:tab w:val="left" w:pos="567"/>
        </w:tabs>
        <w:ind w:left="0"/>
        <w:rPr>
          <w:b/>
          <w:spacing w:val="-2"/>
          <w:lang w:val="en-US"/>
        </w:rPr>
      </w:pPr>
    </w:p>
    <w:p w14:paraId="48658E57" w14:textId="6F21546B" w:rsidR="00B16E52" w:rsidRPr="008A1DB4" w:rsidRDefault="00B16E52" w:rsidP="00956E97">
      <w:pPr>
        <w:pStyle w:val="Heading1"/>
        <w:tabs>
          <w:tab w:val="left" w:pos="567"/>
        </w:tabs>
        <w:rPr>
          <w:spacing w:val="-2"/>
          <w:lang w:val="en-US"/>
        </w:rPr>
      </w:pPr>
      <w:bookmarkStart w:id="647" w:name="_Toc418912615"/>
      <w:bookmarkStart w:id="648" w:name="_Toc419394401"/>
      <w:bookmarkStart w:id="649" w:name="_Toc429490266"/>
      <w:bookmarkStart w:id="650" w:name="_Toc429503778"/>
      <w:bookmarkStart w:id="651" w:name="_Toc429504284"/>
      <w:bookmarkStart w:id="652" w:name="_Toc429677997"/>
      <w:bookmarkStart w:id="653" w:name="_Toc430017160"/>
      <w:bookmarkStart w:id="654" w:name="_Toc430017389"/>
      <w:bookmarkStart w:id="655" w:name="_Toc430018671"/>
      <w:bookmarkStart w:id="656" w:name="_Toc430125269"/>
      <w:bookmarkStart w:id="657" w:name="_Toc430125377"/>
      <w:r w:rsidRPr="008A1DB4">
        <w:rPr>
          <w:spacing w:val="-2"/>
          <w:lang w:val="en-US"/>
        </w:rPr>
        <w:t xml:space="preserve">B. </w:t>
      </w:r>
      <w:r w:rsidR="00A836C4" w:rsidRPr="008A1DB4">
        <w:rPr>
          <w:spacing w:val="-2"/>
          <w:lang w:val="en-US"/>
        </w:rPr>
        <w:t>Considerations</w:t>
      </w:r>
      <w:r w:rsidR="00F36400" w:rsidRPr="008A1DB4">
        <w:rPr>
          <w:spacing w:val="-2"/>
          <w:lang w:val="en-US"/>
        </w:rPr>
        <w:t xml:space="preserve"> of the Court</w:t>
      </w:r>
      <w:bookmarkEnd w:id="647"/>
      <w:bookmarkEnd w:id="648"/>
      <w:bookmarkEnd w:id="649"/>
      <w:bookmarkEnd w:id="650"/>
      <w:bookmarkEnd w:id="651"/>
      <w:bookmarkEnd w:id="652"/>
      <w:bookmarkEnd w:id="653"/>
      <w:bookmarkEnd w:id="654"/>
      <w:bookmarkEnd w:id="655"/>
      <w:bookmarkEnd w:id="656"/>
      <w:bookmarkEnd w:id="657"/>
    </w:p>
    <w:p w14:paraId="7B1277CB" w14:textId="77777777" w:rsidR="00B16E52" w:rsidRPr="008A1DB4" w:rsidRDefault="00B16E52" w:rsidP="00956E97">
      <w:pPr>
        <w:pStyle w:val="ListParagraph"/>
        <w:tabs>
          <w:tab w:val="left" w:pos="567"/>
        </w:tabs>
        <w:ind w:left="0"/>
        <w:rPr>
          <w:spacing w:val="-2"/>
          <w:u w:val="single"/>
          <w:lang w:val="en-US"/>
        </w:rPr>
      </w:pPr>
    </w:p>
    <w:p w14:paraId="0E8A9EEF" w14:textId="66D08390" w:rsidR="000A0A71" w:rsidRPr="008A1DB4" w:rsidRDefault="00775124" w:rsidP="00956E97">
      <w:pPr>
        <w:pStyle w:val="PrrafodeSentencia"/>
        <w:rPr>
          <w:spacing w:val="-2"/>
          <w:lang w:val="en-US"/>
        </w:rPr>
      </w:pPr>
      <w:bookmarkStart w:id="658" w:name="_Ref419393388"/>
      <w:r w:rsidRPr="008A1DB4">
        <w:rPr>
          <w:spacing w:val="-2"/>
          <w:lang w:val="en-US"/>
        </w:rPr>
        <w:t>In order to examine the</w:t>
      </w:r>
      <w:r w:rsidR="00A80898">
        <w:rPr>
          <w:spacing w:val="-2"/>
          <w:lang w:val="en-US"/>
        </w:rPr>
        <w:t xml:space="preserve"> State’s</w:t>
      </w:r>
      <w:r w:rsidRPr="008A1DB4">
        <w:rPr>
          <w:spacing w:val="-2"/>
          <w:lang w:val="en-US"/>
        </w:rPr>
        <w:t xml:space="preserve"> international responsibility</w:t>
      </w:r>
      <w:r w:rsidR="00C45946" w:rsidRPr="008A1DB4">
        <w:rPr>
          <w:spacing w:val="-2"/>
          <w:lang w:val="en-US"/>
        </w:rPr>
        <w:t xml:space="preserve"> </w:t>
      </w:r>
      <w:r w:rsidRPr="008A1DB4">
        <w:rPr>
          <w:spacing w:val="-2"/>
          <w:lang w:val="en-US"/>
        </w:rPr>
        <w:t xml:space="preserve">owing to the alleged risk to violation of the rights </w:t>
      </w:r>
      <w:r w:rsidR="00B43F84" w:rsidRPr="008A1DB4">
        <w:rPr>
          <w:spacing w:val="-2"/>
          <w:lang w:val="en-US"/>
        </w:rPr>
        <w:t>of Wong</w:t>
      </w:r>
      <w:r w:rsidRPr="008A1DB4">
        <w:rPr>
          <w:spacing w:val="-2"/>
          <w:lang w:val="en-US"/>
        </w:rPr>
        <w:t xml:space="preserve"> Ho Wing i</w:t>
      </w:r>
      <w:r w:rsidR="000A0A71" w:rsidRPr="008A1DB4">
        <w:rPr>
          <w:spacing w:val="-2"/>
          <w:lang w:val="en-US"/>
        </w:rPr>
        <w:t xml:space="preserve">n </w:t>
      </w:r>
      <w:r w:rsidR="00653211" w:rsidRPr="008A1DB4">
        <w:rPr>
          <w:spacing w:val="-2"/>
          <w:lang w:val="en-US"/>
        </w:rPr>
        <w:t>the requesting State</w:t>
      </w:r>
      <w:r w:rsidR="000A0A71" w:rsidRPr="008A1DB4">
        <w:rPr>
          <w:spacing w:val="-2"/>
          <w:lang w:val="en-US"/>
        </w:rPr>
        <w:t xml:space="preserve">, </w:t>
      </w:r>
      <w:r w:rsidR="00F36400" w:rsidRPr="008A1DB4">
        <w:rPr>
          <w:spacing w:val="-2"/>
          <w:lang w:val="en-US"/>
        </w:rPr>
        <w:t>the Court</w:t>
      </w:r>
      <w:r w:rsidR="000A0A71" w:rsidRPr="008A1DB4">
        <w:rPr>
          <w:spacing w:val="-2"/>
          <w:lang w:val="en-US"/>
        </w:rPr>
        <w:t xml:space="preserve"> </w:t>
      </w:r>
      <w:r w:rsidRPr="008A1DB4">
        <w:rPr>
          <w:spacing w:val="-2"/>
          <w:lang w:val="en-US"/>
        </w:rPr>
        <w:t xml:space="preserve">will </w:t>
      </w:r>
      <w:r w:rsidR="00A80898">
        <w:rPr>
          <w:spacing w:val="-2"/>
          <w:lang w:val="en-US"/>
        </w:rPr>
        <w:t>present</w:t>
      </w:r>
      <w:r w:rsidRPr="008A1DB4">
        <w:rPr>
          <w:spacing w:val="-2"/>
          <w:lang w:val="en-US"/>
        </w:rPr>
        <w:t xml:space="preserve"> some considerations on: </w:t>
      </w:r>
      <w:r w:rsidR="000A0A71" w:rsidRPr="008A1DB4">
        <w:rPr>
          <w:spacing w:val="-2"/>
          <w:lang w:val="en-US"/>
        </w:rPr>
        <w:t>(</w:t>
      </w:r>
      <w:r w:rsidR="001E03D0" w:rsidRPr="008A1DB4">
        <w:rPr>
          <w:spacing w:val="-2"/>
          <w:lang w:val="en-US"/>
        </w:rPr>
        <w:t xml:space="preserve">B.1) </w:t>
      </w:r>
      <w:r w:rsidRPr="008A1DB4">
        <w:rPr>
          <w:spacing w:val="-2"/>
          <w:lang w:val="en-US"/>
        </w:rPr>
        <w:t>the scope of the obligation to ensure rights</w:t>
      </w:r>
      <w:r w:rsidR="00F36400" w:rsidRPr="008A1DB4">
        <w:rPr>
          <w:spacing w:val="-2"/>
          <w:lang w:val="en-US"/>
        </w:rPr>
        <w:t xml:space="preserve"> and </w:t>
      </w:r>
      <w:r w:rsidR="00071662" w:rsidRPr="008A1DB4">
        <w:rPr>
          <w:spacing w:val="-2"/>
          <w:lang w:val="en-US"/>
        </w:rPr>
        <w:t>the principle of non-</w:t>
      </w:r>
      <w:proofErr w:type="spellStart"/>
      <w:r w:rsidR="00071662" w:rsidRPr="008A1DB4">
        <w:rPr>
          <w:spacing w:val="-2"/>
          <w:lang w:val="en-US"/>
        </w:rPr>
        <w:t>refoulement</w:t>
      </w:r>
      <w:proofErr w:type="spellEnd"/>
      <w:r w:rsidR="00FB68FE" w:rsidRPr="008A1DB4">
        <w:rPr>
          <w:spacing w:val="-2"/>
          <w:lang w:val="en-US"/>
        </w:rPr>
        <w:t xml:space="preserve"> </w:t>
      </w:r>
      <w:r w:rsidRPr="008A1DB4">
        <w:rPr>
          <w:spacing w:val="-2"/>
          <w:lang w:val="en-US"/>
        </w:rPr>
        <w:t>in relation to possible risk to the right</w:t>
      </w:r>
      <w:r w:rsidR="00A80898">
        <w:rPr>
          <w:spacing w:val="-2"/>
          <w:lang w:val="en-US"/>
        </w:rPr>
        <w:t>s</w:t>
      </w:r>
      <w:r w:rsidRPr="008A1DB4">
        <w:rPr>
          <w:spacing w:val="-2"/>
          <w:lang w:val="en-US"/>
        </w:rPr>
        <w:t xml:space="preserve"> to life</w:t>
      </w:r>
      <w:r w:rsidR="00FB68FE" w:rsidRPr="008A1DB4">
        <w:rPr>
          <w:spacing w:val="-2"/>
          <w:lang w:val="en-US"/>
        </w:rPr>
        <w:t xml:space="preserve">, </w:t>
      </w:r>
      <w:r w:rsidR="00A80898">
        <w:rPr>
          <w:spacing w:val="-2"/>
          <w:lang w:val="en-US"/>
        </w:rPr>
        <w:t xml:space="preserve">to </w:t>
      </w:r>
      <w:r w:rsidRPr="008A1DB4">
        <w:rPr>
          <w:spacing w:val="-2"/>
          <w:lang w:val="en-US"/>
        </w:rPr>
        <w:t>personal</w:t>
      </w:r>
      <w:r w:rsidR="00776D24" w:rsidRPr="008A1DB4">
        <w:rPr>
          <w:spacing w:val="-2"/>
          <w:lang w:val="en-US"/>
        </w:rPr>
        <w:t xml:space="preserve"> integrity</w:t>
      </w:r>
      <w:r w:rsidR="00F36400" w:rsidRPr="008A1DB4">
        <w:rPr>
          <w:spacing w:val="-2"/>
          <w:lang w:val="en-US"/>
        </w:rPr>
        <w:t xml:space="preserve"> and </w:t>
      </w:r>
      <w:r w:rsidR="00A80898">
        <w:rPr>
          <w:spacing w:val="-2"/>
          <w:lang w:val="en-US"/>
        </w:rPr>
        <w:t xml:space="preserve">to </w:t>
      </w:r>
      <w:r w:rsidRPr="008A1DB4">
        <w:rPr>
          <w:spacing w:val="-2"/>
          <w:lang w:val="en-US"/>
        </w:rPr>
        <w:t>due process</w:t>
      </w:r>
      <w:r w:rsidR="00FB68FE" w:rsidRPr="008A1DB4">
        <w:rPr>
          <w:spacing w:val="-2"/>
          <w:lang w:val="en-US"/>
        </w:rPr>
        <w:t xml:space="preserve"> </w:t>
      </w:r>
      <w:r w:rsidRPr="008A1DB4">
        <w:rPr>
          <w:spacing w:val="-2"/>
          <w:lang w:val="en-US"/>
        </w:rPr>
        <w:t>in the context of extradition proceedings;</w:t>
      </w:r>
      <w:r w:rsidR="00DF7AF8" w:rsidRPr="008A1DB4">
        <w:rPr>
          <w:spacing w:val="-2"/>
          <w:lang w:val="en-US"/>
        </w:rPr>
        <w:t xml:space="preserve"> (B.2)</w:t>
      </w:r>
      <w:r w:rsidRPr="008A1DB4">
        <w:rPr>
          <w:spacing w:val="-2"/>
          <w:lang w:val="en-US"/>
        </w:rPr>
        <w:t xml:space="preserve"> the nature of the international responsibility</w:t>
      </w:r>
      <w:r w:rsidR="00C45946" w:rsidRPr="008A1DB4">
        <w:rPr>
          <w:spacing w:val="-2"/>
          <w:lang w:val="en-US"/>
        </w:rPr>
        <w:t xml:space="preserve"> of the </w:t>
      </w:r>
      <w:r w:rsidR="00F36400" w:rsidRPr="008A1DB4">
        <w:rPr>
          <w:spacing w:val="-2"/>
          <w:lang w:val="en-US"/>
        </w:rPr>
        <w:t>State</w:t>
      </w:r>
      <w:r w:rsidR="00DF7AF8" w:rsidRPr="008A1DB4">
        <w:rPr>
          <w:spacing w:val="-2"/>
          <w:lang w:val="en-US"/>
        </w:rPr>
        <w:t xml:space="preserve"> </w:t>
      </w:r>
      <w:r w:rsidRPr="008A1DB4">
        <w:rPr>
          <w:spacing w:val="-2"/>
          <w:lang w:val="en-US"/>
        </w:rPr>
        <w:t xml:space="preserve">in this case and the information that the Court must examine in order to analyze the specific circumstances with regard to </w:t>
      </w:r>
      <w:r w:rsidR="001E03D0" w:rsidRPr="008A1DB4">
        <w:rPr>
          <w:spacing w:val="-2"/>
          <w:lang w:val="en-US"/>
        </w:rPr>
        <w:t>(B.</w:t>
      </w:r>
      <w:r w:rsidR="00DF7AF8" w:rsidRPr="008A1DB4">
        <w:rPr>
          <w:spacing w:val="-2"/>
          <w:lang w:val="en-US"/>
        </w:rPr>
        <w:t>3</w:t>
      </w:r>
      <w:r w:rsidR="001E03D0" w:rsidRPr="008A1DB4">
        <w:rPr>
          <w:spacing w:val="-2"/>
          <w:lang w:val="en-US"/>
        </w:rPr>
        <w:t xml:space="preserve">) </w:t>
      </w:r>
      <w:r w:rsidRPr="008A1DB4">
        <w:rPr>
          <w:spacing w:val="-2"/>
          <w:lang w:val="en-US"/>
        </w:rPr>
        <w:t>the alleged risk of the application of the death penalty</w:t>
      </w:r>
      <w:r w:rsidR="000A0A71" w:rsidRPr="008A1DB4">
        <w:rPr>
          <w:spacing w:val="-2"/>
          <w:lang w:val="en-US"/>
        </w:rPr>
        <w:t>,</w:t>
      </w:r>
      <w:r w:rsidR="00F36400" w:rsidRPr="008A1DB4">
        <w:rPr>
          <w:spacing w:val="-2"/>
          <w:lang w:val="en-US"/>
        </w:rPr>
        <w:t xml:space="preserve"> and </w:t>
      </w:r>
      <w:r w:rsidR="000A0A71" w:rsidRPr="008A1DB4">
        <w:rPr>
          <w:spacing w:val="-2"/>
          <w:lang w:val="en-US"/>
        </w:rPr>
        <w:t>(B.</w:t>
      </w:r>
      <w:r w:rsidR="00DF7AF8" w:rsidRPr="008A1DB4">
        <w:rPr>
          <w:spacing w:val="-2"/>
          <w:lang w:val="en-US"/>
        </w:rPr>
        <w:t>4</w:t>
      </w:r>
      <w:r w:rsidR="000A0A71" w:rsidRPr="008A1DB4">
        <w:rPr>
          <w:spacing w:val="-2"/>
          <w:lang w:val="en-US"/>
        </w:rPr>
        <w:t xml:space="preserve">) </w:t>
      </w:r>
      <w:r w:rsidRPr="008A1DB4">
        <w:rPr>
          <w:spacing w:val="-2"/>
          <w:lang w:val="en-US"/>
        </w:rPr>
        <w:t>the alleged risk of torture and other forms of cruel, inhuman or degrading treatment</w:t>
      </w:r>
      <w:r w:rsidR="00BB0BDD" w:rsidRPr="008A1DB4">
        <w:rPr>
          <w:spacing w:val="-2"/>
          <w:lang w:val="en-US"/>
        </w:rPr>
        <w:t xml:space="preserve"> </w:t>
      </w:r>
      <w:r w:rsidRPr="008A1DB4">
        <w:rPr>
          <w:spacing w:val="-2"/>
          <w:lang w:val="en-US"/>
        </w:rPr>
        <w:t>in this case</w:t>
      </w:r>
      <w:r w:rsidR="001E03D0" w:rsidRPr="008A1DB4">
        <w:rPr>
          <w:spacing w:val="-2"/>
          <w:lang w:val="en-US"/>
        </w:rPr>
        <w:t>.</w:t>
      </w:r>
      <w:bookmarkEnd w:id="658"/>
      <w:r w:rsidR="001E03D0" w:rsidRPr="008A1DB4">
        <w:rPr>
          <w:spacing w:val="-2"/>
          <w:lang w:val="en-US"/>
        </w:rPr>
        <w:t xml:space="preserve"> </w:t>
      </w:r>
      <w:r w:rsidR="000A0A71" w:rsidRPr="008A1DB4">
        <w:rPr>
          <w:spacing w:val="-2"/>
          <w:lang w:val="en-US"/>
        </w:rPr>
        <w:t xml:space="preserve">  </w:t>
      </w:r>
    </w:p>
    <w:p w14:paraId="76FFF7C9" w14:textId="77777777" w:rsidR="000A0A71" w:rsidRPr="008A1DB4" w:rsidRDefault="000A0A71" w:rsidP="00956E97">
      <w:pPr>
        <w:pStyle w:val="ListParagraph"/>
        <w:tabs>
          <w:tab w:val="left" w:pos="567"/>
        </w:tabs>
        <w:ind w:left="0"/>
        <w:rPr>
          <w:spacing w:val="-2"/>
          <w:u w:val="single"/>
          <w:lang w:val="en-US"/>
        </w:rPr>
      </w:pPr>
    </w:p>
    <w:p w14:paraId="54D1C65D" w14:textId="7BDCE06D" w:rsidR="00B20C5F" w:rsidRPr="008A1DB4" w:rsidRDefault="00B20C5F" w:rsidP="00956E97">
      <w:pPr>
        <w:pStyle w:val="Heading2"/>
        <w:ind w:left="1440" w:firstLine="0"/>
        <w:rPr>
          <w:spacing w:val="-2"/>
          <w:lang w:val="en-US"/>
        </w:rPr>
      </w:pPr>
      <w:bookmarkStart w:id="659" w:name="_Toc418912616"/>
      <w:bookmarkStart w:id="660" w:name="_Toc419394402"/>
      <w:bookmarkStart w:id="661" w:name="_Toc429490267"/>
      <w:bookmarkStart w:id="662" w:name="_Toc429503779"/>
      <w:bookmarkStart w:id="663" w:name="_Toc429504285"/>
      <w:bookmarkStart w:id="664" w:name="_Toc429677998"/>
      <w:bookmarkStart w:id="665" w:name="_Toc430017161"/>
      <w:bookmarkStart w:id="666" w:name="_Toc430017390"/>
      <w:bookmarkStart w:id="667" w:name="_Toc430018672"/>
      <w:bookmarkStart w:id="668" w:name="_Toc430125270"/>
      <w:bookmarkStart w:id="669" w:name="_Toc430125378"/>
      <w:r w:rsidRPr="008A1DB4">
        <w:rPr>
          <w:spacing w:val="-2"/>
          <w:lang w:val="en-US"/>
        </w:rPr>
        <w:t>B.</w:t>
      </w:r>
      <w:r w:rsidR="00EC26DD" w:rsidRPr="008A1DB4">
        <w:rPr>
          <w:spacing w:val="-2"/>
          <w:lang w:val="en-US"/>
        </w:rPr>
        <w:t>1</w:t>
      </w:r>
      <w:r w:rsidRPr="008A1DB4">
        <w:rPr>
          <w:spacing w:val="-2"/>
          <w:lang w:val="en-US"/>
        </w:rPr>
        <w:t xml:space="preserve">) </w:t>
      </w:r>
      <w:r w:rsidR="00860B3A" w:rsidRPr="008A1DB4">
        <w:rPr>
          <w:spacing w:val="-2"/>
          <w:lang w:val="en-US"/>
        </w:rPr>
        <w:t>General considerations on the obligation to ensure rights and the principle of non-</w:t>
      </w:r>
      <w:proofErr w:type="spellStart"/>
      <w:r w:rsidR="00860B3A" w:rsidRPr="008A1DB4">
        <w:rPr>
          <w:spacing w:val="-2"/>
          <w:lang w:val="en-US"/>
        </w:rPr>
        <w:t>refoulement</w:t>
      </w:r>
      <w:proofErr w:type="spellEnd"/>
      <w:r w:rsidRPr="008A1DB4">
        <w:rPr>
          <w:spacing w:val="-2"/>
          <w:lang w:val="en-US"/>
        </w:rPr>
        <w:t xml:space="preserve"> </w:t>
      </w:r>
      <w:r w:rsidR="00860B3A" w:rsidRPr="008A1DB4">
        <w:rPr>
          <w:spacing w:val="-2"/>
          <w:lang w:val="en-US"/>
        </w:rPr>
        <w:t>in the face of possible risks to the rights to life, to personal integrity and to due process in extradition proceedings</w:t>
      </w:r>
      <w:bookmarkEnd w:id="659"/>
      <w:bookmarkEnd w:id="660"/>
      <w:bookmarkEnd w:id="661"/>
      <w:bookmarkEnd w:id="662"/>
      <w:bookmarkEnd w:id="663"/>
      <w:bookmarkEnd w:id="664"/>
      <w:bookmarkEnd w:id="665"/>
      <w:bookmarkEnd w:id="666"/>
      <w:bookmarkEnd w:id="667"/>
      <w:bookmarkEnd w:id="668"/>
      <w:bookmarkEnd w:id="669"/>
    </w:p>
    <w:p w14:paraId="0EB3D0CE" w14:textId="77777777" w:rsidR="000A0A71" w:rsidRPr="008A1DB4" w:rsidRDefault="000A0A71" w:rsidP="00956E97">
      <w:pPr>
        <w:pStyle w:val="ListParagraph"/>
        <w:tabs>
          <w:tab w:val="left" w:pos="567"/>
        </w:tabs>
        <w:ind w:left="0"/>
        <w:rPr>
          <w:spacing w:val="-2"/>
          <w:u w:val="single"/>
          <w:lang w:val="en-US"/>
        </w:rPr>
      </w:pPr>
    </w:p>
    <w:p w14:paraId="235E1B58" w14:textId="17FDAA31" w:rsidR="00B16E52" w:rsidRPr="008A1DB4" w:rsidRDefault="00CC6F1B" w:rsidP="00956E97">
      <w:pPr>
        <w:pStyle w:val="PrrafodeSentencia"/>
        <w:rPr>
          <w:spacing w:val="-2"/>
          <w:u w:val="single"/>
          <w:lang w:val="en-US"/>
        </w:rPr>
      </w:pPr>
      <w:bookmarkStart w:id="670" w:name="_Ref418902261"/>
      <w:r w:rsidRPr="008A1DB4">
        <w:rPr>
          <w:spacing w:val="-2"/>
          <w:lang w:val="en-US"/>
        </w:rPr>
        <w:t>The general obligation to respect and ensure rights give</w:t>
      </w:r>
      <w:r w:rsidR="00A80898">
        <w:rPr>
          <w:spacing w:val="-2"/>
          <w:lang w:val="en-US"/>
        </w:rPr>
        <w:t>s</w:t>
      </w:r>
      <w:r w:rsidRPr="008A1DB4">
        <w:rPr>
          <w:spacing w:val="-2"/>
          <w:lang w:val="en-US"/>
        </w:rPr>
        <w:t xml:space="preserve"> rise to special duties, which are determined based on the particular needs for protection of the subject of law</w:t>
      </w:r>
      <w:r w:rsidR="00B16E52" w:rsidRPr="008A1DB4">
        <w:rPr>
          <w:spacing w:val="-2"/>
          <w:lang w:val="en-US"/>
        </w:rPr>
        <w:t xml:space="preserve">, </w:t>
      </w:r>
      <w:r w:rsidR="00947926" w:rsidRPr="008A1DB4">
        <w:rPr>
          <w:spacing w:val="-2"/>
          <w:lang w:val="en-US"/>
        </w:rPr>
        <w:t>owing</w:t>
      </w:r>
      <w:r w:rsidRPr="008A1DB4">
        <w:rPr>
          <w:spacing w:val="-2"/>
          <w:lang w:val="en-US"/>
        </w:rPr>
        <w:t xml:space="preserve"> to his personal situation or to the specific situation in which he finds himself.</w:t>
      </w:r>
      <w:r w:rsidR="00B16E52" w:rsidRPr="008A1DB4">
        <w:rPr>
          <w:rStyle w:val="FootnoteReference"/>
          <w:spacing w:val="-2"/>
          <w:lang w:val="en-US"/>
        </w:rPr>
        <w:footnoteReference w:id="171"/>
      </w:r>
      <w:r w:rsidR="00B16E52" w:rsidRPr="008A1DB4">
        <w:rPr>
          <w:spacing w:val="-2"/>
          <w:lang w:val="en-US"/>
        </w:rPr>
        <w:t xml:space="preserve"> </w:t>
      </w:r>
      <w:r w:rsidR="00F36400" w:rsidRPr="008A1DB4">
        <w:rPr>
          <w:spacing w:val="-2"/>
          <w:lang w:val="en-US"/>
        </w:rPr>
        <w:t>The Court</w:t>
      </w:r>
      <w:r w:rsidRPr="008A1DB4">
        <w:rPr>
          <w:spacing w:val="-2"/>
          <w:lang w:val="en-US"/>
        </w:rPr>
        <w:t xml:space="preserve"> considers that, in this case, the obligation of the State</w:t>
      </w:r>
      <w:r w:rsidR="00A80898">
        <w:rPr>
          <w:spacing w:val="-2"/>
          <w:lang w:val="en-US"/>
        </w:rPr>
        <w:t>,</w:t>
      </w:r>
      <w:r w:rsidRPr="008A1DB4">
        <w:rPr>
          <w:spacing w:val="-2"/>
          <w:lang w:val="en-US"/>
        </w:rPr>
        <w:t xml:space="preserve"> faced with </w:t>
      </w:r>
      <w:r w:rsidR="00087CF8" w:rsidRPr="008A1DB4">
        <w:rPr>
          <w:spacing w:val="-2"/>
          <w:lang w:val="en-US"/>
        </w:rPr>
        <w:t>the</w:t>
      </w:r>
      <w:r w:rsidRPr="008A1DB4">
        <w:rPr>
          <w:spacing w:val="-2"/>
          <w:lang w:val="en-US"/>
        </w:rPr>
        <w:t xml:space="preserve"> request for </w:t>
      </w:r>
      <w:r w:rsidR="00B43F84" w:rsidRPr="008A1DB4">
        <w:rPr>
          <w:spacing w:val="-2"/>
          <w:lang w:val="en-US"/>
        </w:rPr>
        <w:t>Wong</w:t>
      </w:r>
      <w:r w:rsidR="009644F5" w:rsidRPr="008A1DB4">
        <w:rPr>
          <w:spacing w:val="-2"/>
          <w:lang w:val="en-US"/>
        </w:rPr>
        <w:t xml:space="preserve"> Ho Wing</w:t>
      </w:r>
      <w:r w:rsidR="00A80898">
        <w:rPr>
          <w:spacing w:val="-2"/>
          <w:lang w:val="en-US"/>
        </w:rPr>
        <w:t>’s extradition,</w:t>
      </w:r>
      <w:r w:rsidR="009644F5" w:rsidRPr="008A1DB4">
        <w:rPr>
          <w:spacing w:val="-2"/>
          <w:lang w:val="en-US"/>
        </w:rPr>
        <w:t xml:space="preserve"> </w:t>
      </w:r>
      <w:r w:rsidRPr="008A1DB4">
        <w:rPr>
          <w:spacing w:val="-2"/>
          <w:lang w:val="en-US"/>
        </w:rPr>
        <w:t>gave rise to the obligation to ensure the rights recognized in</w:t>
      </w:r>
      <w:r w:rsidR="009644F5" w:rsidRPr="008A1DB4">
        <w:rPr>
          <w:spacing w:val="-2"/>
          <w:lang w:val="en-US"/>
        </w:rPr>
        <w:t xml:space="preserve"> </w:t>
      </w:r>
      <w:r w:rsidR="00F36400" w:rsidRPr="008A1DB4">
        <w:rPr>
          <w:spacing w:val="-2"/>
          <w:lang w:val="en-US"/>
        </w:rPr>
        <w:t>Article</w:t>
      </w:r>
      <w:r w:rsidR="009644F5" w:rsidRPr="008A1DB4">
        <w:rPr>
          <w:spacing w:val="-2"/>
          <w:lang w:val="en-US"/>
        </w:rPr>
        <w:t>s 4 (</w:t>
      </w:r>
      <w:r w:rsidRPr="008A1DB4">
        <w:rPr>
          <w:spacing w:val="-2"/>
          <w:lang w:val="en-US"/>
        </w:rPr>
        <w:t>Right to L</w:t>
      </w:r>
      <w:r w:rsidR="00775124" w:rsidRPr="008A1DB4">
        <w:rPr>
          <w:spacing w:val="-2"/>
          <w:lang w:val="en-US"/>
        </w:rPr>
        <w:t>ife</w:t>
      </w:r>
      <w:r w:rsidR="009644F5" w:rsidRPr="008A1DB4">
        <w:rPr>
          <w:spacing w:val="-2"/>
          <w:lang w:val="en-US"/>
        </w:rPr>
        <w:t>)</w:t>
      </w:r>
      <w:r w:rsidR="00821E59" w:rsidRPr="008A1DB4">
        <w:rPr>
          <w:rStyle w:val="FootnoteReference"/>
          <w:spacing w:val="-2"/>
          <w:lang w:val="en-US"/>
        </w:rPr>
        <w:footnoteReference w:id="172"/>
      </w:r>
      <w:r w:rsidR="00F36400" w:rsidRPr="008A1DB4">
        <w:rPr>
          <w:spacing w:val="-2"/>
          <w:lang w:val="en-US"/>
        </w:rPr>
        <w:t xml:space="preserve"> and </w:t>
      </w:r>
      <w:r w:rsidR="009644F5" w:rsidRPr="008A1DB4">
        <w:rPr>
          <w:spacing w:val="-2"/>
          <w:lang w:val="en-US"/>
        </w:rPr>
        <w:t>5 (</w:t>
      </w:r>
      <w:r w:rsidRPr="008A1DB4">
        <w:rPr>
          <w:spacing w:val="-2"/>
          <w:lang w:val="en-US"/>
        </w:rPr>
        <w:t>Right to Humane Treatment</w:t>
      </w:r>
      <w:r w:rsidR="009644F5" w:rsidRPr="008A1DB4">
        <w:rPr>
          <w:spacing w:val="-2"/>
          <w:lang w:val="en-US"/>
        </w:rPr>
        <w:t>)</w:t>
      </w:r>
      <w:r w:rsidRPr="008A1DB4">
        <w:rPr>
          <w:spacing w:val="-2"/>
          <w:lang w:val="en-US"/>
        </w:rPr>
        <w:t>,</w:t>
      </w:r>
      <w:r w:rsidR="00613094" w:rsidRPr="008A1DB4">
        <w:rPr>
          <w:rStyle w:val="FootnoteReference"/>
          <w:spacing w:val="-2"/>
          <w:lang w:val="en-US"/>
        </w:rPr>
        <w:footnoteReference w:id="173"/>
      </w:r>
      <w:r w:rsidRPr="008A1DB4">
        <w:rPr>
          <w:spacing w:val="-2"/>
          <w:lang w:val="en-US"/>
        </w:rPr>
        <w:t xml:space="preserve"> in relation to </w:t>
      </w:r>
      <w:r w:rsidR="00F36400" w:rsidRPr="008A1DB4">
        <w:rPr>
          <w:spacing w:val="-2"/>
          <w:lang w:val="en-US"/>
        </w:rPr>
        <w:t>Article 1(1) of the Convention</w:t>
      </w:r>
      <w:r w:rsidRPr="008A1DB4">
        <w:rPr>
          <w:spacing w:val="-2"/>
          <w:lang w:val="en-US"/>
        </w:rPr>
        <w:t>,</w:t>
      </w:r>
      <w:r w:rsidR="00CF296A" w:rsidRPr="008A1DB4">
        <w:rPr>
          <w:rStyle w:val="FootnoteReference"/>
          <w:spacing w:val="-2"/>
          <w:lang w:val="en-US"/>
        </w:rPr>
        <w:footnoteReference w:id="174"/>
      </w:r>
      <w:r w:rsidRPr="008A1DB4">
        <w:rPr>
          <w:spacing w:val="-2"/>
          <w:lang w:val="en-US"/>
        </w:rPr>
        <w:t xml:space="preserve"> together with</w:t>
      </w:r>
      <w:r w:rsidR="009644F5" w:rsidRPr="008A1DB4">
        <w:rPr>
          <w:spacing w:val="-2"/>
          <w:lang w:val="en-US"/>
        </w:rPr>
        <w:t xml:space="preserve"> </w:t>
      </w:r>
      <w:r w:rsidR="00071662" w:rsidRPr="008A1DB4">
        <w:rPr>
          <w:spacing w:val="-2"/>
          <w:lang w:val="en-US"/>
        </w:rPr>
        <w:t>the principle of non-</w:t>
      </w:r>
      <w:proofErr w:type="spellStart"/>
      <w:r w:rsidR="00071662" w:rsidRPr="008A1DB4">
        <w:rPr>
          <w:spacing w:val="-2"/>
          <w:lang w:val="en-US"/>
        </w:rPr>
        <w:t>refoulement</w:t>
      </w:r>
      <w:proofErr w:type="spellEnd"/>
      <w:r w:rsidR="009644F5" w:rsidRPr="008A1DB4">
        <w:rPr>
          <w:spacing w:val="-2"/>
          <w:lang w:val="en-US"/>
        </w:rPr>
        <w:t xml:space="preserve"> </w:t>
      </w:r>
      <w:r w:rsidRPr="008A1DB4">
        <w:rPr>
          <w:spacing w:val="-2"/>
          <w:lang w:val="en-US"/>
        </w:rPr>
        <w:t>established in</w:t>
      </w:r>
      <w:r w:rsidR="009644F5" w:rsidRPr="008A1DB4">
        <w:rPr>
          <w:spacing w:val="-2"/>
          <w:lang w:val="en-US"/>
        </w:rPr>
        <w:t xml:space="preserve"> </w:t>
      </w:r>
      <w:r w:rsidR="00F36400" w:rsidRPr="008A1DB4">
        <w:rPr>
          <w:spacing w:val="-2"/>
          <w:lang w:val="en-US"/>
        </w:rPr>
        <w:t>Article</w:t>
      </w:r>
      <w:r w:rsidRPr="008A1DB4">
        <w:rPr>
          <w:spacing w:val="-2"/>
          <w:lang w:val="en-US"/>
        </w:rPr>
        <w:t xml:space="preserve"> 13</w:t>
      </w:r>
      <w:r w:rsidR="009644F5" w:rsidRPr="008A1DB4">
        <w:rPr>
          <w:spacing w:val="-2"/>
          <w:lang w:val="en-US"/>
        </w:rPr>
        <w:t>(4)</w:t>
      </w:r>
      <w:r w:rsidR="00B63136" w:rsidRPr="008A1DB4">
        <w:rPr>
          <w:rStyle w:val="FootnoteReference"/>
          <w:spacing w:val="-2"/>
          <w:lang w:val="en-US"/>
        </w:rPr>
        <w:footnoteReference w:id="175"/>
      </w:r>
      <w:r w:rsidR="00F36400" w:rsidRPr="008A1DB4">
        <w:rPr>
          <w:spacing w:val="-2"/>
          <w:lang w:val="en-US"/>
        </w:rPr>
        <w:t xml:space="preserve"> of the </w:t>
      </w:r>
      <w:r w:rsidR="00071662" w:rsidRPr="008A1DB4">
        <w:rPr>
          <w:spacing w:val="-2"/>
          <w:lang w:val="en-US"/>
        </w:rPr>
        <w:t>Inter-American Convention to Prevent and Punish Torture</w:t>
      </w:r>
      <w:r w:rsidR="00056FAC" w:rsidRPr="008A1DB4">
        <w:rPr>
          <w:spacing w:val="-2"/>
          <w:lang w:val="en-US"/>
        </w:rPr>
        <w:t xml:space="preserve"> (</w:t>
      </w:r>
      <w:r w:rsidR="00F36400" w:rsidRPr="008A1DB4">
        <w:rPr>
          <w:spacing w:val="-2"/>
          <w:lang w:val="en-US"/>
        </w:rPr>
        <w:t>hereinafter</w:t>
      </w:r>
      <w:r w:rsidR="00056FAC" w:rsidRPr="008A1DB4">
        <w:rPr>
          <w:spacing w:val="-2"/>
          <w:lang w:val="en-US"/>
        </w:rPr>
        <w:t xml:space="preserve"> </w:t>
      </w:r>
      <w:r w:rsidRPr="008A1DB4">
        <w:rPr>
          <w:spacing w:val="-2"/>
          <w:lang w:val="en-US"/>
        </w:rPr>
        <w:t>also</w:t>
      </w:r>
      <w:r w:rsidR="00056FAC" w:rsidRPr="008A1DB4">
        <w:rPr>
          <w:spacing w:val="-2"/>
          <w:lang w:val="en-US"/>
        </w:rPr>
        <w:t xml:space="preserve"> </w:t>
      </w:r>
      <w:r w:rsidRPr="008A1DB4">
        <w:rPr>
          <w:spacing w:val="-2"/>
          <w:lang w:val="en-US"/>
        </w:rPr>
        <w:t>“the ICPPT</w:t>
      </w:r>
      <w:r w:rsidR="00056FAC" w:rsidRPr="008A1DB4">
        <w:rPr>
          <w:spacing w:val="-2"/>
          <w:lang w:val="en-US"/>
        </w:rPr>
        <w:t>”)</w:t>
      </w:r>
      <w:r w:rsidRPr="008A1DB4">
        <w:rPr>
          <w:spacing w:val="-2"/>
          <w:lang w:val="en-US"/>
        </w:rPr>
        <w:t>.</w:t>
      </w:r>
      <w:r w:rsidR="009644F5" w:rsidRPr="008A1DB4">
        <w:rPr>
          <w:rStyle w:val="FootnoteReference"/>
          <w:spacing w:val="-2"/>
          <w:lang w:val="en-US"/>
        </w:rPr>
        <w:footnoteReference w:id="176"/>
      </w:r>
      <w:bookmarkEnd w:id="670"/>
      <w:r w:rsidR="009644F5" w:rsidRPr="008A1DB4">
        <w:rPr>
          <w:spacing w:val="-2"/>
          <w:lang w:val="en-US"/>
        </w:rPr>
        <w:t xml:space="preserve"> </w:t>
      </w:r>
    </w:p>
    <w:p w14:paraId="6C4BD4C2" w14:textId="77777777" w:rsidR="00B16E52" w:rsidRPr="008A1DB4" w:rsidRDefault="00B16E52" w:rsidP="00956E97">
      <w:pPr>
        <w:pStyle w:val="Numberedparagraphs"/>
        <w:numPr>
          <w:ilvl w:val="0"/>
          <w:numId w:val="0"/>
        </w:numPr>
        <w:tabs>
          <w:tab w:val="left" w:pos="567"/>
        </w:tabs>
        <w:spacing w:after="0"/>
        <w:rPr>
          <w:spacing w:val="-2"/>
          <w:lang w:val="en-US"/>
        </w:rPr>
      </w:pPr>
    </w:p>
    <w:p w14:paraId="342E15DB" w14:textId="70BB77C7" w:rsidR="00B16E52" w:rsidRPr="008A1DB4" w:rsidRDefault="00CC6F1B" w:rsidP="00956E97">
      <w:pPr>
        <w:pStyle w:val="PrrafodeSentencia"/>
        <w:rPr>
          <w:b/>
          <w:spacing w:val="-2"/>
          <w:lang w:val="en-US"/>
        </w:rPr>
      </w:pPr>
      <w:r w:rsidRPr="008A1DB4">
        <w:rPr>
          <w:spacing w:val="-2"/>
          <w:lang w:val="en-US"/>
        </w:rPr>
        <w:t>Regarding the</w:t>
      </w:r>
      <w:r w:rsidR="00B91B72" w:rsidRPr="008A1DB4">
        <w:rPr>
          <w:spacing w:val="-2"/>
          <w:lang w:val="en-US"/>
        </w:rPr>
        <w:t xml:space="preserve"> </w:t>
      </w:r>
      <w:r w:rsidR="00775124" w:rsidRPr="008A1DB4">
        <w:rPr>
          <w:spacing w:val="-2"/>
          <w:lang w:val="en-US"/>
        </w:rPr>
        <w:t>right to life</w:t>
      </w:r>
      <w:r w:rsidR="00B91B72" w:rsidRPr="008A1DB4">
        <w:rPr>
          <w:spacing w:val="-2"/>
          <w:lang w:val="en-US"/>
        </w:rPr>
        <w:t xml:space="preserve">, </w:t>
      </w:r>
      <w:r w:rsidR="00F36400" w:rsidRPr="008A1DB4">
        <w:rPr>
          <w:spacing w:val="-2"/>
          <w:lang w:val="en-US"/>
        </w:rPr>
        <w:t>the Court</w:t>
      </w:r>
      <w:r w:rsidR="00B16E52" w:rsidRPr="008A1DB4">
        <w:rPr>
          <w:spacing w:val="-2"/>
          <w:lang w:val="en-US"/>
        </w:rPr>
        <w:t xml:space="preserve"> rec</w:t>
      </w:r>
      <w:r w:rsidRPr="008A1DB4">
        <w:rPr>
          <w:spacing w:val="-2"/>
          <w:lang w:val="en-US"/>
        </w:rPr>
        <w:t>alls that, even though the Convention doe</w:t>
      </w:r>
      <w:r w:rsidR="00947926">
        <w:rPr>
          <w:spacing w:val="-2"/>
          <w:lang w:val="en-US"/>
        </w:rPr>
        <w:t>s</w:t>
      </w:r>
      <w:r w:rsidRPr="008A1DB4">
        <w:rPr>
          <w:spacing w:val="-2"/>
          <w:lang w:val="en-US"/>
        </w:rPr>
        <w:t xml:space="preserve"> not expressly prohibit the application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00F36400" w:rsidRPr="008A1DB4">
        <w:rPr>
          <w:spacing w:val="-2"/>
          <w:lang w:val="en-US"/>
        </w:rPr>
        <w:t>this Court</w:t>
      </w:r>
      <w:r w:rsidR="00B16E52" w:rsidRPr="008A1DB4">
        <w:rPr>
          <w:spacing w:val="-2"/>
          <w:lang w:val="en-US"/>
        </w:rPr>
        <w:t xml:space="preserve"> ha</w:t>
      </w:r>
      <w:r w:rsidRPr="008A1DB4">
        <w:rPr>
          <w:spacing w:val="-2"/>
          <w:lang w:val="en-US"/>
        </w:rPr>
        <w:t>s established that the relevant provisions of the Convention should be interpreted in the sense of “definitively limiting its application and its sphere, so that it is progressively reduced, until it is eliminated completely.</w:t>
      </w:r>
      <w:r w:rsidR="00B16E52" w:rsidRPr="008A1DB4">
        <w:rPr>
          <w:spacing w:val="-2"/>
          <w:lang w:val="en-US"/>
        </w:rPr>
        <w:t>”</w:t>
      </w:r>
      <w:r w:rsidR="00B16E52" w:rsidRPr="008A1DB4">
        <w:rPr>
          <w:spacing w:val="-2"/>
          <w:vertAlign w:val="superscript"/>
          <w:lang w:val="en-US"/>
        </w:rPr>
        <w:footnoteReference w:id="177"/>
      </w:r>
      <w:r w:rsidRPr="008A1DB4">
        <w:rPr>
          <w:spacing w:val="-2"/>
          <w:lang w:val="en-US"/>
        </w:rPr>
        <w:t xml:space="preserve"> Therefore, the provisions </w:t>
      </w:r>
      <w:r w:rsidR="00F36400" w:rsidRPr="008A1DB4">
        <w:rPr>
          <w:spacing w:val="-2"/>
          <w:lang w:val="en-US"/>
        </w:rPr>
        <w:t>of the Convention</w:t>
      </w:r>
      <w:r w:rsidR="00B16E52" w:rsidRPr="008A1DB4">
        <w:rPr>
          <w:spacing w:val="-2"/>
          <w:lang w:val="en-US"/>
        </w:rPr>
        <w:t xml:space="preserve"> </w:t>
      </w:r>
      <w:r w:rsidRPr="008A1DB4">
        <w:rPr>
          <w:spacing w:val="-2"/>
          <w:lang w:val="en-US"/>
        </w:rPr>
        <w:t xml:space="preserve">in relation to the application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should be interpreted in light of the </w:t>
      </w:r>
      <w:r w:rsidR="00B16E52" w:rsidRPr="008A1DB4">
        <w:rPr>
          <w:i/>
          <w:spacing w:val="-2"/>
          <w:lang w:val="en-US"/>
        </w:rPr>
        <w:t>pro persona</w:t>
      </w:r>
      <w:r w:rsidR="00B16E52" w:rsidRPr="008A1DB4">
        <w:rPr>
          <w:spacing w:val="-2"/>
          <w:lang w:val="en-US"/>
        </w:rPr>
        <w:t xml:space="preserve"> </w:t>
      </w:r>
      <w:r w:rsidRPr="008A1DB4">
        <w:rPr>
          <w:spacing w:val="-2"/>
          <w:lang w:val="en-US"/>
        </w:rPr>
        <w:t>principle; that is, in favor of the individual.</w:t>
      </w:r>
      <w:r w:rsidR="00B16E52" w:rsidRPr="008A1DB4">
        <w:rPr>
          <w:spacing w:val="-2"/>
          <w:vertAlign w:val="superscript"/>
          <w:lang w:val="en-US"/>
        </w:rPr>
        <w:footnoteReference w:id="178"/>
      </w:r>
      <w:r w:rsidRPr="008A1DB4">
        <w:rPr>
          <w:spacing w:val="-2"/>
          <w:lang w:val="en-US"/>
        </w:rPr>
        <w:t xml:space="preserve"> The imposition of this punishment is subject to certain procedural guarantees and compliance with them must be strictly observed and reviewed.</w:t>
      </w:r>
      <w:r w:rsidR="00B16E52" w:rsidRPr="008A1DB4">
        <w:rPr>
          <w:rStyle w:val="FootnoteReference"/>
          <w:bCs/>
          <w:spacing w:val="-2"/>
          <w:lang w:val="en-US"/>
        </w:rPr>
        <w:footnoteReference w:id="179"/>
      </w:r>
      <w:r w:rsidRPr="008A1DB4">
        <w:rPr>
          <w:spacing w:val="-2"/>
          <w:lang w:val="en-US"/>
        </w:rPr>
        <w:t xml:space="preserve"> Owing to the exceptionally serious and irreversible nature </w:t>
      </w:r>
      <w:r w:rsidR="00BB44A4" w:rsidRPr="008A1DB4">
        <w:rPr>
          <w:spacing w:val="-2"/>
          <w:lang w:val="en-US"/>
        </w:rPr>
        <w:t xml:space="preserve">of the </w:t>
      </w:r>
      <w:r w:rsidR="00A3310A" w:rsidRPr="008A1DB4">
        <w:rPr>
          <w:spacing w:val="-2"/>
          <w:lang w:val="en-US"/>
        </w:rPr>
        <w:t>death penalty</w:t>
      </w:r>
      <w:r w:rsidRPr="008A1DB4">
        <w:rPr>
          <w:spacing w:val="-2"/>
          <w:lang w:val="en-US"/>
        </w:rPr>
        <w:t xml:space="preserve">, the possibility of imposing or applying it is subject to certain procedural requirements, compliance with which must be </w:t>
      </w:r>
      <w:r w:rsidR="00947926" w:rsidRPr="008A1DB4">
        <w:rPr>
          <w:spacing w:val="-2"/>
          <w:lang w:val="en-US"/>
        </w:rPr>
        <w:t>strictly</w:t>
      </w:r>
      <w:r w:rsidRPr="008A1DB4">
        <w:rPr>
          <w:spacing w:val="-2"/>
          <w:lang w:val="en-US"/>
        </w:rPr>
        <w:t xml:space="preserve"> observed and reviewed.</w:t>
      </w:r>
      <w:r w:rsidR="00B16E52" w:rsidRPr="008A1DB4">
        <w:rPr>
          <w:rStyle w:val="FootnoteReference"/>
          <w:spacing w:val="-2"/>
          <w:lang w:val="en-US"/>
        </w:rPr>
        <w:footnoteReference w:id="180"/>
      </w:r>
    </w:p>
    <w:p w14:paraId="6709444E" w14:textId="77777777" w:rsidR="00B16E52" w:rsidRPr="008A1DB4" w:rsidRDefault="00B16E52" w:rsidP="00956E97">
      <w:pPr>
        <w:pStyle w:val="ListParagraph"/>
        <w:tabs>
          <w:tab w:val="left" w:pos="567"/>
        </w:tabs>
        <w:ind w:left="0"/>
        <w:rPr>
          <w:b/>
          <w:spacing w:val="-2"/>
          <w:lang w:val="en-US"/>
        </w:rPr>
      </w:pPr>
    </w:p>
    <w:p w14:paraId="7B2972A5" w14:textId="2ADA13B5" w:rsidR="00BB0BDD" w:rsidRPr="008A1DB4" w:rsidRDefault="00CC6F1B" w:rsidP="00CC6F1B">
      <w:pPr>
        <w:pStyle w:val="PrrafodeSentencia"/>
        <w:rPr>
          <w:b/>
          <w:spacing w:val="-2"/>
          <w:lang w:val="en-US"/>
        </w:rPr>
      </w:pPr>
      <w:r w:rsidRPr="008A1DB4">
        <w:rPr>
          <w:spacing w:val="-2"/>
          <w:lang w:val="en-US"/>
        </w:rPr>
        <w:t xml:space="preserve">With regard to the </w:t>
      </w:r>
      <w:r w:rsidR="00775124" w:rsidRPr="008A1DB4">
        <w:rPr>
          <w:spacing w:val="-2"/>
          <w:lang w:val="en-US"/>
        </w:rPr>
        <w:t xml:space="preserve">right to </w:t>
      </w:r>
      <w:r w:rsidRPr="008A1DB4">
        <w:rPr>
          <w:spacing w:val="-2"/>
          <w:lang w:val="en-US"/>
        </w:rPr>
        <w:t xml:space="preserve">humane treatment or </w:t>
      </w:r>
      <w:r w:rsidR="00775124" w:rsidRPr="008A1DB4">
        <w:rPr>
          <w:spacing w:val="-2"/>
          <w:lang w:val="en-US"/>
        </w:rPr>
        <w:t>personal</w:t>
      </w:r>
      <w:r w:rsidR="00776D24" w:rsidRPr="008A1DB4">
        <w:rPr>
          <w:spacing w:val="-2"/>
          <w:lang w:val="en-US"/>
        </w:rPr>
        <w:t xml:space="preserve"> integrity</w:t>
      </w:r>
      <w:r w:rsidR="00B91B72" w:rsidRPr="008A1DB4">
        <w:rPr>
          <w:spacing w:val="-2"/>
          <w:lang w:val="en-US"/>
        </w:rPr>
        <w:t xml:space="preserve">, </w:t>
      </w:r>
      <w:r w:rsidRPr="008A1DB4">
        <w:rPr>
          <w:spacing w:val="-2"/>
          <w:lang w:val="en-US"/>
        </w:rPr>
        <w:t xml:space="preserve">this Court has already indicated that </w:t>
      </w:r>
      <w:r w:rsidR="0058668C" w:rsidRPr="008A1DB4">
        <w:rPr>
          <w:spacing w:val="-2"/>
          <w:lang w:val="en-US"/>
        </w:rPr>
        <w:t>Article</w:t>
      </w:r>
      <w:r w:rsidR="00B16E52" w:rsidRPr="008A1DB4">
        <w:rPr>
          <w:spacing w:val="-2"/>
          <w:lang w:val="en-US"/>
        </w:rPr>
        <w:t xml:space="preserve"> 5</w:t>
      </w:r>
      <w:r w:rsidR="00F36400" w:rsidRPr="008A1DB4">
        <w:rPr>
          <w:spacing w:val="-2"/>
          <w:lang w:val="en-US"/>
        </w:rPr>
        <w:t xml:space="preserve"> of the American Convention</w:t>
      </w:r>
      <w:r w:rsidR="00B16E52" w:rsidRPr="008A1DB4">
        <w:rPr>
          <w:spacing w:val="-2"/>
          <w:lang w:val="en-US"/>
        </w:rPr>
        <w:t xml:space="preserve">, </w:t>
      </w:r>
      <w:r w:rsidRPr="008A1DB4">
        <w:rPr>
          <w:spacing w:val="-2"/>
          <w:lang w:val="en-US"/>
        </w:rPr>
        <w:t xml:space="preserve">read in conjunction with the obligations </w:t>
      </w:r>
      <w:proofErr w:type="spellStart"/>
      <w:r w:rsidR="00B16E52" w:rsidRPr="008A1DB4">
        <w:rPr>
          <w:i/>
          <w:iCs/>
          <w:spacing w:val="-2"/>
          <w:lang w:val="en-US"/>
        </w:rPr>
        <w:t>erga</w:t>
      </w:r>
      <w:proofErr w:type="spellEnd"/>
      <w:r w:rsidR="00B16E52" w:rsidRPr="008A1DB4">
        <w:rPr>
          <w:i/>
          <w:iCs/>
          <w:spacing w:val="-2"/>
          <w:lang w:val="en-US"/>
        </w:rPr>
        <w:t xml:space="preserve"> </w:t>
      </w:r>
      <w:proofErr w:type="spellStart"/>
      <w:r w:rsidR="00B16E52" w:rsidRPr="008A1DB4">
        <w:rPr>
          <w:i/>
          <w:iCs/>
          <w:spacing w:val="-2"/>
          <w:lang w:val="en-US"/>
        </w:rPr>
        <w:t>omnes</w:t>
      </w:r>
      <w:proofErr w:type="spellEnd"/>
      <w:r w:rsidRPr="008A1DB4">
        <w:rPr>
          <w:spacing w:val="-2"/>
          <w:lang w:val="en-US"/>
        </w:rPr>
        <w:t xml:space="preserve"> to respect and ensure respect for the norms for the protection of human rights, reveals the obligation of the State not to deport, return, expel, extradite or remove in any other way an individual subject to its jurisdiction to another State, or to a third State that is not safe, when there </w:t>
      </w:r>
      <w:r w:rsidR="00A80898">
        <w:rPr>
          <w:spacing w:val="-2"/>
          <w:lang w:val="en-US"/>
        </w:rPr>
        <w:t xml:space="preserve">are grounds for believing </w:t>
      </w:r>
      <w:r w:rsidRPr="008A1DB4">
        <w:rPr>
          <w:spacing w:val="-2"/>
          <w:lang w:val="en-US"/>
        </w:rPr>
        <w:t>that he would be in danger of being subjected to torture or cruel, inhuman or degrading treatment.</w:t>
      </w:r>
      <w:r w:rsidR="00B16E52" w:rsidRPr="008A1DB4">
        <w:rPr>
          <w:rStyle w:val="FootnoteReference"/>
          <w:spacing w:val="-2"/>
          <w:lang w:val="en-US"/>
        </w:rPr>
        <w:footnoteReference w:id="181"/>
      </w:r>
      <w:r w:rsidR="00B16E52" w:rsidRPr="008A1DB4">
        <w:rPr>
          <w:spacing w:val="-2"/>
          <w:lang w:val="en-US"/>
        </w:rPr>
        <w:t xml:space="preserve"> </w:t>
      </w:r>
    </w:p>
    <w:p w14:paraId="6D8D2060" w14:textId="77777777" w:rsidR="00BB0BDD" w:rsidRPr="008A1DB4" w:rsidRDefault="00BB0BDD" w:rsidP="00956E97">
      <w:pPr>
        <w:pStyle w:val="ListParagraph"/>
        <w:rPr>
          <w:spacing w:val="-2"/>
          <w:lang w:val="en-US"/>
        </w:rPr>
      </w:pPr>
    </w:p>
    <w:p w14:paraId="78EB93B1" w14:textId="30CB995E" w:rsidR="00B16E52" w:rsidRPr="008A1DB4" w:rsidRDefault="00990036" w:rsidP="00455E57">
      <w:pPr>
        <w:pStyle w:val="PrrafodeSentencia"/>
        <w:rPr>
          <w:b/>
          <w:spacing w:val="-2"/>
          <w:lang w:val="en-US"/>
        </w:rPr>
      </w:pPr>
      <w:r w:rsidRPr="008A1DB4">
        <w:rPr>
          <w:spacing w:val="-2"/>
          <w:lang w:val="en-US"/>
        </w:rPr>
        <w:t>Ad</w:t>
      </w:r>
      <w:r w:rsidR="00CC6F1B" w:rsidRPr="008A1DB4">
        <w:rPr>
          <w:spacing w:val="-2"/>
          <w:lang w:val="en-US"/>
        </w:rPr>
        <w:t xml:space="preserve">ditionally, the inter-American system includes a specific treaty, </w:t>
      </w:r>
      <w:r w:rsidR="00F36400" w:rsidRPr="008A1DB4">
        <w:rPr>
          <w:spacing w:val="-2"/>
          <w:lang w:val="en-US"/>
        </w:rPr>
        <w:t xml:space="preserve">the </w:t>
      </w:r>
      <w:r w:rsidR="00071662" w:rsidRPr="008A1DB4">
        <w:rPr>
          <w:spacing w:val="-2"/>
          <w:lang w:val="en-US"/>
        </w:rPr>
        <w:t>Inter-American Convention to Prevent and Punish Torture</w:t>
      </w:r>
      <w:r w:rsidR="00B16E52" w:rsidRPr="008A1DB4">
        <w:rPr>
          <w:spacing w:val="-2"/>
          <w:lang w:val="en-US"/>
        </w:rPr>
        <w:t xml:space="preserve">, </w:t>
      </w:r>
      <w:r w:rsidR="00CC6F1B" w:rsidRPr="008A1DB4">
        <w:rPr>
          <w:spacing w:val="-2"/>
          <w:lang w:val="en-US"/>
        </w:rPr>
        <w:t xml:space="preserve">which refers to </w:t>
      </w:r>
      <w:r w:rsidR="00071662" w:rsidRPr="008A1DB4">
        <w:rPr>
          <w:spacing w:val="-2"/>
          <w:lang w:val="en-US"/>
        </w:rPr>
        <w:t>the principle of non-</w:t>
      </w:r>
      <w:proofErr w:type="spellStart"/>
      <w:r w:rsidR="00071662" w:rsidRPr="008A1DB4">
        <w:rPr>
          <w:spacing w:val="-2"/>
          <w:lang w:val="en-US"/>
        </w:rPr>
        <w:t>refoulement</w:t>
      </w:r>
      <w:proofErr w:type="spellEnd"/>
      <w:r w:rsidR="00CC6F1B" w:rsidRPr="008A1DB4">
        <w:rPr>
          <w:spacing w:val="-2"/>
          <w:lang w:val="en-US"/>
        </w:rPr>
        <w:t xml:space="preserve"> as follows</w:t>
      </w:r>
      <w:r w:rsidR="00375CF1" w:rsidRPr="008A1DB4">
        <w:rPr>
          <w:spacing w:val="-2"/>
          <w:lang w:val="en-US"/>
        </w:rPr>
        <w:t>: “</w:t>
      </w:r>
      <w:r w:rsidR="00455E57" w:rsidRPr="008A1DB4">
        <w:rPr>
          <w:rFonts w:cs="Tahoma"/>
          <w:bCs/>
          <w:lang w:val="en-US"/>
        </w:rPr>
        <w:t xml:space="preserve">Extradition shall not be granted nor shall the person sought be returned when there are </w:t>
      </w:r>
      <w:r w:rsidR="00A80898">
        <w:rPr>
          <w:rFonts w:cs="Tahoma"/>
          <w:bCs/>
          <w:lang w:val="en-US"/>
        </w:rPr>
        <w:t xml:space="preserve">substantial </w:t>
      </w:r>
      <w:r w:rsidR="00455E57" w:rsidRPr="008A1DB4">
        <w:rPr>
          <w:rFonts w:cs="Tahoma"/>
          <w:bCs/>
          <w:lang w:val="en-US"/>
        </w:rPr>
        <w:t xml:space="preserve">grounds to believe that his life is in danger, that he will be subjected to torture or to cruel, inhuman or degrading treatment, or that he will be tried by special or </w:t>
      </w:r>
      <w:r w:rsidR="00455E57" w:rsidRPr="008A1DB4">
        <w:rPr>
          <w:rFonts w:cs="Tahoma"/>
          <w:bCs/>
          <w:i/>
          <w:lang w:val="en-US"/>
        </w:rPr>
        <w:t>ad hoc</w:t>
      </w:r>
      <w:r w:rsidR="00455E57" w:rsidRPr="008A1DB4">
        <w:rPr>
          <w:rFonts w:cs="Tahoma"/>
          <w:bCs/>
          <w:lang w:val="en-US"/>
        </w:rPr>
        <w:t xml:space="preserve"> courts in the requesting State.” In addition, as it is regulated, the principle is also associated with protection of the right to life and certain judicial guarantees, so that it is not restricted merely to protection against torture. Added to </w:t>
      </w:r>
      <w:r w:rsidR="00A80898">
        <w:rPr>
          <w:rFonts w:cs="Tahoma"/>
          <w:bCs/>
          <w:lang w:val="en-US"/>
        </w:rPr>
        <w:t xml:space="preserve">this, it is not enough that </w:t>
      </w:r>
      <w:r w:rsidR="00455E57" w:rsidRPr="008A1DB4">
        <w:rPr>
          <w:rFonts w:cs="Tahoma"/>
          <w:bCs/>
          <w:lang w:val="en-US"/>
        </w:rPr>
        <w:t>States abstain fro</w:t>
      </w:r>
      <w:r w:rsidR="00A80898">
        <w:rPr>
          <w:rFonts w:cs="Tahoma"/>
          <w:bCs/>
          <w:lang w:val="en-US"/>
        </w:rPr>
        <w:t xml:space="preserve">m violating this principle, </w:t>
      </w:r>
      <w:r w:rsidR="00455E57" w:rsidRPr="008A1DB4">
        <w:rPr>
          <w:rFonts w:cs="Tahoma"/>
          <w:bCs/>
          <w:lang w:val="en-US"/>
        </w:rPr>
        <w:t xml:space="preserve">it is </w:t>
      </w:r>
      <w:r w:rsidR="00A80898">
        <w:rPr>
          <w:rFonts w:cs="Tahoma"/>
          <w:bCs/>
          <w:lang w:val="en-US"/>
        </w:rPr>
        <w:t xml:space="preserve">also </w:t>
      </w:r>
      <w:r w:rsidR="00455E57" w:rsidRPr="008A1DB4">
        <w:rPr>
          <w:rFonts w:cs="Tahoma"/>
          <w:bCs/>
          <w:lang w:val="en-US"/>
        </w:rPr>
        <w:t>essential that they adopt positive measures. In situations in which an individual is faced with a risk of torture</w:t>
      </w:r>
      <w:r w:rsidR="00455E57" w:rsidRPr="008A1DB4">
        <w:rPr>
          <w:b/>
          <w:spacing w:val="-2"/>
          <w:lang w:val="en-US"/>
        </w:rPr>
        <w:t xml:space="preserve"> </w:t>
      </w:r>
      <w:r w:rsidR="00071662" w:rsidRPr="008A1DB4">
        <w:rPr>
          <w:spacing w:val="-2"/>
          <w:lang w:val="en-US"/>
        </w:rPr>
        <w:t>the principle of non-</w:t>
      </w:r>
      <w:proofErr w:type="spellStart"/>
      <w:r w:rsidR="00071662" w:rsidRPr="008A1DB4">
        <w:rPr>
          <w:spacing w:val="-2"/>
          <w:lang w:val="en-US"/>
        </w:rPr>
        <w:t>refoulement</w:t>
      </w:r>
      <w:proofErr w:type="spellEnd"/>
      <w:r w:rsidR="00455E57" w:rsidRPr="008A1DB4">
        <w:rPr>
          <w:spacing w:val="-2"/>
          <w:lang w:val="en-US"/>
        </w:rPr>
        <w:t xml:space="preserve"> is absolute.</w:t>
      </w:r>
      <w:r w:rsidR="00B16E52" w:rsidRPr="008A1DB4">
        <w:rPr>
          <w:rStyle w:val="FootnoteReference"/>
          <w:spacing w:val="-2"/>
          <w:lang w:val="en-US"/>
        </w:rPr>
        <w:footnoteReference w:id="182"/>
      </w:r>
      <w:r w:rsidR="00B16E52" w:rsidRPr="008A1DB4">
        <w:rPr>
          <w:spacing w:val="-2"/>
          <w:lang w:val="en-US"/>
        </w:rPr>
        <w:t xml:space="preserve"> </w:t>
      </w:r>
    </w:p>
    <w:p w14:paraId="008DDC20" w14:textId="77777777" w:rsidR="00741BEE" w:rsidRPr="008A1DB4" w:rsidRDefault="00741BEE" w:rsidP="00956E97">
      <w:pPr>
        <w:pStyle w:val="PrrafodeSentencia"/>
        <w:numPr>
          <w:ilvl w:val="0"/>
          <w:numId w:val="0"/>
        </w:numPr>
        <w:rPr>
          <w:spacing w:val="-2"/>
          <w:lang w:val="en-US"/>
        </w:rPr>
      </w:pPr>
    </w:p>
    <w:p w14:paraId="5D425D9D" w14:textId="4BBEFA57" w:rsidR="00B16E52" w:rsidRPr="008A1DB4" w:rsidRDefault="00455E57" w:rsidP="00956E97">
      <w:pPr>
        <w:pStyle w:val="PrrafodeSentencia"/>
        <w:rPr>
          <w:spacing w:val="-2"/>
          <w:lang w:val="en-US"/>
        </w:rPr>
      </w:pPr>
      <w:bookmarkStart w:id="671" w:name="_Ref426129496"/>
      <w:r w:rsidRPr="008A1DB4">
        <w:rPr>
          <w:spacing w:val="-2"/>
          <w:lang w:val="en-US"/>
        </w:rPr>
        <w:lastRenderedPageBreak/>
        <w:t xml:space="preserve">Consequently, when an individual alleges before a State that he is in danger if he is returned, the competent authorities of that State must, at least, interview him and make a preliminary </w:t>
      </w:r>
      <w:r w:rsidR="00A80898">
        <w:rPr>
          <w:spacing w:val="-2"/>
          <w:lang w:val="en-US"/>
        </w:rPr>
        <w:t>assessment</w:t>
      </w:r>
      <w:r w:rsidRPr="008A1DB4">
        <w:rPr>
          <w:spacing w:val="-2"/>
          <w:lang w:val="en-US"/>
        </w:rPr>
        <w:t xml:space="preserve"> in order to determine whether or not that risk exists if he should be expelled.</w:t>
      </w:r>
      <w:r w:rsidR="00B16E52" w:rsidRPr="008A1DB4">
        <w:rPr>
          <w:spacing w:val="-2"/>
          <w:vertAlign w:val="superscript"/>
          <w:lang w:val="en-US"/>
        </w:rPr>
        <w:footnoteReference w:id="183"/>
      </w:r>
      <w:r w:rsidRPr="008A1DB4">
        <w:rPr>
          <w:spacing w:val="-2"/>
          <w:lang w:val="en-US"/>
        </w:rPr>
        <w:t xml:space="preserve"> This signifies</w:t>
      </w:r>
      <w:r w:rsidR="00A80898">
        <w:rPr>
          <w:spacing w:val="-2"/>
          <w:lang w:val="en-US"/>
        </w:rPr>
        <w:t xml:space="preserve"> that</w:t>
      </w:r>
      <w:r w:rsidRPr="008A1DB4">
        <w:rPr>
          <w:spacing w:val="-2"/>
          <w:lang w:val="en-US"/>
        </w:rPr>
        <w:t xml:space="preserve"> the aforementioned basic guarantees</w:t>
      </w:r>
      <w:r w:rsidR="00D76389">
        <w:rPr>
          <w:spacing w:val="-2"/>
          <w:lang w:val="en-US"/>
        </w:rPr>
        <w:t xml:space="preserve"> mus</w:t>
      </w:r>
      <w:r w:rsidR="00A80898">
        <w:rPr>
          <w:spacing w:val="-2"/>
          <w:lang w:val="en-US"/>
        </w:rPr>
        <w:t>t be respected</w:t>
      </w:r>
      <w:r w:rsidRPr="008A1DB4">
        <w:rPr>
          <w:spacing w:val="-2"/>
          <w:lang w:val="en-US"/>
        </w:rPr>
        <w:t xml:space="preserve"> as part of the opportunity given to the individual to explain the reasons why he should not be expelled and, if that risk is verified, the individual should not be returned to the country where the danger exists.</w:t>
      </w:r>
      <w:r w:rsidR="00B16E52" w:rsidRPr="008A1DB4">
        <w:rPr>
          <w:rStyle w:val="FootnoteReference"/>
          <w:spacing w:val="-2"/>
          <w:lang w:val="en-US"/>
        </w:rPr>
        <w:footnoteReference w:id="184"/>
      </w:r>
      <w:r w:rsidR="00B16E52" w:rsidRPr="008A1DB4">
        <w:rPr>
          <w:spacing w:val="-2"/>
          <w:lang w:val="en-US"/>
        </w:rPr>
        <w:t xml:space="preserve"> </w:t>
      </w:r>
      <w:bookmarkEnd w:id="671"/>
    </w:p>
    <w:p w14:paraId="560E2D65" w14:textId="77777777" w:rsidR="00B16E52" w:rsidRPr="008A1DB4" w:rsidRDefault="00B16E52" w:rsidP="00956E97">
      <w:pPr>
        <w:pStyle w:val="Numberedparagraphs"/>
        <w:numPr>
          <w:ilvl w:val="0"/>
          <w:numId w:val="0"/>
        </w:numPr>
        <w:tabs>
          <w:tab w:val="left" w:pos="567"/>
        </w:tabs>
        <w:spacing w:after="0"/>
        <w:rPr>
          <w:spacing w:val="-2"/>
          <w:lang w:val="en-US"/>
        </w:rPr>
      </w:pPr>
    </w:p>
    <w:p w14:paraId="78F06D6E" w14:textId="4C1C7922" w:rsidR="00B16E52" w:rsidRPr="008A1DB4" w:rsidRDefault="00455E57" w:rsidP="00956E97">
      <w:pPr>
        <w:pStyle w:val="PrrafodeSentencia"/>
        <w:rPr>
          <w:spacing w:val="-2"/>
          <w:lang w:val="en-US"/>
        </w:rPr>
      </w:pPr>
      <w:r w:rsidRPr="008A1DB4">
        <w:rPr>
          <w:spacing w:val="-2"/>
          <w:lang w:val="en-US"/>
        </w:rPr>
        <w:t xml:space="preserve">This case represents the first occasion on which </w:t>
      </w:r>
      <w:r w:rsidR="00F36400" w:rsidRPr="008A1DB4">
        <w:rPr>
          <w:spacing w:val="-2"/>
          <w:lang w:val="en-US"/>
        </w:rPr>
        <w:t>the Inter-American Court</w:t>
      </w:r>
      <w:r w:rsidR="00E756EA" w:rsidRPr="008A1DB4">
        <w:rPr>
          <w:spacing w:val="-2"/>
          <w:lang w:val="en-US"/>
        </w:rPr>
        <w:t xml:space="preserve"> </w:t>
      </w:r>
      <w:r w:rsidRPr="008A1DB4">
        <w:rPr>
          <w:spacing w:val="-2"/>
          <w:lang w:val="en-US"/>
        </w:rPr>
        <w:t>rules on the obligations of</w:t>
      </w:r>
      <w:r w:rsidR="004D136B" w:rsidRPr="008A1DB4">
        <w:rPr>
          <w:spacing w:val="-2"/>
          <w:lang w:val="en-US"/>
        </w:rPr>
        <w:t xml:space="preserve"> </w:t>
      </w:r>
      <w:r w:rsidR="00922262" w:rsidRPr="008A1DB4">
        <w:rPr>
          <w:spacing w:val="-2"/>
          <w:lang w:val="en-US"/>
        </w:rPr>
        <w:t>the States Parties to the</w:t>
      </w:r>
      <w:r w:rsidR="00F36400" w:rsidRPr="008A1DB4">
        <w:rPr>
          <w:spacing w:val="-2"/>
          <w:lang w:val="en-US"/>
        </w:rPr>
        <w:t xml:space="preserve"> Convention</w:t>
      </w:r>
      <w:r w:rsidR="00D23377" w:rsidRPr="008A1DB4">
        <w:rPr>
          <w:spacing w:val="-2"/>
          <w:lang w:val="en-US"/>
        </w:rPr>
        <w:t xml:space="preserve"> </w:t>
      </w:r>
      <w:r w:rsidR="00775124" w:rsidRPr="008A1DB4">
        <w:rPr>
          <w:spacing w:val="-2"/>
          <w:lang w:val="en-US"/>
        </w:rPr>
        <w:t>in the context of extradition proce</w:t>
      </w:r>
      <w:r w:rsidR="00A80898">
        <w:rPr>
          <w:spacing w:val="-2"/>
          <w:lang w:val="en-US"/>
        </w:rPr>
        <w:t>eding</w:t>
      </w:r>
      <w:r w:rsidR="00775124" w:rsidRPr="008A1DB4">
        <w:rPr>
          <w:spacing w:val="-2"/>
          <w:lang w:val="en-US"/>
        </w:rPr>
        <w:t>s</w:t>
      </w:r>
      <w:r w:rsidR="005475F0" w:rsidRPr="008A1DB4">
        <w:rPr>
          <w:spacing w:val="-2"/>
          <w:lang w:val="en-US"/>
        </w:rPr>
        <w:t xml:space="preserve">. </w:t>
      </w:r>
      <w:r w:rsidRPr="008A1DB4">
        <w:rPr>
          <w:spacing w:val="-2"/>
          <w:lang w:val="en-US"/>
        </w:rPr>
        <w:t xml:space="preserve">In this regard, the State contested the application of precedents in cases of deportation, asylum or expulsion. The Court notes that the </w:t>
      </w:r>
      <w:r w:rsidR="00947926" w:rsidRPr="008A1DB4">
        <w:rPr>
          <w:spacing w:val="-2"/>
          <w:lang w:val="en-US"/>
        </w:rPr>
        <w:t>obligation</w:t>
      </w:r>
      <w:r w:rsidRPr="008A1DB4">
        <w:rPr>
          <w:spacing w:val="-2"/>
          <w:lang w:val="en-US"/>
        </w:rPr>
        <w:t xml:space="preserve"> to ensure the right</w:t>
      </w:r>
      <w:r w:rsidR="00A80898">
        <w:rPr>
          <w:spacing w:val="-2"/>
          <w:lang w:val="en-US"/>
        </w:rPr>
        <w:t>s</w:t>
      </w:r>
      <w:r w:rsidRPr="008A1DB4">
        <w:rPr>
          <w:spacing w:val="-2"/>
          <w:lang w:val="en-US"/>
        </w:rPr>
        <w:t xml:space="preserve"> to life and to </w:t>
      </w:r>
      <w:r w:rsidR="00776D24" w:rsidRPr="008A1DB4">
        <w:rPr>
          <w:spacing w:val="-2"/>
          <w:lang w:val="en-US"/>
        </w:rPr>
        <w:t>personal integrity</w:t>
      </w:r>
      <w:r w:rsidR="00A3167C" w:rsidRPr="008A1DB4">
        <w:rPr>
          <w:spacing w:val="-2"/>
          <w:lang w:val="en-US"/>
        </w:rPr>
        <w:t xml:space="preserve">, </w:t>
      </w:r>
      <w:r w:rsidR="00A80898">
        <w:rPr>
          <w:spacing w:val="-2"/>
          <w:lang w:val="en-US"/>
        </w:rPr>
        <w:t>as well as</w:t>
      </w:r>
      <w:r w:rsidR="00A3167C" w:rsidRPr="008A1DB4">
        <w:rPr>
          <w:spacing w:val="-2"/>
          <w:lang w:val="en-US"/>
        </w:rPr>
        <w:t xml:space="preserve"> </w:t>
      </w:r>
      <w:r w:rsidR="00071662" w:rsidRPr="008A1DB4">
        <w:rPr>
          <w:spacing w:val="-2"/>
          <w:lang w:val="en-US"/>
        </w:rPr>
        <w:t>the principle of non-</w:t>
      </w:r>
      <w:proofErr w:type="spellStart"/>
      <w:r w:rsidR="00071662" w:rsidRPr="008A1DB4">
        <w:rPr>
          <w:spacing w:val="-2"/>
          <w:lang w:val="en-US"/>
        </w:rPr>
        <w:t>refoulement</w:t>
      </w:r>
      <w:proofErr w:type="spellEnd"/>
      <w:r w:rsidR="00A80898">
        <w:rPr>
          <w:spacing w:val="-2"/>
          <w:lang w:val="en-US"/>
        </w:rPr>
        <w:t>,</w:t>
      </w:r>
      <w:r w:rsidR="00B16E52" w:rsidRPr="008A1DB4">
        <w:rPr>
          <w:spacing w:val="-2"/>
          <w:lang w:val="en-US"/>
        </w:rPr>
        <w:t xml:space="preserve"> </w:t>
      </w:r>
      <w:r w:rsidR="00A80898">
        <w:rPr>
          <w:spacing w:val="-2"/>
          <w:lang w:val="en-US"/>
        </w:rPr>
        <w:t>when there is a</w:t>
      </w:r>
      <w:r w:rsidRPr="008A1DB4">
        <w:rPr>
          <w:spacing w:val="-2"/>
          <w:lang w:val="en-US"/>
        </w:rPr>
        <w:t xml:space="preserve"> risk of</w:t>
      </w:r>
      <w:r w:rsidR="00B16E52" w:rsidRPr="008A1DB4">
        <w:rPr>
          <w:spacing w:val="-2"/>
          <w:lang w:val="en-US"/>
        </w:rPr>
        <w:t xml:space="preserve"> </w:t>
      </w:r>
      <w:r w:rsidR="00775124" w:rsidRPr="008A1DB4">
        <w:rPr>
          <w:spacing w:val="-2"/>
          <w:lang w:val="en-US"/>
        </w:rPr>
        <w:t>torture and other forms of cruel, inhuman or degrading treatment</w:t>
      </w:r>
      <w:r w:rsidR="00B16E52" w:rsidRPr="008A1DB4">
        <w:rPr>
          <w:spacing w:val="-2"/>
          <w:lang w:val="en-US"/>
        </w:rPr>
        <w:t xml:space="preserve"> o</w:t>
      </w:r>
      <w:r w:rsidRPr="008A1DB4">
        <w:rPr>
          <w:spacing w:val="-2"/>
          <w:lang w:val="en-US"/>
        </w:rPr>
        <w:t xml:space="preserve">r risk to the </w:t>
      </w:r>
      <w:r w:rsidR="00775124" w:rsidRPr="008A1DB4">
        <w:rPr>
          <w:spacing w:val="-2"/>
          <w:lang w:val="en-US"/>
        </w:rPr>
        <w:t xml:space="preserve">right to </w:t>
      </w:r>
      <w:proofErr w:type="gramStart"/>
      <w:r w:rsidR="00775124" w:rsidRPr="008A1DB4">
        <w:rPr>
          <w:spacing w:val="-2"/>
          <w:lang w:val="en-US"/>
        </w:rPr>
        <w:t>life</w:t>
      </w:r>
      <w:r w:rsidR="00A80898">
        <w:rPr>
          <w:spacing w:val="-2"/>
          <w:lang w:val="en-US"/>
        </w:rPr>
        <w:t>,</w:t>
      </w:r>
      <w:proofErr w:type="gramEnd"/>
      <w:r w:rsidR="00B16E52" w:rsidRPr="008A1DB4">
        <w:rPr>
          <w:spacing w:val="-2"/>
          <w:lang w:val="en-US"/>
        </w:rPr>
        <w:t xml:space="preserve"> “</w:t>
      </w:r>
      <w:r w:rsidRPr="008A1DB4">
        <w:rPr>
          <w:spacing w:val="-2"/>
          <w:lang w:val="en-US"/>
        </w:rPr>
        <w:t>is applicable to all methods of returning a person to another State, even extradition.</w:t>
      </w:r>
      <w:r w:rsidR="00B16E52" w:rsidRPr="008A1DB4">
        <w:rPr>
          <w:spacing w:val="-2"/>
          <w:lang w:val="en-US"/>
        </w:rPr>
        <w:t>”</w:t>
      </w:r>
      <w:r w:rsidR="00B16E52" w:rsidRPr="008A1DB4">
        <w:rPr>
          <w:rStyle w:val="FootnoteReference"/>
          <w:spacing w:val="-2"/>
          <w:lang w:val="en-US"/>
        </w:rPr>
        <w:footnoteReference w:id="185"/>
      </w:r>
    </w:p>
    <w:p w14:paraId="3AA30AD3" w14:textId="77777777" w:rsidR="00B16E52" w:rsidRPr="008A1DB4" w:rsidRDefault="00B16E52" w:rsidP="00956E97">
      <w:pPr>
        <w:pStyle w:val="Numberedparagraphs"/>
        <w:numPr>
          <w:ilvl w:val="0"/>
          <w:numId w:val="0"/>
        </w:numPr>
        <w:tabs>
          <w:tab w:val="left" w:pos="567"/>
        </w:tabs>
        <w:spacing w:after="0"/>
        <w:rPr>
          <w:spacing w:val="-2"/>
          <w:lang w:val="en-US"/>
        </w:rPr>
      </w:pPr>
    </w:p>
    <w:p w14:paraId="1BE30FDB" w14:textId="0513C74D" w:rsidR="009A60C1" w:rsidRPr="008A1DB4" w:rsidRDefault="00A80898" w:rsidP="00956E97">
      <w:pPr>
        <w:pStyle w:val="PrrafodeSentencia"/>
        <w:rPr>
          <w:b/>
          <w:spacing w:val="-2"/>
          <w:lang w:val="en-US"/>
        </w:rPr>
      </w:pPr>
      <w:r>
        <w:rPr>
          <w:spacing w:val="-2"/>
          <w:lang w:val="en-US"/>
        </w:rPr>
        <w:t>Based on the above</w:t>
      </w:r>
      <w:r w:rsidR="00922262" w:rsidRPr="008A1DB4">
        <w:rPr>
          <w:spacing w:val="-2"/>
          <w:lang w:val="en-US"/>
        </w:rPr>
        <w:t>, this Court finds it pertinent to take note of the extens</w:t>
      </w:r>
      <w:r w:rsidR="00455E57" w:rsidRPr="008A1DB4">
        <w:rPr>
          <w:spacing w:val="-2"/>
          <w:lang w:val="en-US"/>
        </w:rPr>
        <w:t>iv</w:t>
      </w:r>
      <w:r w:rsidR="00922262" w:rsidRPr="008A1DB4">
        <w:rPr>
          <w:spacing w:val="-2"/>
          <w:lang w:val="en-US"/>
        </w:rPr>
        <w:t xml:space="preserve">e case law </w:t>
      </w:r>
      <w:r w:rsidR="00C45946" w:rsidRPr="008A1DB4">
        <w:rPr>
          <w:spacing w:val="-2"/>
          <w:lang w:val="en-US"/>
        </w:rPr>
        <w:t xml:space="preserve">of the </w:t>
      </w:r>
      <w:r w:rsidR="00631F9C" w:rsidRPr="008A1DB4">
        <w:rPr>
          <w:spacing w:val="-2"/>
          <w:lang w:val="en-US"/>
        </w:rPr>
        <w:t>European Court</w:t>
      </w:r>
      <w:r w:rsidR="00455E57" w:rsidRPr="008A1DB4">
        <w:rPr>
          <w:spacing w:val="-2"/>
          <w:lang w:val="en-US"/>
        </w:rPr>
        <w:t xml:space="preserve"> on this matter</w:t>
      </w:r>
      <w:r w:rsidR="004D136B" w:rsidRPr="008A1DB4">
        <w:rPr>
          <w:spacing w:val="-2"/>
          <w:lang w:val="en-US"/>
        </w:rPr>
        <w:t xml:space="preserve">, </w:t>
      </w:r>
      <w:r w:rsidR="00947926" w:rsidRPr="008A1DB4">
        <w:rPr>
          <w:spacing w:val="-2"/>
          <w:lang w:val="en-US"/>
        </w:rPr>
        <w:t>as</w:t>
      </w:r>
      <w:r w:rsidR="00922262" w:rsidRPr="008A1DB4">
        <w:rPr>
          <w:spacing w:val="-2"/>
          <w:lang w:val="en-US"/>
        </w:rPr>
        <w:t xml:space="preserve"> well as the opinions and decisions of the Human Rights Committee</w:t>
      </w:r>
      <w:r w:rsidR="005475F0" w:rsidRPr="008A1DB4">
        <w:rPr>
          <w:spacing w:val="-2"/>
          <w:lang w:val="en-US"/>
        </w:rPr>
        <w:t xml:space="preserve"> </w:t>
      </w:r>
      <w:r w:rsidR="00922262" w:rsidRPr="008A1DB4">
        <w:rPr>
          <w:spacing w:val="-2"/>
          <w:lang w:val="en-US"/>
        </w:rPr>
        <w:t>of the International Covenant on Civil and Political Rights</w:t>
      </w:r>
      <w:r w:rsidR="004D136B" w:rsidRPr="008A1DB4">
        <w:rPr>
          <w:spacing w:val="-2"/>
          <w:lang w:val="en-US"/>
        </w:rPr>
        <w:t xml:space="preserve"> (</w:t>
      </w:r>
      <w:r w:rsidR="00F36400" w:rsidRPr="008A1DB4">
        <w:rPr>
          <w:spacing w:val="-2"/>
          <w:lang w:val="en-US"/>
        </w:rPr>
        <w:t>hereinafter</w:t>
      </w:r>
      <w:r w:rsidR="004D136B" w:rsidRPr="008A1DB4">
        <w:rPr>
          <w:spacing w:val="-2"/>
          <w:lang w:val="en-US"/>
        </w:rPr>
        <w:t xml:space="preserve"> “</w:t>
      </w:r>
      <w:r w:rsidR="00922262" w:rsidRPr="008A1DB4">
        <w:rPr>
          <w:spacing w:val="-2"/>
          <w:lang w:val="en-US"/>
        </w:rPr>
        <w:t>the Human Rights Committee</w:t>
      </w:r>
      <w:r w:rsidR="004D136B" w:rsidRPr="008A1DB4">
        <w:rPr>
          <w:spacing w:val="-2"/>
          <w:lang w:val="en-US"/>
        </w:rPr>
        <w:t>”</w:t>
      </w:r>
      <w:r w:rsidR="009A60C1" w:rsidRPr="008A1DB4">
        <w:rPr>
          <w:spacing w:val="-2"/>
          <w:lang w:val="en-US"/>
        </w:rPr>
        <w:t xml:space="preserve"> o</w:t>
      </w:r>
      <w:r w:rsidR="00922262" w:rsidRPr="008A1DB4">
        <w:rPr>
          <w:spacing w:val="-2"/>
          <w:lang w:val="en-US"/>
        </w:rPr>
        <w:t>r</w:t>
      </w:r>
      <w:r w:rsidR="009A60C1" w:rsidRPr="008A1DB4">
        <w:rPr>
          <w:spacing w:val="-2"/>
          <w:lang w:val="en-US"/>
        </w:rPr>
        <w:t xml:space="preserve"> “</w:t>
      </w:r>
      <w:r w:rsidR="00922262" w:rsidRPr="008A1DB4">
        <w:rPr>
          <w:spacing w:val="-2"/>
          <w:lang w:val="en-US"/>
        </w:rPr>
        <w:t>the Committee</w:t>
      </w:r>
      <w:r w:rsidR="009A60C1" w:rsidRPr="008A1DB4">
        <w:rPr>
          <w:spacing w:val="-2"/>
          <w:lang w:val="en-US"/>
        </w:rPr>
        <w:t>”</w:t>
      </w:r>
      <w:r w:rsidR="004D136B" w:rsidRPr="008A1DB4">
        <w:rPr>
          <w:spacing w:val="-2"/>
          <w:lang w:val="en-US"/>
        </w:rPr>
        <w:t>)</w:t>
      </w:r>
      <w:r w:rsidR="00F36400" w:rsidRPr="008A1DB4">
        <w:rPr>
          <w:spacing w:val="-2"/>
          <w:lang w:val="en-US"/>
        </w:rPr>
        <w:t xml:space="preserve"> and </w:t>
      </w:r>
      <w:r w:rsidR="00922262" w:rsidRPr="008A1DB4">
        <w:rPr>
          <w:spacing w:val="-2"/>
          <w:lang w:val="en-US"/>
        </w:rPr>
        <w:t>of the Committee against Torture</w:t>
      </w:r>
      <w:r w:rsidR="00F36400" w:rsidRPr="008A1DB4">
        <w:rPr>
          <w:spacing w:val="-2"/>
          <w:lang w:val="en-US"/>
        </w:rPr>
        <w:t xml:space="preserve"> of </w:t>
      </w:r>
      <w:r w:rsidR="00922262" w:rsidRPr="008A1DB4">
        <w:rPr>
          <w:spacing w:val="-2"/>
          <w:lang w:val="en-US"/>
        </w:rPr>
        <w:t>the Convention against Torture and Other Cruel, Inhuman or Degrading Treatment or Punishment</w:t>
      </w:r>
      <w:r w:rsidR="00F36400" w:rsidRPr="008A1DB4">
        <w:rPr>
          <w:spacing w:val="-2"/>
          <w:lang w:val="en-US"/>
        </w:rPr>
        <w:t xml:space="preserve"> and </w:t>
      </w:r>
      <w:r w:rsidR="00455E57" w:rsidRPr="008A1DB4">
        <w:rPr>
          <w:spacing w:val="-2"/>
          <w:lang w:val="en-US"/>
        </w:rPr>
        <w:t xml:space="preserve">its Optional Protocol </w:t>
      </w:r>
      <w:r w:rsidR="004D136B" w:rsidRPr="008A1DB4">
        <w:rPr>
          <w:spacing w:val="-2"/>
          <w:lang w:val="en-US"/>
        </w:rPr>
        <w:t>(</w:t>
      </w:r>
      <w:r w:rsidR="00F36400" w:rsidRPr="008A1DB4">
        <w:rPr>
          <w:spacing w:val="-2"/>
          <w:lang w:val="en-US"/>
        </w:rPr>
        <w:t>hereinafter</w:t>
      </w:r>
      <w:r w:rsidR="00922262" w:rsidRPr="008A1DB4">
        <w:rPr>
          <w:spacing w:val="-2"/>
          <w:lang w:val="en-US"/>
        </w:rPr>
        <w:t xml:space="preserve"> “the</w:t>
      </w:r>
      <w:r w:rsidR="004D136B" w:rsidRPr="008A1DB4">
        <w:rPr>
          <w:spacing w:val="-2"/>
          <w:lang w:val="en-US"/>
        </w:rPr>
        <w:t xml:space="preserve"> </w:t>
      </w:r>
      <w:r w:rsidR="00922262" w:rsidRPr="008A1DB4">
        <w:rPr>
          <w:spacing w:val="-2"/>
          <w:lang w:val="en-US"/>
        </w:rPr>
        <w:t>Committee against Torture</w:t>
      </w:r>
      <w:r w:rsidR="004D136B" w:rsidRPr="008A1DB4">
        <w:rPr>
          <w:spacing w:val="-2"/>
          <w:lang w:val="en-US"/>
        </w:rPr>
        <w:t>”)</w:t>
      </w:r>
      <w:r w:rsidR="009A60C1" w:rsidRPr="008A1DB4">
        <w:rPr>
          <w:spacing w:val="-2"/>
          <w:lang w:val="en-US"/>
        </w:rPr>
        <w:t xml:space="preserve">. </w:t>
      </w:r>
    </w:p>
    <w:p w14:paraId="70E3F7CF" w14:textId="77777777" w:rsidR="009A60C1" w:rsidRPr="008A1DB4" w:rsidRDefault="009A60C1" w:rsidP="00956E97">
      <w:pPr>
        <w:pStyle w:val="PrrafodeSentencia"/>
        <w:numPr>
          <w:ilvl w:val="0"/>
          <w:numId w:val="0"/>
        </w:numPr>
        <w:rPr>
          <w:spacing w:val="-2"/>
          <w:lang w:val="en-US"/>
        </w:rPr>
      </w:pPr>
    </w:p>
    <w:p w14:paraId="74A6A354" w14:textId="65CF197A" w:rsidR="00990036" w:rsidRPr="008A1DB4" w:rsidRDefault="00455E57" w:rsidP="0069105B">
      <w:pPr>
        <w:pStyle w:val="PrrafodeSentencia"/>
        <w:rPr>
          <w:b/>
          <w:spacing w:val="-2"/>
          <w:lang w:val="en-US"/>
        </w:rPr>
      </w:pPr>
      <w:bookmarkStart w:id="672" w:name="_Ref418890319"/>
      <w:r w:rsidRPr="00A80898">
        <w:rPr>
          <w:spacing w:val="-2"/>
          <w:lang w:val="en-US"/>
        </w:rPr>
        <w:t>In</w:t>
      </w:r>
      <w:r w:rsidR="009A60C1" w:rsidRPr="00A80898">
        <w:rPr>
          <w:spacing w:val="-2"/>
          <w:lang w:val="en-US"/>
        </w:rPr>
        <w:t xml:space="preserve"> general, </w:t>
      </w:r>
      <w:r w:rsidR="00922262" w:rsidRPr="00A80898">
        <w:rPr>
          <w:spacing w:val="-2"/>
          <w:lang w:val="en-US"/>
        </w:rPr>
        <w:t>the Human Rights Committee</w:t>
      </w:r>
      <w:r w:rsidR="009A60C1" w:rsidRPr="00A80898">
        <w:rPr>
          <w:spacing w:val="-2"/>
          <w:lang w:val="en-US"/>
        </w:rPr>
        <w:t xml:space="preserve"> </w:t>
      </w:r>
      <w:r w:rsidR="005475F0" w:rsidRPr="00A80898">
        <w:rPr>
          <w:spacing w:val="-2"/>
          <w:lang w:val="en-US"/>
        </w:rPr>
        <w:t>ha</w:t>
      </w:r>
      <w:r w:rsidRPr="00A80898">
        <w:rPr>
          <w:spacing w:val="-2"/>
          <w:lang w:val="en-US"/>
        </w:rPr>
        <w:t xml:space="preserve">s indicated that States are obliged “not to extradite, deport, expel or otherwise remove a person from their territory where there are substantial grounds for believing that there is a real risk of irreparable harm, such as that contemplated in </w:t>
      </w:r>
      <w:r w:rsidR="00F36400" w:rsidRPr="00A80898">
        <w:rPr>
          <w:spacing w:val="-2"/>
          <w:lang w:val="en-US"/>
        </w:rPr>
        <w:t>Article</w:t>
      </w:r>
      <w:r w:rsidR="00C009F9" w:rsidRPr="00A80898">
        <w:rPr>
          <w:spacing w:val="-2"/>
          <w:lang w:val="en-US"/>
        </w:rPr>
        <w:t>s</w:t>
      </w:r>
      <w:r w:rsidR="005475F0" w:rsidRPr="00A80898">
        <w:rPr>
          <w:spacing w:val="-2"/>
          <w:lang w:val="en-US"/>
        </w:rPr>
        <w:t xml:space="preserve"> 6 (</w:t>
      </w:r>
      <w:r w:rsidRPr="00A80898">
        <w:rPr>
          <w:spacing w:val="-2"/>
          <w:lang w:val="en-US"/>
        </w:rPr>
        <w:t>right to l</w:t>
      </w:r>
      <w:r w:rsidR="00775124" w:rsidRPr="00A80898">
        <w:rPr>
          <w:spacing w:val="-2"/>
          <w:lang w:val="en-US"/>
        </w:rPr>
        <w:t>ife</w:t>
      </w:r>
      <w:r w:rsidR="005475F0" w:rsidRPr="00A80898">
        <w:rPr>
          <w:spacing w:val="-2"/>
          <w:lang w:val="en-US"/>
        </w:rPr>
        <w:t>)</w:t>
      </w:r>
      <w:r w:rsidR="00F36400" w:rsidRPr="00A80898">
        <w:rPr>
          <w:spacing w:val="-2"/>
          <w:lang w:val="en-US"/>
        </w:rPr>
        <w:t xml:space="preserve"> and </w:t>
      </w:r>
      <w:r w:rsidRPr="00A80898">
        <w:rPr>
          <w:spacing w:val="-2"/>
          <w:lang w:val="en-US"/>
        </w:rPr>
        <w:t>7 (p</w:t>
      </w:r>
      <w:r w:rsidR="005475F0" w:rsidRPr="00A80898">
        <w:rPr>
          <w:spacing w:val="-2"/>
          <w:lang w:val="en-US"/>
        </w:rPr>
        <w:t>rohibi</w:t>
      </w:r>
      <w:r w:rsidR="00922262" w:rsidRPr="00A80898">
        <w:rPr>
          <w:spacing w:val="-2"/>
          <w:lang w:val="en-US"/>
        </w:rPr>
        <w:t>tion of torture or cruel, inhuman or degrading treatment or punishment</w:t>
      </w:r>
      <w:r w:rsidR="005475F0" w:rsidRPr="00A80898">
        <w:rPr>
          <w:spacing w:val="-2"/>
          <w:lang w:val="en-US"/>
        </w:rPr>
        <w:t xml:space="preserve">) </w:t>
      </w:r>
      <w:r w:rsidR="00922262" w:rsidRPr="00A80898">
        <w:rPr>
          <w:spacing w:val="-2"/>
          <w:lang w:val="en-US"/>
        </w:rPr>
        <w:t xml:space="preserve">of the </w:t>
      </w:r>
      <w:r w:rsidRPr="00A80898">
        <w:rPr>
          <w:spacing w:val="-2"/>
          <w:lang w:val="en-US"/>
        </w:rPr>
        <w:t>[</w:t>
      </w:r>
      <w:r w:rsidR="00922262" w:rsidRPr="00A80898">
        <w:rPr>
          <w:spacing w:val="-2"/>
          <w:lang w:val="en-US"/>
        </w:rPr>
        <w:t>International</w:t>
      </w:r>
      <w:r w:rsidRPr="00A80898">
        <w:rPr>
          <w:spacing w:val="-2"/>
          <w:lang w:val="en-US"/>
        </w:rPr>
        <w:t>]</w:t>
      </w:r>
      <w:r w:rsidR="00922262" w:rsidRPr="00A80898">
        <w:rPr>
          <w:spacing w:val="-2"/>
          <w:lang w:val="en-US"/>
        </w:rPr>
        <w:t xml:space="preserve"> Covenant </w:t>
      </w:r>
      <w:r w:rsidRPr="00A80898">
        <w:rPr>
          <w:spacing w:val="-2"/>
          <w:lang w:val="en-US"/>
        </w:rPr>
        <w:t>[</w:t>
      </w:r>
      <w:r w:rsidR="00922262" w:rsidRPr="00A80898">
        <w:rPr>
          <w:spacing w:val="-2"/>
          <w:lang w:val="en-US"/>
        </w:rPr>
        <w:t>on Civil and Political Rights</w:t>
      </w:r>
      <w:r w:rsidRPr="00A80898">
        <w:rPr>
          <w:spacing w:val="-2"/>
          <w:lang w:val="en-US"/>
        </w:rPr>
        <w:t>]</w:t>
      </w:r>
      <w:r w:rsidR="005475F0" w:rsidRPr="00A80898">
        <w:rPr>
          <w:spacing w:val="-2"/>
          <w:lang w:val="en-US"/>
        </w:rPr>
        <w:t xml:space="preserve">, </w:t>
      </w:r>
      <w:r w:rsidRPr="00A80898">
        <w:rPr>
          <w:spacing w:val="-2"/>
          <w:lang w:val="en-US"/>
        </w:rPr>
        <w:t>either in the country to which removal is to be effected or in any country to which the person may subsequently be removed.”</w:t>
      </w:r>
      <w:r w:rsidR="005475F0" w:rsidRPr="00A80898">
        <w:rPr>
          <w:rStyle w:val="FootnoteReference"/>
          <w:spacing w:val="-2"/>
          <w:lang w:val="en-US"/>
        </w:rPr>
        <w:footnoteReference w:id="186"/>
      </w:r>
      <w:r w:rsidRPr="00A80898">
        <w:rPr>
          <w:spacing w:val="-2"/>
          <w:lang w:val="en-US"/>
        </w:rPr>
        <w:t xml:space="preserve"> In particular, with regard to the death penalty, the Committee has indicated that: “</w:t>
      </w:r>
      <w:r w:rsidR="0069105B" w:rsidRPr="00A80898">
        <w:rPr>
          <w:lang w:val="en-US"/>
        </w:rPr>
        <w:t>For countries that have abolished the death penalty, there is an obligation not to expose a person to the real risk of its application. Thus, they may not remove, either by deportation or extradition, individuals from their jurisdiction if it may be reasonably anticipated that they will be sentenced to death, without ensuring that the death sentence would not be carried</w:t>
      </w:r>
      <w:r w:rsidR="0069105B" w:rsidRPr="008A1DB4">
        <w:rPr>
          <w:lang w:val="en-US"/>
        </w:rPr>
        <w:t xml:space="preserve"> out.</w:t>
      </w:r>
      <w:r w:rsidR="005475F0" w:rsidRPr="008A1DB4">
        <w:rPr>
          <w:spacing w:val="-2"/>
          <w:lang w:val="en-US"/>
        </w:rPr>
        <w:t>”</w:t>
      </w:r>
      <w:r w:rsidR="005475F0" w:rsidRPr="008A1DB4">
        <w:rPr>
          <w:rStyle w:val="FootnoteReference"/>
          <w:spacing w:val="-2"/>
          <w:lang w:val="en-US"/>
        </w:rPr>
        <w:footnoteReference w:id="187"/>
      </w:r>
      <w:r w:rsidR="0069105B" w:rsidRPr="008A1DB4">
        <w:rPr>
          <w:spacing w:val="-2"/>
          <w:lang w:val="en-US"/>
        </w:rPr>
        <w:t xml:space="preserve"> Regarding the prohibition of torture, the </w:t>
      </w:r>
      <w:r w:rsidR="00922262" w:rsidRPr="008A1DB4">
        <w:rPr>
          <w:rStyle w:val="sb8d990e2"/>
          <w:color w:val="000000"/>
          <w:spacing w:val="-2"/>
          <w:lang w:val="en-US"/>
        </w:rPr>
        <w:t>Committee against Torture</w:t>
      </w:r>
      <w:r w:rsidR="00990036" w:rsidRPr="008A1DB4">
        <w:rPr>
          <w:rStyle w:val="sb8d990e2"/>
          <w:color w:val="000000"/>
          <w:spacing w:val="-2"/>
          <w:lang w:val="en-US"/>
        </w:rPr>
        <w:t xml:space="preserve"> ha</w:t>
      </w:r>
      <w:r w:rsidR="0069105B" w:rsidRPr="008A1DB4">
        <w:rPr>
          <w:rStyle w:val="sb8d990e2"/>
          <w:color w:val="000000"/>
          <w:spacing w:val="-2"/>
          <w:lang w:val="en-US"/>
        </w:rPr>
        <w:t xml:space="preserve">s stated that, under </w:t>
      </w:r>
      <w:r w:rsidR="0058668C" w:rsidRPr="008A1DB4">
        <w:rPr>
          <w:spacing w:val="-2"/>
          <w:lang w:val="en-US"/>
        </w:rPr>
        <w:t>Article</w:t>
      </w:r>
      <w:r w:rsidR="00990036" w:rsidRPr="008A1DB4">
        <w:rPr>
          <w:spacing w:val="-2"/>
          <w:lang w:val="en-US"/>
        </w:rPr>
        <w:t xml:space="preserve"> 3, </w:t>
      </w:r>
      <w:r w:rsidR="00776D24" w:rsidRPr="008A1DB4">
        <w:rPr>
          <w:spacing w:val="-2"/>
          <w:lang w:val="en-US"/>
        </w:rPr>
        <w:t>paragraph</w:t>
      </w:r>
      <w:r w:rsidR="00990036" w:rsidRPr="008A1DB4">
        <w:rPr>
          <w:spacing w:val="-2"/>
          <w:lang w:val="en-US"/>
        </w:rPr>
        <w:t xml:space="preserve"> 1,</w:t>
      </w:r>
      <w:r w:rsidR="00F36400" w:rsidRPr="008A1DB4">
        <w:rPr>
          <w:spacing w:val="-2"/>
          <w:lang w:val="en-US"/>
        </w:rPr>
        <w:t xml:space="preserve"> of </w:t>
      </w:r>
      <w:r w:rsidR="00922262" w:rsidRPr="008A1DB4">
        <w:rPr>
          <w:spacing w:val="-2"/>
          <w:lang w:val="en-US"/>
        </w:rPr>
        <w:t>the Convention against Torture and Other Cruel, Inhuman or Degrading Treatment or Punishment</w:t>
      </w:r>
      <w:r w:rsidR="00990036" w:rsidRPr="008A1DB4">
        <w:rPr>
          <w:spacing w:val="-2"/>
          <w:lang w:val="en-US"/>
        </w:rPr>
        <w:t>,</w:t>
      </w:r>
      <w:r w:rsidR="00CD1EAA" w:rsidRPr="008A1DB4">
        <w:rPr>
          <w:spacing w:val="-2"/>
          <w:lang w:val="en-US"/>
        </w:rPr>
        <w:t xml:space="preserve"> </w:t>
      </w:r>
      <w:r w:rsidR="00F36400" w:rsidRPr="008A1DB4">
        <w:rPr>
          <w:spacing w:val="-2"/>
          <w:lang w:val="en-US"/>
        </w:rPr>
        <w:t>the State</w:t>
      </w:r>
      <w:r w:rsidR="00CD1EAA" w:rsidRPr="008A1DB4">
        <w:rPr>
          <w:spacing w:val="-2"/>
          <w:lang w:val="en-US"/>
        </w:rPr>
        <w:t xml:space="preserve"> P</w:t>
      </w:r>
      <w:r w:rsidR="0069105B" w:rsidRPr="008A1DB4">
        <w:rPr>
          <w:spacing w:val="-2"/>
          <w:lang w:val="en-US"/>
        </w:rPr>
        <w:t xml:space="preserve">arty has the obligation not to expel a person to another State </w:t>
      </w:r>
      <w:r w:rsidR="0069105B" w:rsidRPr="008A1DB4">
        <w:rPr>
          <w:spacing w:val="-2"/>
          <w:lang w:val="en-US"/>
        </w:rPr>
        <w:lastRenderedPageBreak/>
        <w:t>when there are substantial grounds for believing that he would be in danger of being subjected to torture.</w:t>
      </w:r>
      <w:r w:rsidR="00990036" w:rsidRPr="008A1DB4">
        <w:rPr>
          <w:rStyle w:val="FootnoteReference"/>
          <w:spacing w:val="-2"/>
          <w:lang w:val="en-US"/>
        </w:rPr>
        <w:footnoteReference w:id="188"/>
      </w:r>
      <w:bookmarkEnd w:id="672"/>
    </w:p>
    <w:p w14:paraId="37D4B358" w14:textId="77777777" w:rsidR="00990036" w:rsidRPr="008A1DB4" w:rsidRDefault="00990036" w:rsidP="00956E97">
      <w:pPr>
        <w:pStyle w:val="PrrafodeSentencia"/>
        <w:numPr>
          <w:ilvl w:val="0"/>
          <w:numId w:val="0"/>
        </w:numPr>
        <w:rPr>
          <w:spacing w:val="-2"/>
          <w:lang w:val="en-US"/>
        </w:rPr>
      </w:pPr>
    </w:p>
    <w:p w14:paraId="75F10B1C" w14:textId="6DD134D5" w:rsidR="00990036" w:rsidRPr="008A1DB4" w:rsidRDefault="0069105B" w:rsidP="0069105B">
      <w:pPr>
        <w:pStyle w:val="PrrafodeSentencia"/>
        <w:rPr>
          <w:b/>
          <w:spacing w:val="-2"/>
          <w:lang w:val="en-US"/>
        </w:rPr>
      </w:pPr>
      <w:r w:rsidRPr="008A1DB4">
        <w:rPr>
          <w:spacing w:val="-2"/>
          <w:lang w:val="en-US"/>
        </w:rPr>
        <w:t xml:space="preserve">Meanwhile, </w:t>
      </w:r>
      <w:r w:rsidR="00F36400" w:rsidRPr="008A1DB4">
        <w:rPr>
          <w:spacing w:val="-2"/>
          <w:lang w:val="en-US"/>
        </w:rPr>
        <w:t xml:space="preserve">the </w:t>
      </w:r>
      <w:r w:rsidR="00631F9C" w:rsidRPr="008A1DB4">
        <w:rPr>
          <w:spacing w:val="-2"/>
          <w:lang w:val="en-US"/>
        </w:rPr>
        <w:t>European Court</w:t>
      </w:r>
      <w:r w:rsidR="00990036" w:rsidRPr="008A1DB4">
        <w:rPr>
          <w:spacing w:val="-2"/>
          <w:lang w:val="en-US"/>
        </w:rPr>
        <w:t xml:space="preserve"> ha</w:t>
      </w:r>
      <w:r w:rsidRPr="008A1DB4">
        <w:rPr>
          <w:spacing w:val="-2"/>
          <w:lang w:val="en-US"/>
        </w:rPr>
        <w:t xml:space="preserve">s established repeatedly that the expulsion or extradition </w:t>
      </w:r>
      <w:r w:rsidR="00947926" w:rsidRPr="008A1DB4">
        <w:rPr>
          <w:spacing w:val="-2"/>
          <w:lang w:val="en-US"/>
        </w:rPr>
        <w:t>of</w:t>
      </w:r>
      <w:r w:rsidRPr="008A1DB4">
        <w:rPr>
          <w:spacing w:val="-2"/>
          <w:lang w:val="en-US"/>
        </w:rPr>
        <w:t xml:space="preserve"> a person under the </w:t>
      </w:r>
      <w:r w:rsidRPr="00A80898">
        <w:rPr>
          <w:spacing w:val="-2"/>
          <w:lang w:val="en-US"/>
        </w:rPr>
        <w:t>jurisdiction of a State Party may engage its international responsibility “where substantial grounds have been shown for believing that the person in question, if expelled, would fac</w:t>
      </w:r>
      <w:r w:rsidR="00196CB7">
        <w:rPr>
          <w:spacing w:val="-2"/>
          <w:lang w:val="en-US"/>
        </w:rPr>
        <w:t>e a real risk of being subject</w:t>
      </w:r>
      <w:r w:rsidRPr="00A80898">
        <w:rPr>
          <w:spacing w:val="-2"/>
          <w:lang w:val="en-US"/>
        </w:rPr>
        <w:t xml:space="preserve"> to treatment contrary to” the prohibition of torture or other forms of</w:t>
      </w:r>
      <w:r w:rsidRPr="00A80898">
        <w:rPr>
          <w:b/>
          <w:spacing w:val="-2"/>
          <w:lang w:val="en-US"/>
        </w:rPr>
        <w:t xml:space="preserve"> </w:t>
      </w:r>
      <w:r w:rsidR="00CC6F1B" w:rsidRPr="00A80898">
        <w:rPr>
          <w:rStyle w:val="sb8d990e2"/>
          <w:color w:val="000000"/>
          <w:spacing w:val="-2"/>
          <w:lang w:val="en-US"/>
        </w:rPr>
        <w:t>cruel, inhuman or degrading treatment</w:t>
      </w:r>
      <w:r w:rsidRPr="00A80898">
        <w:rPr>
          <w:rStyle w:val="sb8d990e2"/>
          <w:color w:val="000000"/>
          <w:spacing w:val="-2"/>
          <w:lang w:val="en-US"/>
        </w:rPr>
        <w:t>.</w:t>
      </w:r>
      <w:r w:rsidR="00990036" w:rsidRPr="00A80898">
        <w:rPr>
          <w:rStyle w:val="FootnoteReference"/>
          <w:color w:val="000000"/>
          <w:spacing w:val="-2"/>
          <w:lang w:val="en-US"/>
        </w:rPr>
        <w:footnoteReference w:id="189"/>
      </w:r>
      <w:r w:rsidR="00990036" w:rsidRPr="008A1DB4">
        <w:rPr>
          <w:rStyle w:val="sb8d990e2"/>
          <w:color w:val="000000"/>
          <w:spacing w:val="-2"/>
          <w:lang w:val="en-US"/>
        </w:rPr>
        <w:t xml:space="preserve"> </w:t>
      </w:r>
      <w:r w:rsidR="00922262" w:rsidRPr="008A1DB4">
        <w:rPr>
          <w:rStyle w:val="sb8d990e2"/>
          <w:color w:val="000000"/>
          <w:spacing w:val="-2"/>
          <w:lang w:val="en-US"/>
        </w:rPr>
        <w:t xml:space="preserve">Also, with regard to </w:t>
      </w:r>
      <w:r w:rsidR="00A3310A" w:rsidRPr="008A1DB4">
        <w:rPr>
          <w:rStyle w:val="sb8d990e2"/>
          <w:color w:val="000000"/>
          <w:spacing w:val="-2"/>
          <w:lang w:val="en-US"/>
        </w:rPr>
        <w:t>the death penalty</w:t>
      </w:r>
      <w:r w:rsidR="009715DA" w:rsidRPr="008A1DB4">
        <w:rPr>
          <w:rStyle w:val="sb8d990e2"/>
          <w:color w:val="000000"/>
          <w:spacing w:val="-2"/>
          <w:lang w:val="en-US"/>
        </w:rPr>
        <w:t xml:space="preserve">, </w:t>
      </w:r>
      <w:r w:rsidR="00922262" w:rsidRPr="008A1DB4">
        <w:rPr>
          <w:rStyle w:val="sb8d990e2"/>
          <w:color w:val="000000"/>
          <w:spacing w:val="-2"/>
          <w:lang w:val="en-US"/>
        </w:rPr>
        <w:t xml:space="preserve">this Court has indicated that </w:t>
      </w:r>
      <w:r w:rsidR="00F36400" w:rsidRPr="008A1DB4">
        <w:rPr>
          <w:rStyle w:val="sb8d990e2"/>
          <w:color w:val="000000"/>
          <w:spacing w:val="-2"/>
          <w:lang w:val="en-US"/>
        </w:rPr>
        <w:t>Article</w:t>
      </w:r>
      <w:r w:rsidR="009715DA" w:rsidRPr="008A1DB4">
        <w:rPr>
          <w:rStyle w:val="sb8d990e2"/>
          <w:color w:val="000000"/>
          <w:spacing w:val="-2"/>
          <w:lang w:val="en-US"/>
        </w:rPr>
        <w:t xml:space="preserve"> 2</w:t>
      </w:r>
      <w:r w:rsidR="00922262" w:rsidRPr="008A1DB4">
        <w:rPr>
          <w:rStyle w:val="sb8d990e2"/>
          <w:color w:val="000000"/>
          <w:spacing w:val="-2"/>
          <w:lang w:val="en-US"/>
        </w:rPr>
        <w:t xml:space="preserve"> of the European Convention for the Protection of Human Rights and Fundamental Freedoms</w:t>
      </w:r>
      <w:r w:rsidR="007E78F5" w:rsidRPr="008A1DB4">
        <w:rPr>
          <w:spacing w:val="-2"/>
          <w:lang w:val="en-US"/>
        </w:rPr>
        <w:t xml:space="preserve"> </w:t>
      </w:r>
      <w:r w:rsidR="00922262" w:rsidRPr="008A1DB4">
        <w:rPr>
          <w:rStyle w:val="sb8d990e2"/>
          <w:color w:val="000000"/>
          <w:spacing w:val="-2"/>
          <w:lang w:val="en-US"/>
        </w:rPr>
        <w:t>which recognizes the</w:t>
      </w:r>
      <w:r w:rsidR="009715DA" w:rsidRPr="008A1DB4">
        <w:rPr>
          <w:rStyle w:val="sb8d990e2"/>
          <w:color w:val="000000"/>
          <w:spacing w:val="-2"/>
          <w:lang w:val="en-US"/>
        </w:rPr>
        <w:t xml:space="preserve"> </w:t>
      </w:r>
      <w:r w:rsidR="00775124" w:rsidRPr="008A1DB4">
        <w:rPr>
          <w:rStyle w:val="sb8d990e2"/>
          <w:color w:val="000000"/>
          <w:spacing w:val="-2"/>
          <w:lang w:val="en-US"/>
        </w:rPr>
        <w:t>right to life</w:t>
      </w:r>
      <w:r w:rsidR="005606E4" w:rsidRPr="008A1DB4">
        <w:rPr>
          <w:rStyle w:val="sb8d990e2"/>
          <w:color w:val="000000"/>
          <w:spacing w:val="-2"/>
          <w:lang w:val="en-US"/>
        </w:rPr>
        <w:t>,</w:t>
      </w:r>
      <w:r w:rsidR="00F36400" w:rsidRPr="008A1DB4">
        <w:rPr>
          <w:rStyle w:val="sb8d990e2"/>
          <w:color w:val="000000"/>
          <w:spacing w:val="-2"/>
          <w:lang w:val="en-US"/>
        </w:rPr>
        <w:t xml:space="preserve"> and Article</w:t>
      </w:r>
      <w:r w:rsidR="009715DA" w:rsidRPr="008A1DB4">
        <w:rPr>
          <w:rStyle w:val="sb8d990e2"/>
          <w:color w:val="000000"/>
          <w:spacing w:val="-2"/>
          <w:lang w:val="en-US"/>
        </w:rPr>
        <w:t xml:space="preserve"> 1 </w:t>
      </w:r>
      <w:r w:rsidR="00922262" w:rsidRPr="008A1DB4">
        <w:rPr>
          <w:rStyle w:val="sb8d990e2"/>
          <w:color w:val="000000"/>
          <w:spacing w:val="-2"/>
          <w:lang w:val="en-US"/>
        </w:rPr>
        <w:t xml:space="preserve">of its Protocol </w:t>
      </w:r>
      <w:r w:rsidR="009715DA" w:rsidRPr="008A1DB4">
        <w:rPr>
          <w:rStyle w:val="sb8d990e2"/>
          <w:color w:val="000000"/>
          <w:spacing w:val="-2"/>
          <w:lang w:val="en-US"/>
        </w:rPr>
        <w:t>No.</w:t>
      </w:r>
      <w:r w:rsidR="007E78F5" w:rsidRPr="008A1DB4">
        <w:rPr>
          <w:rStyle w:val="sb8d990e2"/>
          <w:color w:val="000000"/>
          <w:spacing w:val="-2"/>
          <w:lang w:val="en-US"/>
        </w:rPr>
        <w:t xml:space="preserve"> </w:t>
      </w:r>
      <w:r w:rsidR="00922262" w:rsidRPr="008A1DB4">
        <w:rPr>
          <w:rStyle w:val="sb8d990e2"/>
          <w:color w:val="000000"/>
          <w:spacing w:val="-2"/>
          <w:lang w:val="en-US"/>
        </w:rPr>
        <w:t xml:space="preserve">13 concerning the abolition </w:t>
      </w:r>
      <w:r w:rsidR="00BB44A4" w:rsidRPr="008A1DB4">
        <w:rPr>
          <w:rStyle w:val="sb8d990e2"/>
          <w:color w:val="000000"/>
          <w:spacing w:val="-2"/>
          <w:lang w:val="en-US"/>
        </w:rPr>
        <w:t xml:space="preserve">of the </w:t>
      </w:r>
      <w:r w:rsidR="00A3310A" w:rsidRPr="008A1DB4">
        <w:rPr>
          <w:rStyle w:val="sb8d990e2"/>
          <w:color w:val="000000"/>
          <w:spacing w:val="-2"/>
          <w:lang w:val="en-US"/>
        </w:rPr>
        <w:t>death penalty</w:t>
      </w:r>
      <w:r w:rsidR="009715DA" w:rsidRPr="008A1DB4">
        <w:rPr>
          <w:rStyle w:val="sb8d990e2"/>
          <w:color w:val="000000"/>
          <w:spacing w:val="-2"/>
          <w:lang w:val="en-US"/>
        </w:rPr>
        <w:t xml:space="preserve"> </w:t>
      </w:r>
      <w:r w:rsidRPr="008A1DB4">
        <w:rPr>
          <w:rStyle w:val="sb8d990e2"/>
          <w:color w:val="000000"/>
          <w:spacing w:val="-2"/>
          <w:lang w:val="en-US"/>
        </w:rPr>
        <w:t>in any circumstance, prohibit the extradition or deportation of an individual to another State when substantial grounds exist for believing that he could be subjected to the death penalty.</w:t>
      </w:r>
      <w:r w:rsidR="009715DA" w:rsidRPr="008A1DB4">
        <w:rPr>
          <w:rStyle w:val="FootnoteReference"/>
          <w:spacing w:val="-2"/>
          <w:lang w:val="en-US"/>
        </w:rPr>
        <w:footnoteReference w:id="190"/>
      </w:r>
      <w:r w:rsidR="009715DA" w:rsidRPr="008A1DB4">
        <w:rPr>
          <w:spacing w:val="-2"/>
          <w:lang w:val="en-US"/>
        </w:rPr>
        <w:t xml:space="preserve">  </w:t>
      </w:r>
      <w:r w:rsidR="009715DA" w:rsidRPr="008A1DB4">
        <w:rPr>
          <w:rStyle w:val="sb8d990e2"/>
          <w:color w:val="000000"/>
          <w:spacing w:val="-2"/>
          <w:lang w:val="en-US"/>
        </w:rPr>
        <w:t xml:space="preserve">  </w:t>
      </w:r>
    </w:p>
    <w:p w14:paraId="3B4430B3" w14:textId="77777777" w:rsidR="00990036" w:rsidRPr="008A1DB4" w:rsidRDefault="00990036" w:rsidP="00956E97">
      <w:pPr>
        <w:pStyle w:val="PrrafodeSentencia"/>
        <w:numPr>
          <w:ilvl w:val="0"/>
          <w:numId w:val="0"/>
        </w:numPr>
        <w:rPr>
          <w:spacing w:val="-2"/>
          <w:lang w:val="en-US"/>
        </w:rPr>
      </w:pPr>
    </w:p>
    <w:p w14:paraId="5F5AA9E1" w14:textId="32CE761D" w:rsidR="0069105B" w:rsidRPr="008A1DB4" w:rsidRDefault="00F44C78" w:rsidP="0069105B">
      <w:pPr>
        <w:pStyle w:val="PrrafodeSentencia"/>
        <w:rPr>
          <w:spacing w:val="-2"/>
          <w:u w:val="single"/>
          <w:lang w:val="en-US"/>
        </w:rPr>
      </w:pPr>
      <w:bookmarkStart w:id="673" w:name="_Ref418902245"/>
      <w:r w:rsidRPr="008A1DB4">
        <w:rPr>
          <w:spacing w:val="-2"/>
          <w:lang w:val="en-US"/>
        </w:rPr>
        <w:t>T</w:t>
      </w:r>
      <w:r w:rsidR="0069105B" w:rsidRPr="008A1DB4">
        <w:rPr>
          <w:spacing w:val="-2"/>
          <w:lang w:val="en-US"/>
        </w:rPr>
        <w:t xml:space="preserve">aking into account all the preceding </w:t>
      </w:r>
      <w:r w:rsidR="00A836C4" w:rsidRPr="008A1DB4">
        <w:rPr>
          <w:spacing w:val="-2"/>
          <w:lang w:val="en-US"/>
        </w:rPr>
        <w:t>considerations</w:t>
      </w:r>
      <w:r w:rsidRPr="008A1DB4">
        <w:rPr>
          <w:spacing w:val="-2"/>
          <w:lang w:val="en-US"/>
        </w:rPr>
        <w:t xml:space="preserve"> </w:t>
      </w:r>
      <w:r w:rsidR="00F36400" w:rsidRPr="008A1DB4">
        <w:rPr>
          <w:spacing w:val="-2"/>
          <w:lang w:val="en-US"/>
        </w:rPr>
        <w:t>and</w:t>
      </w:r>
      <w:r w:rsidR="0069105B" w:rsidRPr="008A1DB4">
        <w:rPr>
          <w:spacing w:val="-2"/>
          <w:lang w:val="en-US"/>
        </w:rPr>
        <w:t xml:space="preserve"> based on the facts of this case, the Court establishes that, pursuant </w:t>
      </w:r>
      <w:r w:rsidR="00A80898">
        <w:rPr>
          <w:spacing w:val="-2"/>
          <w:lang w:val="en-US"/>
        </w:rPr>
        <w:t>to the obligation to ensure the</w:t>
      </w:r>
      <w:r w:rsidR="0069105B" w:rsidRPr="008A1DB4">
        <w:rPr>
          <w:spacing w:val="-2"/>
          <w:lang w:val="en-US"/>
        </w:rPr>
        <w:t xml:space="preserve"> </w:t>
      </w:r>
      <w:r w:rsidR="00775124" w:rsidRPr="008A1DB4">
        <w:rPr>
          <w:spacing w:val="-2"/>
          <w:lang w:val="en-US"/>
        </w:rPr>
        <w:t>right to life</w:t>
      </w:r>
      <w:r w:rsidRPr="008A1DB4">
        <w:rPr>
          <w:spacing w:val="-2"/>
          <w:lang w:val="en-US"/>
        </w:rPr>
        <w:t xml:space="preserve">, </w:t>
      </w:r>
      <w:r w:rsidR="0069105B" w:rsidRPr="008A1DB4">
        <w:rPr>
          <w:spacing w:val="-2"/>
          <w:lang w:val="en-US"/>
        </w:rPr>
        <w:t xml:space="preserve">States that have abolished </w:t>
      </w:r>
      <w:r w:rsidR="00A3310A" w:rsidRPr="008A1DB4">
        <w:rPr>
          <w:spacing w:val="-2"/>
          <w:lang w:val="en-US"/>
        </w:rPr>
        <w:t>the death penalty</w:t>
      </w:r>
      <w:r w:rsidR="0069105B" w:rsidRPr="008A1DB4">
        <w:rPr>
          <w:spacing w:val="-2"/>
          <w:lang w:val="en-US"/>
        </w:rPr>
        <w:t xml:space="preserve"> may not expose an individual under their jurisdiction to the real and foreseeable risk of its application and, therefore, may not expel, by deportation or extradition, persons under their jurisdiction, if it can </w:t>
      </w:r>
      <w:r w:rsidR="00A80898">
        <w:rPr>
          <w:spacing w:val="-2"/>
          <w:lang w:val="en-US"/>
        </w:rPr>
        <w:t xml:space="preserve">be </w:t>
      </w:r>
      <w:r w:rsidR="0069105B" w:rsidRPr="008A1DB4">
        <w:rPr>
          <w:spacing w:val="-2"/>
          <w:lang w:val="en-US"/>
        </w:rPr>
        <w:t xml:space="preserve">reasonably </w:t>
      </w:r>
      <w:r w:rsidR="00A80898">
        <w:rPr>
          <w:spacing w:val="-2"/>
          <w:lang w:val="en-US"/>
        </w:rPr>
        <w:t>anticipated</w:t>
      </w:r>
      <w:r w:rsidR="0069105B" w:rsidRPr="008A1DB4">
        <w:rPr>
          <w:spacing w:val="-2"/>
          <w:lang w:val="en-US"/>
        </w:rPr>
        <w:t xml:space="preserve"> that they may be sentenced to death, without requiring guarantees that th</w:t>
      </w:r>
      <w:r w:rsidR="00A80898">
        <w:rPr>
          <w:spacing w:val="-2"/>
          <w:lang w:val="en-US"/>
        </w:rPr>
        <w:t xml:space="preserve">e death sentence would not be carried out. </w:t>
      </w:r>
      <w:r w:rsidR="0069105B" w:rsidRPr="008A1DB4">
        <w:rPr>
          <w:spacing w:val="-2"/>
          <w:lang w:val="en-US"/>
        </w:rPr>
        <w:t xml:space="preserve">Furthermore, </w:t>
      </w:r>
      <w:r w:rsidR="00922262" w:rsidRPr="008A1DB4">
        <w:rPr>
          <w:spacing w:val="-2"/>
          <w:lang w:val="en-US"/>
        </w:rPr>
        <w:t>the States Parties to the</w:t>
      </w:r>
      <w:r w:rsidR="00F36400" w:rsidRPr="008A1DB4">
        <w:rPr>
          <w:spacing w:val="-2"/>
          <w:lang w:val="en-US"/>
        </w:rPr>
        <w:t xml:space="preserve"> Convention</w:t>
      </w:r>
      <w:r w:rsidR="00313C37" w:rsidRPr="008A1DB4">
        <w:rPr>
          <w:spacing w:val="-2"/>
          <w:lang w:val="en-US"/>
        </w:rPr>
        <w:t xml:space="preserve"> </w:t>
      </w:r>
      <w:r w:rsidR="0069105B" w:rsidRPr="008A1DB4">
        <w:rPr>
          <w:spacing w:val="-2"/>
          <w:lang w:val="en-US"/>
        </w:rPr>
        <w:t xml:space="preserve">that have not abolished </w:t>
      </w:r>
      <w:r w:rsidR="00A3310A" w:rsidRPr="008A1DB4">
        <w:rPr>
          <w:spacing w:val="-2"/>
          <w:lang w:val="en-US"/>
        </w:rPr>
        <w:t>the death penalty</w:t>
      </w:r>
      <w:r w:rsidR="00847053" w:rsidRPr="008A1DB4">
        <w:rPr>
          <w:spacing w:val="-2"/>
          <w:lang w:val="en-US"/>
        </w:rPr>
        <w:t xml:space="preserve"> </w:t>
      </w:r>
      <w:r w:rsidR="00A80898">
        <w:rPr>
          <w:spacing w:val="-2"/>
          <w:lang w:val="en-US"/>
        </w:rPr>
        <w:t>may not jeopardize,</w:t>
      </w:r>
      <w:r w:rsidR="00A80898" w:rsidRPr="00A80898">
        <w:rPr>
          <w:spacing w:val="-2"/>
          <w:lang w:val="en-US"/>
        </w:rPr>
        <w:t xml:space="preserve"> </w:t>
      </w:r>
      <w:r w:rsidR="00A80898">
        <w:rPr>
          <w:spacing w:val="-2"/>
          <w:lang w:val="en-US"/>
        </w:rPr>
        <w:t xml:space="preserve">by deportation or extradition, the life of </w:t>
      </w:r>
      <w:r w:rsidR="0069105B" w:rsidRPr="008A1DB4">
        <w:rPr>
          <w:spacing w:val="-2"/>
          <w:lang w:val="en-US"/>
        </w:rPr>
        <w:t xml:space="preserve">any person under their jurisdiction who runs a real and foreseeable risk of being sentenced to death, unless this is for the most serious crimes for which the death penalty is currently imposed in the requested State Party. Consequently, States that have not abolished the death penalty may not expel anyone under their jurisdiction, by deportation or extradition, who may face the real and foreseeable risk of the application of the death penalty for offenses that are not punished with the same sanction within their jurisdiction, without requiring the necessary and sufficient </w:t>
      </w:r>
      <w:r w:rsidR="00A80898">
        <w:rPr>
          <w:spacing w:val="-2"/>
          <w:lang w:val="en-US"/>
        </w:rPr>
        <w:t>assurances</w:t>
      </w:r>
      <w:r w:rsidR="0069105B" w:rsidRPr="008A1DB4">
        <w:rPr>
          <w:spacing w:val="-2"/>
          <w:lang w:val="en-US"/>
        </w:rPr>
        <w:t xml:space="preserve"> that this punishment will not be applied.</w:t>
      </w:r>
      <w:r w:rsidR="00A80898">
        <w:rPr>
          <w:spacing w:val="-2"/>
          <w:lang w:val="en-US"/>
        </w:rPr>
        <w:t xml:space="preserve">  </w:t>
      </w:r>
    </w:p>
    <w:bookmarkEnd w:id="673"/>
    <w:p w14:paraId="557D12DA" w14:textId="77777777" w:rsidR="009F47A2" w:rsidRPr="008A1DB4" w:rsidRDefault="009F47A2" w:rsidP="00956E97">
      <w:pPr>
        <w:pStyle w:val="PrrafodeSentencia"/>
        <w:numPr>
          <w:ilvl w:val="0"/>
          <w:numId w:val="0"/>
        </w:numPr>
        <w:rPr>
          <w:spacing w:val="-2"/>
          <w:lang w:val="en-US"/>
        </w:rPr>
      </w:pPr>
    </w:p>
    <w:p w14:paraId="3613346F" w14:textId="7966E5A5" w:rsidR="000A0A71" w:rsidRPr="008A1DB4" w:rsidRDefault="0069105B" w:rsidP="0069105B">
      <w:pPr>
        <w:pStyle w:val="PrrafodeSentencia"/>
        <w:rPr>
          <w:spacing w:val="-2"/>
          <w:u w:val="single"/>
          <w:lang w:val="en-US"/>
        </w:rPr>
      </w:pPr>
      <w:r w:rsidRPr="008A1DB4">
        <w:rPr>
          <w:spacing w:val="-2"/>
          <w:lang w:val="en-US"/>
        </w:rPr>
        <w:t xml:space="preserve">In addition, the obligation to ensure the </w:t>
      </w:r>
      <w:r w:rsidR="00775124" w:rsidRPr="008A1DB4">
        <w:rPr>
          <w:spacing w:val="-2"/>
          <w:lang w:val="en-US"/>
        </w:rPr>
        <w:t>right to personal</w:t>
      </w:r>
      <w:r w:rsidR="00776D24" w:rsidRPr="008A1DB4">
        <w:rPr>
          <w:spacing w:val="-2"/>
          <w:lang w:val="en-US"/>
        </w:rPr>
        <w:t xml:space="preserve"> integrity</w:t>
      </w:r>
      <w:r w:rsidR="007C7A9B" w:rsidRPr="008A1DB4">
        <w:rPr>
          <w:spacing w:val="-2"/>
          <w:lang w:val="en-US"/>
        </w:rPr>
        <w:t xml:space="preserve">, </w:t>
      </w:r>
      <w:r w:rsidRPr="008A1DB4">
        <w:rPr>
          <w:spacing w:val="-2"/>
          <w:lang w:val="en-US"/>
        </w:rPr>
        <w:t xml:space="preserve">together with </w:t>
      </w:r>
      <w:r w:rsidR="00071662" w:rsidRPr="008A1DB4">
        <w:rPr>
          <w:spacing w:val="-2"/>
          <w:lang w:val="en-US"/>
        </w:rPr>
        <w:t>the principle of non-</w:t>
      </w:r>
      <w:proofErr w:type="spellStart"/>
      <w:r w:rsidR="00071662" w:rsidRPr="008A1DB4">
        <w:rPr>
          <w:spacing w:val="-2"/>
          <w:lang w:val="en-US"/>
        </w:rPr>
        <w:t>refoulement</w:t>
      </w:r>
      <w:proofErr w:type="spellEnd"/>
      <w:r w:rsidR="007C7A9B" w:rsidRPr="008A1DB4">
        <w:rPr>
          <w:spacing w:val="-2"/>
          <w:lang w:val="en-US"/>
        </w:rPr>
        <w:t xml:space="preserve"> </w:t>
      </w:r>
      <w:r w:rsidRPr="008A1DB4">
        <w:rPr>
          <w:spacing w:val="-2"/>
          <w:lang w:val="en-US"/>
        </w:rPr>
        <w:t>recognized in</w:t>
      </w:r>
      <w:r w:rsidR="007C7A9B" w:rsidRPr="008A1DB4">
        <w:rPr>
          <w:spacing w:val="-2"/>
          <w:lang w:val="en-US"/>
        </w:rPr>
        <w:t xml:space="preserve"> </w:t>
      </w:r>
      <w:r w:rsidR="00F36400" w:rsidRPr="008A1DB4">
        <w:rPr>
          <w:spacing w:val="-2"/>
          <w:lang w:val="en-US"/>
        </w:rPr>
        <w:t>Article</w:t>
      </w:r>
      <w:r w:rsidRPr="008A1DB4">
        <w:rPr>
          <w:spacing w:val="-2"/>
          <w:lang w:val="en-US"/>
        </w:rPr>
        <w:t xml:space="preserve"> 13</w:t>
      </w:r>
      <w:r w:rsidR="007C7A9B" w:rsidRPr="008A1DB4">
        <w:rPr>
          <w:spacing w:val="-2"/>
          <w:lang w:val="en-US"/>
        </w:rPr>
        <w:t xml:space="preserve">(4) </w:t>
      </w:r>
      <w:r w:rsidRPr="008A1DB4">
        <w:rPr>
          <w:spacing w:val="-2"/>
          <w:lang w:val="en-US"/>
        </w:rPr>
        <w:t>of the ICPPT</w:t>
      </w:r>
      <w:r w:rsidR="00B919BC">
        <w:rPr>
          <w:spacing w:val="-2"/>
          <w:lang w:val="en-US"/>
        </w:rPr>
        <w:t>,</w:t>
      </w:r>
      <w:r w:rsidRPr="008A1DB4">
        <w:rPr>
          <w:spacing w:val="-2"/>
          <w:lang w:val="en-US"/>
        </w:rPr>
        <w:t xml:space="preserve"> imposes on States the obligation not to expel, by extradition, any individual under their jurisdiction when there are substantial grounds for believing that he will face a real, foreseeable and personal risk of suffering treatment contrary to the prohibition of </w:t>
      </w:r>
      <w:r w:rsidR="00CC6F1B" w:rsidRPr="008A1DB4">
        <w:rPr>
          <w:spacing w:val="-2"/>
          <w:lang w:val="en-US"/>
        </w:rPr>
        <w:t>torture or cruel, inhuman or degrading treatment</w:t>
      </w:r>
      <w:r w:rsidR="007C7A9B" w:rsidRPr="008A1DB4">
        <w:rPr>
          <w:spacing w:val="-2"/>
          <w:lang w:val="en-US"/>
        </w:rPr>
        <w:t xml:space="preserve">. </w:t>
      </w:r>
    </w:p>
    <w:p w14:paraId="19CF4C29" w14:textId="77777777" w:rsidR="00DF7AF8" w:rsidRPr="008A1DB4" w:rsidRDefault="00DF7AF8" w:rsidP="00956E97">
      <w:pPr>
        <w:pStyle w:val="PrrafodeSentencia"/>
        <w:numPr>
          <w:ilvl w:val="0"/>
          <w:numId w:val="0"/>
        </w:numPr>
        <w:rPr>
          <w:spacing w:val="-2"/>
          <w:lang w:val="en-US"/>
        </w:rPr>
      </w:pPr>
    </w:p>
    <w:p w14:paraId="566AD05B" w14:textId="36ECE8CA" w:rsidR="00EB5495" w:rsidRPr="008A1DB4" w:rsidRDefault="0069105B" w:rsidP="00956E97">
      <w:pPr>
        <w:pStyle w:val="PrrafodeSentencia"/>
        <w:rPr>
          <w:spacing w:val="-2"/>
          <w:lang w:val="en-US"/>
        </w:rPr>
      </w:pPr>
      <w:r w:rsidRPr="008A1DB4">
        <w:rPr>
          <w:spacing w:val="-2"/>
          <w:lang w:val="en-US"/>
        </w:rPr>
        <w:t>The Court takes note that, during the domestic extradition process,</w:t>
      </w:r>
      <w:r w:rsidR="00B16E52" w:rsidRPr="008A1DB4">
        <w:rPr>
          <w:spacing w:val="-2"/>
          <w:lang w:val="en-US"/>
        </w:rPr>
        <w:t xml:space="preserve"> </w:t>
      </w:r>
      <w:r w:rsidR="00C45946" w:rsidRPr="008A1DB4">
        <w:rPr>
          <w:spacing w:val="-2"/>
          <w:lang w:val="en-US"/>
        </w:rPr>
        <w:t>the representative</w:t>
      </w:r>
      <w:r w:rsidR="00B16E52" w:rsidRPr="008A1DB4">
        <w:rPr>
          <w:spacing w:val="-2"/>
          <w:lang w:val="en-US"/>
        </w:rPr>
        <w:t xml:space="preserve"> </w:t>
      </w:r>
      <w:r w:rsidRPr="008A1DB4">
        <w:rPr>
          <w:spacing w:val="-2"/>
          <w:lang w:val="en-US"/>
        </w:rPr>
        <w:t xml:space="preserve">also alleged that certain characteristics of the judicial proceedings in China would constitute violations of </w:t>
      </w:r>
      <w:r w:rsidR="00775124" w:rsidRPr="008A1DB4">
        <w:rPr>
          <w:spacing w:val="-2"/>
          <w:lang w:val="en-US"/>
        </w:rPr>
        <w:t>due process</w:t>
      </w:r>
      <w:r w:rsidR="00FB7955" w:rsidRPr="008A1DB4">
        <w:rPr>
          <w:spacing w:val="-2"/>
          <w:lang w:val="en-US"/>
        </w:rPr>
        <w:t xml:space="preserve">. </w:t>
      </w:r>
      <w:r w:rsidRPr="008A1DB4">
        <w:rPr>
          <w:spacing w:val="-2"/>
          <w:lang w:val="en-US"/>
        </w:rPr>
        <w:t xml:space="preserve">In this regard, </w:t>
      </w:r>
      <w:r w:rsidR="00922262" w:rsidRPr="008A1DB4">
        <w:rPr>
          <w:spacing w:val="-2"/>
          <w:lang w:val="en-US"/>
        </w:rPr>
        <w:t>the States Parties to the</w:t>
      </w:r>
      <w:r w:rsidR="00F36400" w:rsidRPr="008A1DB4">
        <w:rPr>
          <w:spacing w:val="-2"/>
          <w:lang w:val="en-US"/>
        </w:rPr>
        <w:t xml:space="preserve"> Convention</w:t>
      </w:r>
      <w:r w:rsidR="00B16E52" w:rsidRPr="008A1DB4">
        <w:rPr>
          <w:spacing w:val="-2"/>
          <w:lang w:val="en-US"/>
        </w:rPr>
        <w:t xml:space="preserve"> </w:t>
      </w:r>
      <w:r w:rsidRPr="008A1DB4">
        <w:rPr>
          <w:spacing w:val="-2"/>
          <w:lang w:val="en-US"/>
        </w:rPr>
        <w:t xml:space="preserve">also have the obligation to </w:t>
      </w:r>
      <w:r w:rsidRPr="008A1DB4">
        <w:rPr>
          <w:spacing w:val="-2"/>
          <w:lang w:val="en-US"/>
        </w:rPr>
        <w:lastRenderedPageBreak/>
        <w:t>avoid the extradition, return or expulsion of any individual under their jurisdiction who has suffered or runs the risk of suffering a flagrant denial of justice in the State of destination.</w:t>
      </w:r>
      <w:r w:rsidR="00B16E52" w:rsidRPr="008A1DB4">
        <w:rPr>
          <w:rStyle w:val="FootnoteReference"/>
          <w:spacing w:val="-2"/>
          <w:lang w:val="en-US"/>
        </w:rPr>
        <w:footnoteReference w:id="191"/>
      </w:r>
      <w:r w:rsidRPr="008A1DB4">
        <w:rPr>
          <w:spacing w:val="-2"/>
          <w:lang w:val="en-US"/>
        </w:rPr>
        <w:t xml:space="preserve"> However, this Court notes that the </w:t>
      </w:r>
      <w:r w:rsidR="00C45946" w:rsidRPr="008A1DB4">
        <w:rPr>
          <w:spacing w:val="-2"/>
          <w:lang w:val="en-US"/>
        </w:rPr>
        <w:t>representative</w:t>
      </w:r>
      <w:r w:rsidRPr="008A1DB4">
        <w:rPr>
          <w:spacing w:val="-2"/>
          <w:lang w:val="en-US"/>
        </w:rPr>
        <w:t xml:space="preserve">’s arguments about a risk of violation of </w:t>
      </w:r>
      <w:r w:rsidR="00775124" w:rsidRPr="008A1DB4">
        <w:rPr>
          <w:spacing w:val="-2"/>
          <w:lang w:val="en-US"/>
        </w:rPr>
        <w:t>due process</w:t>
      </w:r>
      <w:r w:rsidRPr="008A1DB4">
        <w:rPr>
          <w:spacing w:val="-2"/>
          <w:lang w:val="en-US"/>
        </w:rPr>
        <w:t xml:space="preserve"> i</w:t>
      </w:r>
      <w:r w:rsidR="00B16E52" w:rsidRPr="008A1DB4">
        <w:rPr>
          <w:spacing w:val="-2"/>
          <w:lang w:val="en-US"/>
        </w:rPr>
        <w:t xml:space="preserve">n </w:t>
      </w:r>
      <w:r w:rsidR="00653211" w:rsidRPr="008A1DB4">
        <w:rPr>
          <w:spacing w:val="-2"/>
          <w:lang w:val="en-US"/>
        </w:rPr>
        <w:t>the requesting State</w:t>
      </w:r>
      <w:r w:rsidR="00B16E52" w:rsidRPr="008A1DB4">
        <w:rPr>
          <w:spacing w:val="-2"/>
          <w:lang w:val="en-US"/>
        </w:rPr>
        <w:t xml:space="preserve"> </w:t>
      </w:r>
      <w:r w:rsidRPr="008A1DB4">
        <w:rPr>
          <w:spacing w:val="-2"/>
          <w:lang w:val="en-US"/>
        </w:rPr>
        <w:t xml:space="preserve">refer mainly to the presumed use of evidence obtained under torture and to the absence of the safeguards required by </w:t>
      </w:r>
      <w:r w:rsidR="00F36400" w:rsidRPr="008A1DB4">
        <w:rPr>
          <w:spacing w:val="-2"/>
          <w:lang w:val="en-US"/>
        </w:rPr>
        <w:t>the American Convention</w:t>
      </w:r>
      <w:r w:rsidR="00B16E52" w:rsidRPr="008A1DB4">
        <w:rPr>
          <w:spacing w:val="-2"/>
          <w:lang w:val="en-US"/>
        </w:rPr>
        <w:t xml:space="preserve"> </w:t>
      </w:r>
      <w:r w:rsidRPr="008A1DB4">
        <w:rPr>
          <w:spacing w:val="-2"/>
          <w:lang w:val="en-US"/>
        </w:rPr>
        <w:t xml:space="preserve">in proceedings that could conclude with the imposition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Therefore, the Court will examine this alleged risk when making the relevant considerations on the presumed risk of torture and other forms of cruel, inhuman or degrading treatment, as well as on the alleged risk of the imposition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and, if pertinent, it </w:t>
      </w:r>
      <w:r w:rsidR="00947926" w:rsidRPr="008A1DB4">
        <w:rPr>
          <w:spacing w:val="-2"/>
          <w:lang w:val="en-US"/>
        </w:rPr>
        <w:t>will</w:t>
      </w:r>
      <w:r w:rsidRPr="008A1DB4">
        <w:rPr>
          <w:spacing w:val="-2"/>
          <w:lang w:val="en-US"/>
        </w:rPr>
        <w:t xml:space="preserve"> include the corresponding con</w:t>
      </w:r>
      <w:r w:rsidR="00B919BC">
        <w:rPr>
          <w:spacing w:val="-2"/>
          <w:lang w:val="en-US"/>
        </w:rPr>
        <w:t>clusions</w:t>
      </w:r>
      <w:r w:rsidRPr="008A1DB4">
        <w:rPr>
          <w:spacing w:val="-2"/>
          <w:lang w:val="en-US"/>
        </w:rPr>
        <w:t xml:space="preserve"> in relation to a possible flagrant denial of justice in </w:t>
      </w:r>
      <w:r w:rsidR="00653211" w:rsidRPr="008A1DB4">
        <w:rPr>
          <w:spacing w:val="-2"/>
          <w:lang w:val="en-US"/>
        </w:rPr>
        <w:t>the requesting State</w:t>
      </w:r>
      <w:r w:rsidR="00B16E52" w:rsidRPr="008A1DB4">
        <w:rPr>
          <w:spacing w:val="-2"/>
          <w:lang w:val="en-US"/>
        </w:rPr>
        <w:t xml:space="preserve">. </w:t>
      </w:r>
    </w:p>
    <w:p w14:paraId="0D763A95" w14:textId="5AC82732" w:rsidR="00EB5495" w:rsidRPr="008A1DB4" w:rsidRDefault="00B16E52" w:rsidP="00956E97">
      <w:pPr>
        <w:pStyle w:val="PrrafodeSentencia"/>
        <w:numPr>
          <w:ilvl w:val="0"/>
          <w:numId w:val="0"/>
        </w:numPr>
        <w:rPr>
          <w:spacing w:val="-2"/>
          <w:lang w:val="en-US"/>
        </w:rPr>
      </w:pPr>
      <w:r w:rsidRPr="008A1DB4">
        <w:rPr>
          <w:spacing w:val="-2"/>
          <w:lang w:val="en-US"/>
        </w:rPr>
        <w:t xml:space="preserve">  </w:t>
      </w:r>
      <w:bookmarkStart w:id="674" w:name="_Ref419386491"/>
      <w:r w:rsidR="00EB5495" w:rsidRPr="008A1DB4">
        <w:rPr>
          <w:spacing w:val="-2"/>
          <w:lang w:val="en-US"/>
        </w:rPr>
        <w:t xml:space="preserve"> </w:t>
      </w:r>
    </w:p>
    <w:p w14:paraId="10DB0BDF" w14:textId="6A313DAD" w:rsidR="00B8021F" w:rsidRPr="008A1DB4" w:rsidRDefault="003E2C0A" w:rsidP="00956E97">
      <w:pPr>
        <w:pStyle w:val="PrrafodeSentencia"/>
        <w:rPr>
          <w:spacing w:val="-2"/>
          <w:lang w:val="en-US"/>
        </w:rPr>
      </w:pPr>
      <w:bookmarkStart w:id="675" w:name="_Ref429143908"/>
      <w:r w:rsidRPr="008A1DB4">
        <w:rPr>
          <w:spacing w:val="-2"/>
          <w:lang w:val="en-US"/>
        </w:rPr>
        <w:t xml:space="preserve">In addition, </w:t>
      </w:r>
      <w:r w:rsidR="00F36400" w:rsidRPr="008A1DB4">
        <w:rPr>
          <w:spacing w:val="-2"/>
          <w:lang w:val="en-US"/>
        </w:rPr>
        <w:t>this Court</w:t>
      </w:r>
      <w:r w:rsidR="00B8021F" w:rsidRPr="008A1DB4">
        <w:rPr>
          <w:spacing w:val="-2"/>
          <w:lang w:val="en-US"/>
        </w:rPr>
        <w:t xml:space="preserve"> </w:t>
      </w:r>
      <w:r w:rsidRPr="008A1DB4">
        <w:rPr>
          <w:spacing w:val="-2"/>
          <w:lang w:val="en-US"/>
        </w:rPr>
        <w:t>underlines that, for the purposes of this case, some of the said obligations arising from</w:t>
      </w:r>
      <w:r w:rsidR="00F36400" w:rsidRPr="008A1DB4">
        <w:rPr>
          <w:spacing w:val="-2"/>
          <w:lang w:val="en-US"/>
        </w:rPr>
        <w:t xml:space="preserve"> the Convention</w:t>
      </w:r>
      <w:r w:rsidR="00B8021F" w:rsidRPr="008A1DB4">
        <w:rPr>
          <w:spacing w:val="-2"/>
          <w:lang w:val="en-US"/>
        </w:rPr>
        <w:t xml:space="preserve"> </w:t>
      </w:r>
      <w:r w:rsidRPr="008A1DB4">
        <w:rPr>
          <w:spacing w:val="-2"/>
          <w:lang w:val="en-US"/>
        </w:rPr>
        <w:t>are also established in the Peruvian State’s domestic laws</w:t>
      </w:r>
      <w:r w:rsidR="00B8021F" w:rsidRPr="008A1DB4">
        <w:rPr>
          <w:spacing w:val="-2"/>
          <w:lang w:val="en-US"/>
        </w:rPr>
        <w:t xml:space="preserve">. </w:t>
      </w:r>
      <w:r w:rsidRPr="008A1DB4">
        <w:rPr>
          <w:spacing w:val="-2"/>
          <w:lang w:val="en-US"/>
        </w:rPr>
        <w:t>Specifically</w:t>
      </w:r>
      <w:r w:rsidR="00B8021F" w:rsidRPr="008A1DB4">
        <w:rPr>
          <w:spacing w:val="-2"/>
          <w:lang w:val="en-US"/>
        </w:rPr>
        <w:t xml:space="preserve">, </w:t>
      </w:r>
      <w:r w:rsidR="00B919BC">
        <w:rPr>
          <w:spacing w:val="-2"/>
          <w:lang w:val="en-US"/>
        </w:rPr>
        <w:t>a</w:t>
      </w:r>
      <w:r w:rsidR="00F36400" w:rsidRPr="008A1DB4">
        <w:rPr>
          <w:spacing w:val="-2"/>
          <w:lang w:val="en-US"/>
        </w:rPr>
        <w:t>rticle</w:t>
      </w:r>
      <w:r w:rsidR="00B8021F" w:rsidRPr="008A1DB4">
        <w:rPr>
          <w:spacing w:val="-2"/>
          <w:lang w:val="en-US"/>
        </w:rPr>
        <w:t xml:space="preserve"> 517 </w:t>
      </w:r>
      <w:r w:rsidR="00B919BC">
        <w:rPr>
          <w:spacing w:val="-2"/>
          <w:lang w:val="en-US"/>
        </w:rPr>
        <w:t>of Peru’s</w:t>
      </w:r>
      <w:r w:rsidR="00A3310A" w:rsidRPr="008A1DB4">
        <w:rPr>
          <w:spacing w:val="-2"/>
          <w:lang w:val="en-US"/>
        </w:rPr>
        <w:t xml:space="preserve"> Code of</w:t>
      </w:r>
      <w:r w:rsidR="00B43F84" w:rsidRPr="008A1DB4">
        <w:rPr>
          <w:spacing w:val="-2"/>
          <w:lang w:val="en-US"/>
        </w:rPr>
        <w:t xml:space="preserve"> Criminal Procedure</w:t>
      </w:r>
      <w:r w:rsidR="00D47C57" w:rsidRPr="008A1DB4">
        <w:rPr>
          <w:spacing w:val="-2"/>
          <w:lang w:val="en-US"/>
        </w:rPr>
        <w:t xml:space="preserve"> </w:t>
      </w:r>
      <w:r w:rsidRPr="008A1DB4">
        <w:rPr>
          <w:spacing w:val="-2"/>
          <w:lang w:val="en-US"/>
        </w:rPr>
        <w:t>establishes that extradition shall not be ordered when “[t]</w:t>
      </w:r>
      <w:proofErr w:type="gramStart"/>
      <w:r w:rsidRPr="008A1DB4">
        <w:rPr>
          <w:spacing w:val="-2"/>
          <w:lang w:val="en-US"/>
        </w:rPr>
        <w:t>he</w:t>
      </w:r>
      <w:proofErr w:type="gramEnd"/>
      <w:r w:rsidRPr="008A1DB4">
        <w:rPr>
          <w:spacing w:val="-2"/>
          <w:lang w:val="en-US"/>
        </w:rPr>
        <w:t xml:space="preserve"> offense for which extradition is requested bears the death penalty in </w:t>
      </w:r>
      <w:r w:rsidR="00653211" w:rsidRPr="008A1DB4">
        <w:rPr>
          <w:spacing w:val="-2"/>
          <w:lang w:val="en-US"/>
        </w:rPr>
        <w:t>the requesting State</w:t>
      </w:r>
      <w:r w:rsidR="00F36400" w:rsidRPr="008A1DB4">
        <w:rPr>
          <w:spacing w:val="-2"/>
          <w:lang w:val="en-US"/>
        </w:rPr>
        <w:t xml:space="preserve"> and </w:t>
      </w:r>
      <w:r w:rsidRPr="008A1DB4">
        <w:rPr>
          <w:spacing w:val="-2"/>
          <w:lang w:val="en-US"/>
        </w:rPr>
        <w:t xml:space="preserve">the latter has not provided </w:t>
      </w:r>
      <w:r w:rsidR="00B919BC">
        <w:rPr>
          <w:spacing w:val="-2"/>
          <w:lang w:val="en-US"/>
        </w:rPr>
        <w:t>assurances</w:t>
      </w:r>
      <w:r w:rsidRPr="008A1DB4">
        <w:rPr>
          <w:spacing w:val="-2"/>
          <w:lang w:val="en-US"/>
        </w:rPr>
        <w:t xml:space="preserve"> that it will not be applied.</w:t>
      </w:r>
      <w:r w:rsidR="00523569" w:rsidRPr="008A1DB4">
        <w:rPr>
          <w:spacing w:val="-2"/>
          <w:lang w:val="en-US"/>
        </w:rPr>
        <w:t>”</w:t>
      </w:r>
      <w:r w:rsidR="00D44117" w:rsidRPr="008A1DB4">
        <w:rPr>
          <w:rStyle w:val="FootnoteReference"/>
          <w:rFonts w:cs="Callibri"/>
          <w:spacing w:val="-2"/>
          <w:lang w:val="en-US"/>
        </w:rPr>
        <w:footnoteReference w:id="192"/>
      </w:r>
      <w:bookmarkEnd w:id="674"/>
      <w:bookmarkEnd w:id="675"/>
    </w:p>
    <w:p w14:paraId="3E63231C" w14:textId="77777777" w:rsidR="00B8021F" w:rsidRPr="008A1DB4" w:rsidRDefault="00B8021F" w:rsidP="00956E97">
      <w:pPr>
        <w:pStyle w:val="ListParagraph"/>
        <w:tabs>
          <w:tab w:val="left" w:pos="567"/>
        </w:tabs>
        <w:ind w:right="720"/>
        <w:rPr>
          <w:rFonts w:cs="Callibri"/>
          <w:spacing w:val="-2"/>
          <w:szCs w:val="20"/>
          <w:lang w:val="en-US"/>
        </w:rPr>
      </w:pPr>
    </w:p>
    <w:p w14:paraId="7C46AC61" w14:textId="08DC81ED" w:rsidR="00B17A78" w:rsidRPr="008A1DB4" w:rsidRDefault="0020496F" w:rsidP="00956E97">
      <w:pPr>
        <w:pStyle w:val="PrrafodeSentencia"/>
        <w:rPr>
          <w:spacing w:val="-2"/>
          <w:lang w:val="en-US"/>
        </w:rPr>
      </w:pPr>
      <w:bookmarkStart w:id="676" w:name="_Ref419386506"/>
      <w:r w:rsidRPr="008A1DB4">
        <w:rPr>
          <w:spacing w:val="-2"/>
          <w:lang w:val="en-US"/>
        </w:rPr>
        <w:t>Also, a</w:t>
      </w:r>
      <w:r w:rsidR="00F36400" w:rsidRPr="008A1DB4">
        <w:rPr>
          <w:spacing w:val="-2"/>
          <w:lang w:val="en-US"/>
        </w:rPr>
        <w:t>rticle</w:t>
      </w:r>
      <w:r w:rsidR="00B8021F" w:rsidRPr="008A1DB4">
        <w:rPr>
          <w:spacing w:val="-2"/>
          <w:lang w:val="en-US"/>
        </w:rPr>
        <w:t xml:space="preserve"> 516 </w:t>
      </w:r>
      <w:r w:rsidRPr="008A1DB4">
        <w:rPr>
          <w:spacing w:val="-2"/>
          <w:lang w:val="en-US"/>
        </w:rPr>
        <w:t xml:space="preserve">of this Code conditions granting extradition “to the existence of </w:t>
      </w:r>
      <w:r w:rsidR="00B919BC">
        <w:rPr>
          <w:spacing w:val="-2"/>
          <w:lang w:val="en-US"/>
        </w:rPr>
        <w:t>assurances</w:t>
      </w:r>
      <w:r w:rsidRPr="008A1DB4">
        <w:rPr>
          <w:spacing w:val="-2"/>
          <w:lang w:val="en-US"/>
        </w:rPr>
        <w:t xml:space="preserve"> that justice will be imparted fairly in </w:t>
      </w:r>
      <w:r w:rsidR="00653211" w:rsidRPr="008A1DB4">
        <w:rPr>
          <w:spacing w:val="-2"/>
          <w:lang w:val="en-US"/>
        </w:rPr>
        <w:t>the requesting State</w:t>
      </w:r>
      <w:r w:rsidRPr="008A1DB4">
        <w:rPr>
          <w:spacing w:val="-2"/>
          <w:lang w:val="en-US"/>
        </w:rPr>
        <w:t>.</w:t>
      </w:r>
      <w:r w:rsidR="00B8021F" w:rsidRPr="008A1DB4">
        <w:rPr>
          <w:spacing w:val="-2"/>
          <w:lang w:val="en-US"/>
        </w:rPr>
        <w:t>”</w:t>
      </w:r>
      <w:r w:rsidR="00B17A78" w:rsidRPr="008A1DB4">
        <w:rPr>
          <w:rStyle w:val="FootnoteReference"/>
          <w:rFonts w:cs="Callibri"/>
          <w:spacing w:val="-2"/>
          <w:lang w:val="en-US"/>
        </w:rPr>
        <w:footnoteReference w:id="193"/>
      </w:r>
      <w:r w:rsidR="00B8021F" w:rsidRPr="008A1DB4">
        <w:rPr>
          <w:spacing w:val="-2"/>
          <w:lang w:val="en-US"/>
        </w:rPr>
        <w:t xml:space="preserve"> </w:t>
      </w:r>
      <w:r w:rsidR="003E2C0A" w:rsidRPr="008A1DB4">
        <w:rPr>
          <w:spacing w:val="-2"/>
          <w:lang w:val="en-US"/>
        </w:rPr>
        <w:t>Meanwhile, although the Extradition T</w:t>
      </w:r>
      <w:r w:rsidR="00FE5E87" w:rsidRPr="008A1DB4">
        <w:rPr>
          <w:spacing w:val="-2"/>
          <w:lang w:val="en-US"/>
        </w:rPr>
        <w:t>reaty between</w:t>
      </w:r>
      <w:r w:rsidR="00B17A78" w:rsidRPr="008A1DB4">
        <w:rPr>
          <w:spacing w:val="-2"/>
          <w:lang w:val="en-US"/>
        </w:rPr>
        <w:t xml:space="preserve"> China</w:t>
      </w:r>
      <w:r w:rsidR="00F36400" w:rsidRPr="008A1DB4">
        <w:rPr>
          <w:spacing w:val="-2"/>
          <w:lang w:val="en-US"/>
        </w:rPr>
        <w:t xml:space="preserve"> and </w:t>
      </w:r>
      <w:r w:rsidR="00FE5E87" w:rsidRPr="008A1DB4">
        <w:rPr>
          <w:spacing w:val="-2"/>
          <w:lang w:val="en-US"/>
        </w:rPr>
        <w:t>Peru</w:t>
      </w:r>
      <w:r w:rsidR="003E2C0A" w:rsidRPr="008A1DB4">
        <w:rPr>
          <w:spacing w:val="-2"/>
          <w:lang w:val="en-US"/>
        </w:rPr>
        <w:t xml:space="preserve"> does not establish specific rules with regard to the death penalty or possible risk of treatment contrary to </w:t>
      </w:r>
      <w:r w:rsidR="00776D24" w:rsidRPr="008A1DB4">
        <w:rPr>
          <w:spacing w:val="-2"/>
          <w:lang w:val="en-US"/>
        </w:rPr>
        <w:t>personal integrity</w:t>
      </w:r>
      <w:r w:rsidR="00B17A78" w:rsidRPr="008A1DB4">
        <w:rPr>
          <w:spacing w:val="-2"/>
          <w:lang w:val="en-US"/>
        </w:rPr>
        <w:t xml:space="preserve">, </w:t>
      </w:r>
      <w:r w:rsidR="003E2C0A" w:rsidRPr="008A1DB4">
        <w:rPr>
          <w:spacing w:val="-2"/>
          <w:lang w:val="en-US"/>
        </w:rPr>
        <w:t xml:space="preserve">its article 5 does establish, as a condition for the extradition, </w:t>
      </w:r>
      <w:r w:rsidRPr="008A1DB4">
        <w:rPr>
          <w:spacing w:val="-2"/>
          <w:lang w:val="en-US"/>
        </w:rPr>
        <w:t>that</w:t>
      </w:r>
      <w:r w:rsidR="00430A53" w:rsidRPr="008A1DB4">
        <w:rPr>
          <w:spacing w:val="-2"/>
          <w:lang w:val="en-US"/>
        </w:rPr>
        <w:t>: “</w:t>
      </w:r>
      <w:r w:rsidR="002D1CFC" w:rsidRPr="008A1DB4">
        <w:rPr>
          <w:spacing w:val="-2"/>
          <w:lang w:val="en-US"/>
        </w:rPr>
        <w:t>Extradition</w:t>
      </w:r>
      <w:r w:rsidR="00B17A78" w:rsidRPr="008A1DB4">
        <w:rPr>
          <w:spacing w:val="-2"/>
          <w:lang w:val="en-US" w:bidi="en-US"/>
        </w:rPr>
        <w:t xml:space="preserve"> </w:t>
      </w:r>
      <w:r w:rsidRPr="008A1DB4">
        <w:rPr>
          <w:spacing w:val="-2"/>
          <w:lang w:val="en-US" w:bidi="en-US"/>
        </w:rPr>
        <w:t>shall only be carried out if it is not contrary to the legal system of the Requested Party.</w:t>
      </w:r>
      <w:r w:rsidR="00B17A78" w:rsidRPr="008A1DB4">
        <w:rPr>
          <w:spacing w:val="-2"/>
          <w:lang w:val="en-US" w:bidi="en-US"/>
        </w:rPr>
        <w:t>”</w:t>
      </w:r>
      <w:r w:rsidR="00B17A78" w:rsidRPr="008A1DB4">
        <w:rPr>
          <w:rStyle w:val="FootnoteReference"/>
          <w:rFonts w:cs="Callibri"/>
          <w:spacing w:val="-2"/>
          <w:lang w:val="en-US" w:bidi="en-US"/>
        </w:rPr>
        <w:footnoteReference w:id="194"/>
      </w:r>
      <w:bookmarkEnd w:id="676"/>
    </w:p>
    <w:p w14:paraId="3E5002D2" w14:textId="77777777" w:rsidR="00B17A78" w:rsidRPr="008A1DB4" w:rsidRDefault="00B17A78" w:rsidP="00956E97">
      <w:pPr>
        <w:pStyle w:val="PrrafodeSentencia"/>
        <w:numPr>
          <w:ilvl w:val="0"/>
          <w:numId w:val="0"/>
        </w:numPr>
        <w:rPr>
          <w:spacing w:val="-2"/>
          <w:lang w:val="en-US"/>
        </w:rPr>
      </w:pPr>
    </w:p>
    <w:p w14:paraId="1E88F640" w14:textId="10EA0E6E" w:rsidR="000A0A71" w:rsidRPr="008A1DB4" w:rsidRDefault="00DF7AF8" w:rsidP="00956E97">
      <w:pPr>
        <w:pStyle w:val="Heading2"/>
        <w:ind w:firstLine="0"/>
        <w:rPr>
          <w:spacing w:val="-2"/>
          <w:lang w:val="en-US"/>
        </w:rPr>
      </w:pPr>
      <w:bookmarkStart w:id="677" w:name="_Toc418912617"/>
      <w:bookmarkStart w:id="678" w:name="_Toc419394403"/>
      <w:bookmarkStart w:id="679" w:name="_Toc429490268"/>
      <w:bookmarkStart w:id="680" w:name="_Toc429503780"/>
      <w:bookmarkStart w:id="681" w:name="_Toc429504286"/>
      <w:bookmarkStart w:id="682" w:name="_Toc429677999"/>
      <w:bookmarkStart w:id="683" w:name="_Toc430017162"/>
      <w:bookmarkStart w:id="684" w:name="_Toc430017391"/>
      <w:bookmarkStart w:id="685" w:name="_Toc430018673"/>
      <w:bookmarkStart w:id="686" w:name="_Toc430125271"/>
      <w:bookmarkStart w:id="687" w:name="_Toc430125379"/>
      <w:r w:rsidRPr="008A1DB4">
        <w:rPr>
          <w:spacing w:val="-2"/>
          <w:lang w:val="en-US"/>
        </w:rPr>
        <w:t xml:space="preserve">B.2) </w:t>
      </w:r>
      <w:r w:rsidR="0020496F" w:rsidRPr="008A1DB4">
        <w:rPr>
          <w:spacing w:val="-2"/>
          <w:lang w:val="en-US"/>
        </w:rPr>
        <w:t>Nature of the</w:t>
      </w:r>
      <w:r w:rsidR="00775124" w:rsidRPr="008A1DB4">
        <w:rPr>
          <w:spacing w:val="-2"/>
          <w:lang w:val="en-US"/>
        </w:rPr>
        <w:t xml:space="preserve"> international responsibility</w:t>
      </w:r>
      <w:r w:rsidR="00C45946" w:rsidRPr="008A1DB4">
        <w:rPr>
          <w:spacing w:val="-2"/>
          <w:lang w:val="en-US"/>
        </w:rPr>
        <w:t xml:space="preserve"> of the </w:t>
      </w:r>
      <w:r w:rsidR="00F36400" w:rsidRPr="008A1DB4">
        <w:rPr>
          <w:spacing w:val="-2"/>
          <w:lang w:val="en-US"/>
        </w:rPr>
        <w:t>State</w:t>
      </w:r>
      <w:r w:rsidR="000A0A71" w:rsidRPr="008A1DB4">
        <w:rPr>
          <w:spacing w:val="-2"/>
          <w:lang w:val="en-US"/>
        </w:rPr>
        <w:t xml:space="preserve"> </w:t>
      </w:r>
      <w:r w:rsidR="0020496F" w:rsidRPr="008A1DB4">
        <w:rPr>
          <w:spacing w:val="-2"/>
          <w:lang w:val="en-US"/>
        </w:rPr>
        <w:t>in this case and information to be considered by</w:t>
      </w:r>
      <w:r w:rsidR="000A0A71" w:rsidRPr="008A1DB4">
        <w:rPr>
          <w:spacing w:val="-2"/>
          <w:lang w:val="en-US"/>
        </w:rPr>
        <w:t xml:space="preserve"> </w:t>
      </w:r>
      <w:r w:rsidR="00F36400" w:rsidRPr="008A1DB4">
        <w:rPr>
          <w:spacing w:val="-2"/>
          <w:lang w:val="en-US"/>
        </w:rPr>
        <w:t>the Court</w:t>
      </w:r>
      <w:bookmarkEnd w:id="677"/>
      <w:bookmarkEnd w:id="678"/>
      <w:bookmarkEnd w:id="679"/>
      <w:bookmarkEnd w:id="680"/>
      <w:bookmarkEnd w:id="681"/>
      <w:bookmarkEnd w:id="682"/>
      <w:bookmarkEnd w:id="683"/>
      <w:bookmarkEnd w:id="684"/>
      <w:bookmarkEnd w:id="685"/>
      <w:bookmarkEnd w:id="686"/>
      <w:bookmarkEnd w:id="687"/>
      <w:r w:rsidR="000A0A71" w:rsidRPr="008A1DB4">
        <w:rPr>
          <w:spacing w:val="-2"/>
          <w:lang w:val="en-US"/>
        </w:rPr>
        <w:t xml:space="preserve"> </w:t>
      </w:r>
    </w:p>
    <w:p w14:paraId="075BC56D" w14:textId="77777777" w:rsidR="00DF7AF8" w:rsidRPr="008A1DB4" w:rsidRDefault="00DF7AF8" w:rsidP="00956E97">
      <w:pPr>
        <w:rPr>
          <w:spacing w:val="-2"/>
          <w:lang w:val="en-US"/>
        </w:rPr>
      </w:pPr>
    </w:p>
    <w:p w14:paraId="66B1A7B5" w14:textId="0F6FEA4C" w:rsidR="00B16E52" w:rsidRPr="008A1DB4" w:rsidRDefault="003E2C0A" w:rsidP="00956E97">
      <w:pPr>
        <w:pStyle w:val="PrrafodeSentencia"/>
        <w:rPr>
          <w:spacing w:val="-2"/>
          <w:u w:val="single"/>
          <w:lang w:val="en-US"/>
        </w:rPr>
      </w:pPr>
      <w:bookmarkStart w:id="688" w:name="_Ref429487241"/>
      <w:r w:rsidRPr="008A1DB4">
        <w:rPr>
          <w:spacing w:val="-2"/>
          <w:lang w:val="en-US"/>
        </w:rPr>
        <w:t xml:space="preserve">The parties differ as regards the </w:t>
      </w:r>
      <w:r w:rsidR="008A1DB4" w:rsidRPr="008A1DB4">
        <w:rPr>
          <w:spacing w:val="-2"/>
          <w:lang w:val="en-US"/>
        </w:rPr>
        <w:t>moment</w:t>
      </w:r>
      <w:r w:rsidRPr="008A1DB4">
        <w:rPr>
          <w:spacing w:val="-2"/>
          <w:lang w:val="en-US"/>
        </w:rPr>
        <w:t xml:space="preserve"> and the informati</w:t>
      </w:r>
      <w:r w:rsidR="00B919BC">
        <w:rPr>
          <w:spacing w:val="-2"/>
          <w:lang w:val="en-US"/>
        </w:rPr>
        <w:t>on that must be examined by the</w:t>
      </w:r>
      <w:r w:rsidRPr="008A1DB4">
        <w:rPr>
          <w:spacing w:val="-2"/>
          <w:lang w:val="en-US"/>
        </w:rPr>
        <w:t xml:space="preserve"> Court in order to analyze this case. According to </w:t>
      </w:r>
      <w:r w:rsidR="00F36400" w:rsidRPr="008A1DB4">
        <w:rPr>
          <w:spacing w:val="-2"/>
          <w:lang w:val="en-US"/>
        </w:rPr>
        <w:t xml:space="preserve">the Commission and </w:t>
      </w:r>
      <w:r w:rsidR="00C45946" w:rsidRPr="008A1DB4">
        <w:rPr>
          <w:spacing w:val="-2"/>
          <w:lang w:val="en-US"/>
        </w:rPr>
        <w:t>the representative</w:t>
      </w:r>
      <w:r w:rsidR="00B16E52" w:rsidRPr="008A1DB4">
        <w:rPr>
          <w:spacing w:val="-2"/>
          <w:lang w:val="en-US"/>
        </w:rPr>
        <w:t xml:space="preserve">, </w:t>
      </w:r>
      <w:r w:rsidRPr="008A1DB4">
        <w:rPr>
          <w:spacing w:val="-2"/>
          <w:lang w:val="en-US"/>
        </w:rPr>
        <w:t xml:space="preserve">the </w:t>
      </w:r>
      <w:r w:rsidR="00B919BC">
        <w:rPr>
          <w:spacing w:val="-2"/>
          <w:lang w:val="en-US"/>
        </w:rPr>
        <w:t xml:space="preserve">State’s </w:t>
      </w:r>
      <w:r w:rsidRPr="008A1DB4">
        <w:rPr>
          <w:spacing w:val="-2"/>
          <w:lang w:val="en-US"/>
        </w:rPr>
        <w:t xml:space="preserve">acts and omissions </w:t>
      </w:r>
      <w:r w:rsidR="00B16E52" w:rsidRPr="008A1DB4">
        <w:rPr>
          <w:spacing w:val="-2"/>
          <w:lang w:val="en-US"/>
        </w:rPr>
        <w:t>dur</w:t>
      </w:r>
      <w:r w:rsidRPr="008A1DB4">
        <w:rPr>
          <w:spacing w:val="-2"/>
          <w:lang w:val="en-US"/>
        </w:rPr>
        <w:t>ing</w:t>
      </w:r>
      <w:r w:rsidR="00B16E52" w:rsidRPr="008A1DB4">
        <w:rPr>
          <w:spacing w:val="-2"/>
          <w:lang w:val="en-US"/>
        </w:rPr>
        <w:t xml:space="preserve"> </w:t>
      </w:r>
      <w:r w:rsidR="00FC5891" w:rsidRPr="008A1DB4">
        <w:rPr>
          <w:spacing w:val="-2"/>
          <w:lang w:val="en-US"/>
        </w:rPr>
        <w:t>the extradition proce</w:t>
      </w:r>
      <w:r w:rsidR="00B919BC">
        <w:rPr>
          <w:spacing w:val="-2"/>
          <w:lang w:val="en-US"/>
        </w:rPr>
        <w:t>edings</w:t>
      </w:r>
      <w:r w:rsidR="00B16E52" w:rsidRPr="008A1DB4">
        <w:rPr>
          <w:spacing w:val="-2"/>
          <w:lang w:val="en-US"/>
        </w:rPr>
        <w:t xml:space="preserve"> constitu</w:t>
      </w:r>
      <w:r w:rsidRPr="008A1DB4">
        <w:rPr>
          <w:spacing w:val="-2"/>
          <w:lang w:val="en-US"/>
        </w:rPr>
        <w:t xml:space="preserve">te “violations that have been committed” </w:t>
      </w:r>
      <w:r w:rsidR="00F36400" w:rsidRPr="008A1DB4">
        <w:rPr>
          <w:spacing w:val="-2"/>
          <w:lang w:val="en-US"/>
        </w:rPr>
        <w:t xml:space="preserve">of the American Convention and </w:t>
      </w:r>
      <w:r w:rsidRPr="008A1DB4">
        <w:rPr>
          <w:spacing w:val="-2"/>
          <w:lang w:val="en-US"/>
        </w:rPr>
        <w:t xml:space="preserve">the situation must be examined based on the information obtained by the State that was available to the judicial authorities when </w:t>
      </w:r>
      <w:r w:rsidR="00B67AC5" w:rsidRPr="008A1DB4">
        <w:rPr>
          <w:spacing w:val="-2"/>
          <w:lang w:val="en-US"/>
        </w:rPr>
        <w:t>the Supreme Court</w:t>
      </w:r>
      <w:r w:rsidR="00B16E52" w:rsidRPr="008A1DB4">
        <w:rPr>
          <w:spacing w:val="-2"/>
          <w:lang w:val="en-US"/>
        </w:rPr>
        <w:t xml:space="preserve"> </w:t>
      </w:r>
      <w:r w:rsidRPr="008A1DB4">
        <w:rPr>
          <w:spacing w:val="-2"/>
          <w:lang w:val="en-US"/>
        </w:rPr>
        <w:t>issued the opinion that the</w:t>
      </w:r>
      <w:r w:rsidR="00B16E52" w:rsidRPr="008A1DB4">
        <w:rPr>
          <w:spacing w:val="-2"/>
          <w:lang w:val="en-US"/>
        </w:rPr>
        <w:t xml:space="preserve"> </w:t>
      </w:r>
      <w:r w:rsidR="002D1CFC" w:rsidRPr="008A1DB4">
        <w:rPr>
          <w:spacing w:val="-2"/>
          <w:lang w:val="en-US"/>
        </w:rPr>
        <w:t>extradition</w:t>
      </w:r>
      <w:r w:rsidR="00F36400" w:rsidRPr="008A1DB4">
        <w:rPr>
          <w:spacing w:val="-2"/>
          <w:lang w:val="en-US"/>
        </w:rPr>
        <w:t xml:space="preserve"> </w:t>
      </w:r>
      <w:r w:rsidRPr="008A1DB4">
        <w:rPr>
          <w:spacing w:val="-2"/>
          <w:lang w:val="en-US"/>
        </w:rPr>
        <w:t xml:space="preserve">was admissible </w:t>
      </w:r>
      <w:r w:rsidR="00F36400" w:rsidRPr="008A1DB4">
        <w:rPr>
          <w:spacing w:val="-2"/>
          <w:lang w:val="en-US"/>
        </w:rPr>
        <w:t xml:space="preserve">and </w:t>
      </w:r>
      <w:r w:rsidRPr="008A1DB4">
        <w:rPr>
          <w:spacing w:val="-2"/>
          <w:lang w:val="en-US"/>
        </w:rPr>
        <w:t xml:space="preserve">when </w:t>
      </w:r>
      <w:r w:rsidR="00F36400" w:rsidRPr="008A1DB4">
        <w:rPr>
          <w:spacing w:val="-2"/>
          <w:lang w:val="en-US"/>
        </w:rPr>
        <w:t xml:space="preserve">the </w:t>
      </w:r>
      <w:r w:rsidR="00B43F84" w:rsidRPr="008A1DB4">
        <w:rPr>
          <w:spacing w:val="-2"/>
          <w:lang w:val="en-US"/>
        </w:rPr>
        <w:t>Constitutional Court</w:t>
      </w:r>
      <w:r w:rsidR="00B16E52" w:rsidRPr="008A1DB4">
        <w:rPr>
          <w:spacing w:val="-2"/>
          <w:lang w:val="en-US"/>
        </w:rPr>
        <w:t xml:space="preserve"> </w:t>
      </w:r>
      <w:r w:rsidR="00B16E52" w:rsidRPr="008A1DB4">
        <w:rPr>
          <w:spacing w:val="-2"/>
          <w:lang w:val="en-US"/>
        </w:rPr>
        <w:lastRenderedPageBreak/>
        <w:t>orde</w:t>
      </w:r>
      <w:r w:rsidRPr="008A1DB4">
        <w:rPr>
          <w:spacing w:val="-2"/>
          <w:lang w:val="en-US"/>
        </w:rPr>
        <w:t xml:space="preserve">red the State to </w:t>
      </w:r>
      <w:r w:rsidR="00947926" w:rsidRPr="008A1DB4">
        <w:rPr>
          <w:spacing w:val="-2"/>
          <w:lang w:val="en-US"/>
        </w:rPr>
        <w:t>refrain</w:t>
      </w:r>
      <w:r w:rsidRPr="008A1DB4">
        <w:rPr>
          <w:spacing w:val="-2"/>
          <w:lang w:val="en-US"/>
        </w:rPr>
        <w:t xml:space="preserve"> from extraditing </w:t>
      </w:r>
      <w:r w:rsidR="00B43F84" w:rsidRPr="008A1DB4">
        <w:rPr>
          <w:spacing w:val="-2"/>
          <w:lang w:val="en-US"/>
        </w:rPr>
        <w:t>Wong</w:t>
      </w:r>
      <w:r w:rsidR="00B16E52" w:rsidRPr="008A1DB4">
        <w:rPr>
          <w:spacing w:val="-2"/>
          <w:lang w:val="en-US"/>
        </w:rPr>
        <w:t xml:space="preserve"> Ho Wing. </w:t>
      </w:r>
      <w:r w:rsidRPr="008A1DB4">
        <w:rPr>
          <w:spacing w:val="-2"/>
          <w:lang w:val="en-US"/>
        </w:rPr>
        <w:t xml:space="preserve">Meanwhile, the State argues that the information obtained by Peru subsequently should be examined, including the new </w:t>
      </w:r>
      <w:r w:rsidR="00945E57" w:rsidRPr="008A1DB4">
        <w:rPr>
          <w:spacing w:val="-2"/>
          <w:lang w:val="en-US"/>
        </w:rPr>
        <w:t>diplomatic assurances</w:t>
      </w:r>
      <w:r w:rsidRPr="008A1DB4">
        <w:rPr>
          <w:spacing w:val="-2"/>
          <w:lang w:val="en-US"/>
        </w:rPr>
        <w:t xml:space="preserve"> and explanations on the applicability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to the case </w:t>
      </w:r>
      <w:r w:rsidR="00B43F84" w:rsidRPr="008A1DB4">
        <w:rPr>
          <w:spacing w:val="-2"/>
          <w:lang w:val="en-US"/>
        </w:rPr>
        <w:t>of Wong</w:t>
      </w:r>
      <w:r w:rsidR="00B16E52" w:rsidRPr="008A1DB4">
        <w:rPr>
          <w:spacing w:val="-2"/>
          <w:lang w:val="en-US"/>
        </w:rPr>
        <w:t xml:space="preserve"> Ho Wing, </w:t>
      </w:r>
      <w:r w:rsidRPr="008A1DB4">
        <w:rPr>
          <w:spacing w:val="-2"/>
          <w:lang w:val="en-US"/>
        </w:rPr>
        <w:t xml:space="preserve">and it is on this basis that it indicates that is actions fall within its obligation to respect and ensure the </w:t>
      </w:r>
      <w:r w:rsidR="00775124" w:rsidRPr="008A1DB4">
        <w:rPr>
          <w:spacing w:val="-2"/>
          <w:lang w:val="en-US"/>
        </w:rPr>
        <w:t>right</w:t>
      </w:r>
      <w:r w:rsidRPr="008A1DB4">
        <w:rPr>
          <w:spacing w:val="-2"/>
          <w:lang w:val="en-US"/>
        </w:rPr>
        <w:t>s</w:t>
      </w:r>
      <w:r w:rsidR="00775124" w:rsidRPr="008A1DB4">
        <w:rPr>
          <w:spacing w:val="-2"/>
          <w:lang w:val="en-US"/>
        </w:rPr>
        <w:t xml:space="preserve"> to life</w:t>
      </w:r>
      <w:r w:rsidR="00F36400" w:rsidRPr="008A1DB4">
        <w:rPr>
          <w:spacing w:val="-2"/>
          <w:lang w:val="en-US"/>
        </w:rPr>
        <w:t xml:space="preserve"> and </w:t>
      </w:r>
      <w:r w:rsidRPr="008A1DB4">
        <w:rPr>
          <w:spacing w:val="-2"/>
          <w:lang w:val="en-US"/>
        </w:rPr>
        <w:t xml:space="preserve">to </w:t>
      </w:r>
      <w:r w:rsidR="00776D24" w:rsidRPr="008A1DB4">
        <w:rPr>
          <w:spacing w:val="-2"/>
          <w:lang w:val="en-US"/>
        </w:rPr>
        <w:t>personal integrity</w:t>
      </w:r>
      <w:r w:rsidR="00B16E52" w:rsidRPr="008A1DB4">
        <w:rPr>
          <w:spacing w:val="-2"/>
          <w:lang w:val="en-US"/>
        </w:rPr>
        <w:t>.</w:t>
      </w:r>
      <w:bookmarkEnd w:id="688"/>
      <w:r w:rsidR="00B16E52" w:rsidRPr="008A1DB4">
        <w:rPr>
          <w:spacing w:val="-2"/>
          <w:lang w:val="en-US"/>
        </w:rPr>
        <w:t xml:space="preserve"> </w:t>
      </w:r>
    </w:p>
    <w:p w14:paraId="487BC509" w14:textId="77777777" w:rsidR="00B16E52" w:rsidRPr="008A1DB4" w:rsidRDefault="00B16E52" w:rsidP="00956E97">
      <w:pPr>
        <w:rPr>
          <w:spacing w:val="-2"/>
          <w:lang w:val="en-US"/>
        </w:rPr>
      </w:pPr>
    </w:p>
    <w:p w14:paraId="4F42D4E4" w14:textId="7E37416B" w:rsidR="00B16E52" w:rsidRPr="008A1DB4" w:rsidRDefault="003E2C0A" w:rsidP="00956E97">
      <w:pPr>
        <w:pStyle w:val="PrrafodeSentencia"/>
        <w:rPr>
          <w:rStyle w:val="sb8d990e2"/>
          <w:spacing w:val="-2"/>
          <w:lang w:val="en-US"/>
        </w:rPr>
      </w:pPr>
      <w:bookmarkStart w:id="689" w:name="_Ref417843467"/>
      <w:r w:rsidRPr="008A1DB4">
        <w:rPr>
          <w:spacing w:val="-2"/>
          <w:lang w:val="en-US"/>
        </w:rPr>
        <w:t>The consistent case law</w:t>
      </w:r>
      <w:r w:rsidR="00C45946" w:rsidRPr="008A1DB4">
        <w:rPr>
          <w:spacing w:val="-2"/>
          <w:lang w:val="en-US"/>
        </w:rPr>
        <w:t xml:space="preserve"> of the </w:t>
      </w:r>
      <w:r w:rsidR="00631F9C" w:rsidRPr="008A1DB4">
        <w:rPr>
          <w:spacing w:val="-2"/>
          <w:lang w:val="en-US"/>
        </w:rPr>
        <w:t>European Court</w:t>
      </w:r>
      <w:r w:rsidR="00B16E52" w:rsidRPr="008A1DB4">
        <w:rPr>
          <w:spacing w:val="-2"/>
          <w:lang w:val="en-US"/>
        </w:rPr>
        <w:t xml:space="preserve"> </w:t>
      </w:r>
      <w:r w:rsidRPr="008A1DB4">
        <w:rPr>
          <w:spacing w:val="-2"/>
          <w:lang w:val="en-US"/>
        </w:rPr>
        <w:t>concerning extradition establishes that, in order to</w:t>
      </w:r>
      <w:r w:rsidR="0035626D">
        <w:rPr>
          <w:spacing w:val="-2"/>
          <w:lang w:val="en-US"/>
        </w:rPr>
        <w:t xml:space="preserve"> determine</w:t>
      </w:r>
      <w:r w:rsidRPr="008A1DB4">
        <w:rPr>
          <w:spacing w:val="-2"/>
          <w:lang w:val="en-US"/>
        </w:rPr>
        <w:t xml:space="preserve"> the responsibility of a State, the information that </w:t>
      </w:r>
      <w:r w:rsidR="00653211" w:rsidRPr="008A1DB4">
        <w:rPr>
          <w:spacing w:val="-2"/>
          <w:lang w:val="en-US"/>
        </w:rPr>
        <w:t>the requested State</w:t>
      </w:r>
      <w:r w:rsidR="00B16E52" w:rsidRPr="008A1DB4">
        <w:rPr>
          <w:spacing w:val="-2"/>
          <w:lang w:val="en-US"/>
        </w:rPr>
        <w:t xml:space="preserve"> </w:t>
      </w:r>
      <w:r w:rsidRPr="008A1DB4">
        <w:rPr>
          <w:spacing w:val="-2"/>
          <w:lang w:val="en-US"/>
        </w:rPr>
        <w:t>was, or should have been, aware of at the time of the</w:t>
      </w:r>
      <w:r w:rsidR="00B16E52" w:rsidRPr="008A1DB4">
        <w:rPr>
          <w:spacing w:val="-2"/>
          <w:lang w:val="en-US"/>
        </w:rPr>
        <w:t xml:space="preserve"> </w:t>
      </w:r>
      <w:r w:rsidR="002D1CFC" w:rsidRPr="008A1DB4">
        <w:rPr>
          <w:spacing w:val="-2"/>
          <w:lang w:val="en-US"/>
        </w:rPr>
        <w:t>extradition</w:t>
      </w:r>
      <w:r w:rsidRPr="008A1DB4">
        <w:rPr>
          <w:spacing w:val="-2"/>
          <w:lang w:val="en-US"/>
        </w:rPr>
        <w:t xml:space="preserve"> should be analyzed</w:t>
      </w:r>
      <w:r w:rsidR="00B16E52" w:rsidRPr="008A1DB4">
        <w:rPr>
          <w:spacing w:val="-2"/>
          <w:lang w:val="en-US"/>
        </w:rPr>
        <w:t xml:space="preserve"> </w:t>
      </w:r>
      <w:r w:rsidRPr="008A1DB4">
        <w:rPr>
          <w:spacing w:val="-2"/>
          <w:lang w:val="en-US"/>
        </w:rPr>
        <w:t>and, in those cases in which extradition has not yet taken place, the information avail</w:t>
      </w:r>
      <w:r w:rsidR="0035626D">
        <w:rPr>
          <w:spacing w:val="-2"/>
          <w:lang w:val="en-US"/>
        </w:rPr>
        <w:t>able when the European Court considers</w:t>
      </w:r>
      <w:r w:rsidRPr="008A1DB4">
        <w:rPr>
          <w:spacing w:val="-2"/>
          <w:lang w:val="en-US"/>
        </w:rPr>
        <w:t xml:space="preserve"> the case should be examined.</w:t>
      </w:r>
      <w:bookmarkEnd w:id="689"/>
      <w:r w:rsidR="00B16E52" w:rsidRPr="008A1DB4">
        <w:rPr>
          <w:rStyle w:val="FootnoteReference"/>
          <w:rFonts w:cs="Arial"/>
          <w:color w:val="000000"/>
          <w:spacing w:val="-2"/>
          <w:shd w:val="clear" w:color="auto" w:fill="FFFFFF"/>
          <w:lang w:val="en-US"/>
        </w:rPr>
        <w:footnoteReference w:id="195"/>
      </w:r>
    </w:p>
    <w:p w14:paraId="51EE1AE0" w14:textId="77777777" w:rsidR="00B16E52" w:rsidRPr="008A1DB4" w:rsidRDefault="00B16E52" w:rsidP="00956E97">
      <w:pPr>
        <w:tabs>
          <w:tab w:val="left" w:pos="284"/>
          <w:tab w:val="left" w:pos="567"/>
        </w:tabs>
        <w:ind w:right="571"/>
        <w:rPr>
          <w:rFonts w:cs="Arial"/>
          <w:color w:val="000000"/>
          <w:spacing w:val="-2"/>
          <w:szCs w:val="20"/>
          <w:shd w:val="clear" w:color="auto" w:fill="FFFFFF"/>
          <w:lang w:val="en-US"/>
        </w:rPr>
      </w:pPr>
    </w:p>
    <w:p w14:paraId="3689DA5E" w14:textId="2EE813F4" w:rsidR="00CE4044" w:rsidRPr="008A1DB4" w:rsidRDefault="003E2C0A" w:rsidP="003E2C0A">
      <w:pPr>
        <w:pStyle w:val="PrrafodeSentencia"/>
        <w:rPr>
          <w:spacing w:val="-2"/>
          <w:u w:val="single"/>
          <w:lang w:val="en-US"/>
        </w:rPr>
      </w:pPr>
      <w:r w:rsidRPr="008A1DB4">
        <w:rPr>
          <w:spacing w:val="-2"/>
          <w:lang w:val="en-US"/>
        </w:rPr>
        <w:t xml:space="preserve">This Court agrees with this </w:t>
      </w:r>
      <w:r w:rsidR="00947926" w:rsidRPr="008A1DB4">
        <w:rPr>
          <w:spacing w:val="-2"/>
          <w:lang w:val="en-US"/>
        </w:rPr>
        <w:t>conclusion</w:t>
      </w:r>
      <w:r w:rsidRPr="008A1DB4">
        <w:rPr>
          <w:spacing w:val="-2"/>
          <w:lang w:val="en-US"/>
        </w:rPr>
        <w:t xml:space="preserve">. The nature </w:t>
      </w:r>
      <w:r w:rsidR="0020496F" w:rsidRPr="008A1DB4">
        <w:rPr>
          <w:spacing w:val="-2"/>
          <w:lang w:val="en-US"/>
        </w:rPr>
        <w:t>of the</w:t>
      </w:r>
      <w:r w:rsidR="00B919BC">
        <w:rPr>
          <w:spacing w:val="-2"/>
          <w:lang w:val="en-US"/>
        </w:rPr>
        <w:t xml:space="preserve"> State’s</w:t>
      </w:r>
      <w:r w:rsidR="00775124" w:rsidRPr="008A1DB4">
        <w:rPr>
          <w:spacing w:val="-2"/>
          <w:lang w:val="en-US"/>
        </w:rPr>
        <w:t xml:space="preserve"> international responsibility</w:t>
      </w:r>
      <w:r w:rsidR="00B919BC">
        <w:rPr>
          <w:spacing w:val="-2"/>
          <w:lang w:val="en-US"/>
        </w:rPr>
        <w:t xml:space="preserve"> </w:t>
      </w:r>
      <w:r w:rsidRPr="008A1DB4">
        <w:rPr>
          <w:spacing w:val="-2"/>
          <w:lang w:val="en-US"/>
        </w:rPr>
        <w:t>in this type of case, according to the criteria established above, consists in exposing an individual under its jurisdiction to a foreseeable risk of suffering violations of the rights protected by</w:t>
      </w:r>
      <w:r w:rsidRPr="00B919BC">
        <w:rPr>
          <w:spacing w:val="-2"/>
          <w:lang w:val="en-US"/>
        </w:rPr>
        <w:t xml:space="preserve"> </w:t>
      </w:r>
      <w:r w:rsidR="00F36400" w:rsidRPr="008A1DB4">
        <w:rPr>
          <w:spacing w:val="-2"/>
          <w:lang w:val="en-US"/>
        </w:rPr>
        <w:t>the Convention</w:t>
      </w:r>
      <w:r w:rsidRPr="008A1DB4">
        <w:rPr>
          <w:spacing w:val="-2"/>
          <w:lang w:val="en-US"/>
        </w:rPr>
        <w:t>.</w:t>
      </w:r>
      <w:r w:rsidR="00B16E52" w:rsidRPr="008A1DB4">
        <w:rPr>
          <w:rStyle w:val="FootnoteReference"/>
          <w:spacing w:val="-2"/>
          <w:lang w:val="en-US"/>
        </w:rPr>
        <w:footnoteReference w:id="196"/>
      </w:r>
      <w:r w:rsidRPr="008A1DB4">
        <w:rPr>
          <w:spacing w:val="-2"/>
          <w:lang w:val="en-US"/>
        </w:rPr>
        <w:t xml:space="preserve"> In this case, the eventual action</w:t>
      </w:r>
      <w:r w:rsidR="00B16E52" w:rsidRPr="008A1DB4">
        <w:rPr>
          <w:spacing w:val="-2"/>
          <w:lang w:val="en-US"/>
        </w:rPr>
        <w:t xml:space="preserve"> </w:t>
      </w:r>
      <w:r w:rsidR="00C45946" w:rsidRPr="008A1DB4">
        <w:rPr>
          <w:spacing w:val="-2"/>
          <w:lang w:val="en-US"/>
        </w:rPr>
        <w:t xml:space="preserve">of the </w:t>
      </w:r>
      <w:r w:rsidR="00F36400" w:rsidRPr="008A1DB4">
        <w:rPr>
          <w:spacing w:val="-2"/>
          <w:lang w:val="en-US"/>
        </w:rPr>
        <w:t>State</w:t>
      </w:r>
      <w:r w:rsidR="00B16E52" w:rsidRPr="008A1DB4">
        <w:rPr>
          <w:spacing w:val="-2"/>
          <w:lang w:val="en-US"/>
        </w:rPr>
        <w:t xml:space="preserve"> (</w:t>
      </w:r>
      <w:r w:rsidRPr="008A1DB4">
        <w:rPr>
          <w:spacing w:val="-2"/>
          <w:lang w:val="en-US"/>
        </w:rPr>
        <w:t xml:space="preserve">the removal </w:t>
      </w:r>
      <w:r w:rsidR="00B43F84" w:rsidRPr="008A1DB4">
        <w:rPr>
          <w:spacing w:val="-2"/>
          <w:lang w:val="en-US"/>
        </w:rPr>
        <w:t>of Wong</w:t>
      </w:r>
      <w:r w:rsidR="00B95B22" w:rsidRPr="008A1DB4">
        <w:rPr>
          <w:spacing w:val="-2"/>
          <w:lang w:val="en-US"/>
        </w:rPr>
        <w:t xml:space="preserve"> Ho Wing </w:t>
      </w:r>
      <w:r w:rsidRPr="008A1DB4">
        <w:rPr>
          <w:spacing w:val="-2"/>
          <w:lang w:val="en-US"/>
        </w:rPr>
        <w:t>from</w:t>
      </w:r>
      <w:r w:rsidR="00E022F9" w:rsidRPr="008A1DB4">
        <w:rPr>
          <w:spacing w:val="-2"/>
          <w:lang w:val="en-US"/>
        </w:rPr>
        <w:t xml:space="preserve"> Peru</w:t>
      </w:r>
      <w:r w:rsidR="00F36400" w:rsidRPr="008A1DB4">
        <w:rPr>
          <w:spacing w:val="-2"/>
          <w:lang w:val="en-US"/>
        </w:rPr>
        <w:t xml:space="preserve"> and </w:t>
      </w:r>
      <w:r w:rsidRPr="008A1DB4">
        <w:rPr>
          <w:spacing w:val="-2"/>
          <w:lang w:val="en-US"/>
        </w:rPr>
        <w:t xml:space="preserve">his extradition to </w:t>
      </w:r>
      <w:r w:rsidR="00B16E52" w:rsidRPr="008A1DB4">
        <w:rPr>
          <w:spacing w:val="-2"/>
          <w:lang w:val="en-US"/>
        </w:rPr>
        <w:t xml:space="preserve">China) </w:t>
      </w:r>
      <w:r w:rsidRPr="008A1DB4">
        <w:rPr>
          <w:spacing w:val="-2"/>
          <w:lang w:val="en-US"/>
        </w:rPr>
        <w:t xml:space="preserve">has not occurred, partly owing to the existence of the </w:t>
      </w:r>
      <w:r w:rsidR="00C45946" w:rsidRPr="008A1DB4">
        <w:rPr>
          <w:spacing w:val="-2"/>
          <w:lang w:val="en-US"/>
        </w:rPr>
        <w:t>provisional measures</w:t>
      </w:r>
      <w:r w:rsidR="00B16E52" w:rsidRPr="008A1DB4">
        <w:rPr>
          <w:spacing w:val="-2"/>
          <w:lang w:val="en-US"/>
        </w:rPr>
        <w:t xml:space="preserve"> orde</w:t>
      </w:r>
      <w:r w:rsidRPr="008A1DB4">
        <w:rPr>
          <w:spacing w:val="-2"/>
          <w:lang w:val="en-US"/>
        </w:rPr>
        <w:t xml:space="preserve">red by this Court for the State to refrain from extraditing </w:t>
      </w:r>
      <w:r w:rsidR="00B43F84" w:rsidRPr="008A1DB4">
        <w:rPr>
          <w:spacing w:val="-2"/>
          <w:lang w:val="en-US"/>
        </w:rPr>
        <w:t>Wong</w:t>
      </w:r>
      <w:r w:rsidR="00B16E52" w:rsidRPr="008A1DB4">
        <w:rPr>
          <w:spacing w:val="-2"/>
          <w:lang w:val="en-US"/>
        </w:rPr>
        <w:t xml:space="preserve"> Ho Wing. </w:t>
      </w:r>
      <w:r w:rsidR="00947926" w:rsidRPr="008A1DB4">
        <w:rPr>
          <w:spacing w:val="-2"/>
          <w:lang w:val="en-US"/>
        </w:rPr>
        <w:t>Therefore</w:t>
      </w:r>
      <w:r w:rsidRPr="008A1DB4">
        <w:rPr>
          <w:spacing w:val="-2"/>
          <w:lang w:val="en-US"/>
        </w:rPr>
        <w:t xml:space="preserve">, when analyzing the possible risk that </w:t>
      </w:r>
      <w:r w:rsidR="001E7113" w:rsidRPr="008A1DB4">
        <w:rPr>
          <w:spacing w:val="-2"/>
          <w:lang w:val="en-US"/>
        </w:rPr>
        <w:t>Wong</w:t>
      </w:r>
      <w:r w:rsidR="00D1750E" w:rsidRPr="008A1DB4">
        <w:rPr>
          <w:spacing w:val="-2"/>
          <w:lang w:val="en-US"/>
        </w:rPr>
        <w:t xml:space="preserve"> Ho Wing </w:t>
      </w:r>
      <w:r w:rsidRPr="008A1DB4">
        <w:rPr>
          <w:spacing w:val="-2"/>
          <w:lang w:val="en-US"/>
        </w:rPr>
        <w:t>would face in</w:t>
      </w:r>
      <w:r w:rsidR="00D1750E" w:rsidRPr="008A1DB4">
        <w:rPr>
          <w:spacing w:val="-2"/>
          <w:lang w:val="en-US"/>
        </w:rPr>
        <w:t xml:space="preserve"> </w:t>
      </w:r>
      <w:r w:rsidR="00653211" w:rsidRPr="008A1DB4">
        <w:rPr>
          <w:spacing w:val="-2"/>
          <w:lang w:val="en-US"/>
        </w:rPr>
        <w:t>the requesting State</w:t>
      </w:r>
      <w:r w:rsidR="00B16E52" w:rsidRPr="008A1DB4">
        <w:rPr>
          <w:spacing w:val="-2"/>
          <w:lang w:val="en-US"/>
        </w:rPr>
        <w:t xml:space="preserve">, </w:t>
      </w:r>
      <w:r w:rsidRPr="008A1DB4">
        <w:rPr>
          <w:spacing w:val="-2"/>
          <w:lang w:val="en-US"/>
        </w:rPr>
        <w:t xml:space="preserve">the Court will take into account and assess all the information available at this time, including the legislative developments in </w:t>
      </w:r>
      <w:r w:rsidR="00D1750E" w:rsidRPr="008A1DB4">
        <w:rPr>
          <w:spacing w:val="-2"/>
          <w:lang w:val="en-US"/>
        </w:rPr>
        <w:t xml:space="preserve">China </w:t>
      </w:r>
      <w:r w:rsidRPr="008A1DB4">
        <w:rPr>
          <w:spacing w:val="-2"/>
          <w:lang w:val="en-US"/>
        </w:rPr>
        <w:t xml:space="preserve">following the second </w:t>
      </w:r>
      <w:r w:rsidR="002D1CFC" w:rsidRPr="008A1DB4">
        <w:rPr>
          <w:spacing w:val="-2"/>
          <w:lang w:val="en-US"/>
        </w:rPr>
        <w:t>advisory decision</w:t>
      </w:r>
      <w:r w:rsidR="00F36400" w:rsidRPr="008A1DB4">
        <w:rPr>
          <w:spacing w:val="-2"/>
          <w:lang w:val="en-US"/>
        </w:rPr>
        <w:t xml:space="preserve"> of </w:t>
      </w:r>
      <w:r w:rsidR="00B67AC5" w:rsidRPr="008A1DB4">
        <w:rPr>
          <w:spacing w:val="-2"/>
          <w:lang w:val="en-US"/>
        </w:rPr>
        <w:t>the Supreme Court</w:t>
      </w:r>
      <w:r w:rsidR="00D1750E" w:rsidRPr="008A1DB4">
        <w:rPr>
          <w:spacing w:val="-2"/>
          <w:lang w:val="en-US"/>
        </w:rPr>
        <w:t>, as</w:t>
      </w:r>
      <w:r w:rsidRPr="008A1DB4">
        <w:rPr>
          <w:spacing w:val="-2"/>
          <w:lang w:val="en-US"/>
        </w:rPr>
        <w:t xml:space="preserve"> well as </w:t>
      </w:r>
      <w:r w:rsidR="00653211" w:rsidRPr="008A1DB4">
        <w:rPr>
          <w:spacing w:val="-2"/>
          <w:lang w:val="en-US"/>
        </w:rPr>
        <w:t xml:space="preserve">the </w:t>
      </w:r>
      <w:r w:rsidR="00945E57" w:rsidRPr="008A1DB4">
        <w:rPr>
          <w:spacing w:val="-2"/>
          <w:lang w:val="en-US"/>
        </w:rPr>
        <w:t>diplomatic assurances</w:t>
      </w:r>
      <w:r w:rsidR="00D1750E" w:rsidRPr="008A1DB4">
        <w:rPr>
          <w:spacing w:val="-2"/>
          <w:lang w:val="en-US"/>
        </w:rPr>
        <w:t xml:space="preserve"> present</w:t>
      </w:r>
      <w:r w:rsidRPr="008A1DB4">
        <w:rPr>
          <w:spacing w:val="-2"/>
          <w:lang w:val="en-US"/>
        </w:rPr>
        <w:t xml:space="preserve">ed after the issue of the ruling </w:t>
      </w:r>
      <w:r w:rsidR="00C45946" w:rsidRPr="008A1DB4">
        <w:rPr>
          <w:spacing w:val="-2"/>
          <w:lang w:val="en-US"/>
        </w:rPr>
        <w:t xml:space="preserve">of the </w:t>
      </w:r>
      <w:r w:rsidR="00B43F84" w:rsidRPr="008A1DB4">
        <w:rPr>
          <w:spacing w:val="-2"/>
          <w:lang w:val="en-US"/>
        </w:rPr>
        <w:t>Constitutional Court</w:t>
      </w:r>
      <w:r w:rsidR="00B16E52" w:rsidRPr="008A1DB4">
        <w:rPr>
          <w:spacing w:val="-2"/>
          <w:lang w:val="en-US"/>
        </w:rPr>
        <w:t xml:space="preserve">. </w:t>
      </w:r>
      <w:bookmarkStart w:id="690" w:name="_Ref417843489"/>
      <w:r w:rsidRPr="008A1DB4">
        <w:rPr>
          <w:spacing w:val="-2"/>
          <w:lang w:val="en-US"/>
        </w:rPr>
        <w:t xml:space="preserve">The situation of risk that existed when that last ruling was issued will be taken into account, as pertinent and necessary, in the analysis of the alleged violation of the right to judicial protection </w:t>
      </w:r>
      <w:r w:rsidR="005C4D7A" w:rsidRPr="008A1DB4">
        <w:rPr>
          <w:spacing w:val="-2"/>
          <w:lang w:val="en-US"/>
        </w:rPr>
        <w:t>(</w:t>
      </w:r>
      <w:r w:rsidR="005C4D7A" w:rsidRPr="008A1DB4">
        <w:rPr>
          <w:i/>
          <w:spacing w:val="-2"/>
          <w:lang w:val="en-US"/>
        </w:rPr>
        <w:t>infra</w:t>
      </w:r>
      <w:r w:rsidR="005C4D7A" w:rsidRPr="008A1DB4">
        <w:rPr>
          <w:spacing w:val="-2"/>
          <w:lang w:val="en-US"/>
        </w:rPr>
        <w:t xml:space="preserve"> </w:t>
      </w:r>
      <w:r w:rsidR="00631F9C" w:rsidRPr="008A1DB4">
        <w:rPr>
          <w:spacing w:val="-2"/>
          <w:lang w:val="en-US"/>
        </w:rPr>
        <w:t>paras.</w:t>
      </w:r>
      <w:r w:rsidR="005C4D7A" w:rsidRPr="008A1DB4">
        <w:rPr>
          <w:spacing w:val="-2"/>
          <w:lang w:val="en-US"/>
        </w:rPr>
        <w:t xml:space="preserve"> </w:t>
      </w:r>
      <w:r w:rsidR="00295AAD" w:rsidRPr="008A1DB4">
        <w:rPr>
          <w:spacing w:val="-2"/>
          <w:lang w:val="en-US"/>
        </w:rPr>
        <w:fldChar w:fldCharType="begin"/>
      </w:r>
      <w:r w:rsidR="00295AAD" w:rsidRPr="008A1DB4">
        <w:rPr>
          <w:spacing w:val="-2"/>
          <w:lang w:val="en-US"/>
        </w:rPr>
        <w:instrText xml:space="preserve"> REF _Ref418887572 \r \h </w:instrText>
      </w:r>
      <w:r w:rsidR="00DC41F4" w:rsidRPr="008A1DB4">
        <w:rPr>
          <w:spacing w:val="-2"/>
          <w:lang w:val="en-US"/>
        </w:rPr>
        <w:instrText xml:space="preserve"> \* MERGEFORMAT </w:instrText>
      </w:r>
      <w:r w:rsidR="00295AAD" w:rsidRPr="008A1DB4">
        <w:rPr>
          <w:spacing w:val="-2"/>
          <w:lang w:val="en-US"/>
        </w:rPr>
      </w:r>
      <w:r w:rsidR="00295AAD" w:rsidRPr="008A1DB4">
        <w:rPr>
          <w:spacing w:val="-2"/>
          <w:lang w:val="en-US"/>
        </w:rPr>
        <w:fldChar w:fldCharType="separate"/>
      </w:r>
      <w:r w:rsidR="00E961FA" w:rsidRPr="008A1DB4">
        <w:rPr>
          <w:spacing w:val="-2"/>
          <w:lang w:val="en-US"/>
        </w:rPr>
        <w:t>193</w:t>
      </w:r>
      <w:r w:rsidR="00295AAD" w:rsidRPr="008A1DB4">
        <w:rPr>
          <w:spacing w:val="-2"/>
          <w:lang w:val="en-US"/>
        </w:rPr>
        <w:fldChar w:fldCharType="end"/>
      </w:r>
      <w:r w:rsidR="0020496F" w:rsidRPr="008A1DB4">
        <w:rPr>
          <w:spacing w:val="-2"/>
          <w:lang w:val="en-US"/>
        </w:rPr>
        <w:t xml:space="preserve"> to</w:t>
      </w:r>
      <w:r w:rsidR="00295AAD" w:rsidRPr="008A1DB4">
        <w:rPr>
          <w:spacing w:val="-2"/>
          <w:lang w:val="en-US"/>
        </w:rPr>
        <w:t xml:space="preserve"> </w:t>
      </w:r>
      <w:r w:rsidR="00295AAD" w:rsidRPr="008A1DB4">
        <w:rPr>
          <w:spacing w:val="-2"/>
          <w:lang w:val="en-US"/>
        </w:rPr>
        <w:fldChar w:fldCharType="begin"/>
      </w:r>
      <w:r w:rsidR="00295AAD" w:rsidRPr="008A1DB4">
        <w:rPr>
          <w:spacing w:val="-2"/>
          <w:lang w:val="en-US"/>
        </w:rPr>
        <w:instrText xml:space="preserve"> REF _Ref423358951 \r \h </w:instrText>
      </w:r>
      <w:r w:rsidR="00DC41F4" w:rsidRPr="008A1DB4">
        <w:rPr>
          <w:spacing w:val="-2"/>
          <w:lang w:val="en-US"/>
        </w:rPr>
        <w:instrText xml:space="preserve"> \* MERGEFORMAT </w:instrText>
      </w:r>
      <w:r w:rsidR="00295AAD" w:rsidRPr="008A1DB4">
        <w:rPr>
          <w:spacing w:val="-2"/>
          <w:lang w:val="en-US"/>
        </w:rPr>
      </w:r>
      <w:r w:rsidR="00295AAD" w:rsidRPr="008A1DB4">
        <w:rPr>
          <w:spacing w:val="-2"/>
          <w:lang w:val="en-US"/>
        </w:rPr>
        <w:fldChar w:fldCharType="separate"/>
      </w:r>
      <w:r w:rsidR="00E961FA" w:rsidRPr="008A1DB4">
        <w:rPr>
          <w:spacing w:val="-2"/>
          <w:lang w:val="en-US"/>
        </w:rPr>
        <w:t>206</w:t>
      </w:r>
      <w:r w:rsidR="00295AAD" w:rsidRPr="008A1DB4">
        <w:rPr>
          <w:spacing w:val="-2"/>
          <w:lang w:val="en-US"/>
        </w:rPr>
        <w:fldChar w:fldCharType="end"/>
      </w:r>
      <w:r w:rsidR="005C4D7A" w:rsidRPr="008A1DB4">
        <w:rPr>
          <w:spacing w:val="-2"/>
          <w:lang w:val="en-US"/>
        </w:rPr>
        <w:t>)</w:t>
      </w:r>
      <w:r w:rsidR="005C4D7A" w:rsidRPr="008A1DB4">
        <w:rPr>
          <w:i/>
          <w:spacing w:val="-2"/>
          <w:lang w:val="en-US"/>
        </w:rPr>
        <w:t>.</w:t>
      </w:r>
    </w:p>
    <w:p w14:paraId="618B1D91" w14:textId="77777777" w:rsidR="00CE4044" w:rsidRPr="008A1DB4" w:rsidRDefault="00CE4044" w:rsidP="00956E97">
      <w:pPr>
        <w:pStyle w:val="PrrafodeSentencia"/>
        <w:numPr>
          <w:ilvl w:val="0"/>
          <w:numId w:val="0"/>
        </w:numPr>
        <w:rPr>
          <w:spacing w:val="-2"/>
          <w:lang w:val="en-US"/>
        </w:rPr>
      </w:pPr>
    </w:p>
    <w:p w14:paraId="30FA2037" w14:textId="1E94B1F3" w:rsidR="00CE4044" w:rsidRPr="008A1DB4" w:rsidRDefault="00216773" w:rsidP="00216773">
      <w:pPr>
        <w:pStyle w:val="PrrafodeSentencia"/>
        <w:rPr>
          <w:spacing w:val="-2"/>
          <w:u w:val="single"/>
          <w:lang w:val="en-US"/>
        </w:rPr>
      </w:pPr>
      <w:r w:rsidRPr="008A1DB4">
        <w:rPr>
          <w:spacing w:val="-2"/>
          <w:lang w:val="en-US"/>
        </w:rPr>
        <w:t xml:space="preserve">The Court also notes that the examination of the </w:t>
      </w:r>
      <w:r w:rsidR="0035626D">
        <w:rPr>
          <w:spacing w:val="-2"/>
          <w:lang w:val="en-US"/>
        </w:rPr>
        <w:t xml:space="preserve">State’s </w:t>
      </w:r>
      <w:r w:rsidRPr="008A1DB4">
        <w:rPr>
          <w:spacing w:val="-2"/>
          <w:lang w:val="en-US"/>
        </w:rPr>
        <w:t>responsibility in this case is conditional on the granting and implementation of the eventual extradition. According to Article 62 of the Convention, this Court has jurisdiction to hear all cases concerning the interpretation and application of the provisions of the Convention. Furthermore, Article 44 of the Convention establishes the right to “</w:t>
      </w:r>
      <w:r w:rsidRPr="008A1DB4">
        <w:rPr>
          <w:spacing w:val="-3"/>
          <w:lang w:val="en-US"/>
        </w:rPr>
        <w:t>lodge petitions with the Commission containing denunciations or complaints of violation of this Convention by a State Party.” Consequently, it is not</w:t>
      </w:r>
      <w:r w:rsidR="00593E5B">
        <w:rPr>
          <w:spacing w:val="-3"/>
          <w:lang w:val="en-US"/>
        </w:rPr>
        <w:t xml:space="preserve"> normally for this Court to pronounce</w:t>
      </w:r>
      <w:r w:rsidRPr="008A1DB4">
        <w:rPr>
          <w:spacing w:val="-3"/>
          <w:lang w:val="en-US"/>
        </w:rPr>
        <w:t xml:space="preserve"> on the existence of potential violations </w:t>
      </w:r>
      <w:r w:rsidRPr="008A1DB4">
        <w:rPr>
          <w:spacing w:val="-2"/>
          <w:lang w:val="en-US"/>
        </w:rPr>
        <w:t xml:space="preserve">of the Convention. However, </w:t>
      </w:r>
      <w:r w:rsidR="00593E5B">
        <w:rPr>
          <w:spacing w:val="-2"/>
          <w:lang w:val="en-US"/>
        </w:rPr>
        <w:t xml:space="preserve">when </w:t>
      </w:r>
      <w:r w:rsidRPr="008A1DB4">
        <w:rPr>
          <w:spacing w:val="-2"/>
          <w:lang w:val="en-US"/>
        </w:rPr>
        <w:t>the presumed victim claims that, if he is expelled or, in this case, e</w:t>
      </w:r>
      <w:r w:rsidR="00196CB7">
        <w:rPr>
          <w:spacing w:val="-2"/>
          <w:lang w:val="en-US"/>
        </w:rPr>
        <w:t>xtradited, he would be subject</w:t>
      </w:r>
      <w:r w:rsidRPr="008A1DB4">
        <w:rPr>
          <w:spacing w:val="-2"/>
          <w:lang w:val="en-US"/>
        </w:rPr>
        <w:t xml:space="preserve"> to treatment contrary to his rights to life and personal integrity, it is necessary to ensure his rights and to prevent the occurrence of grave and irreparable harm.</w:t>
      </w:r>
      <w:r w:rsidRPr="008A1DB4">
        <w:rPr>
          <w:rStyle w:val="FootnoteReference"/>
          <w:spacing w:val="-2"/>
          <w:lang w:val="en-US"/>
        </w:rPr>
        <w:footnoteReference w:id="197"/>
      </w:r>
      <w:r w:rsidRPr="008A1DB4">
        <w:rPr>
          <w:spacing w:val="-2"/>
          <w:lang w:val="en-US"/>
        </w:rPr>
        <w:t xml:space="preserve"> Since the ultimate aim of the Convention </w:t>
      </w:r>
      <w:r w:rsidRPr="008A1DB4">
        <w:rPr>
          <w:spacing w:val="-2"/>
          <w:lang w:val="en-US"/>
        </w:rPr>
        <w:lastRenderedPageBreak/>
        <w:t xml:space="preserve">is the international protection of human rights, it must be permissible to analyze this type of case before the violation takes place. Therefore, the Court must rule on the possibility that such harm may occur if the person is extradited. Thus, since the extradition has not occurred yet (which would constitute the internationally unlawful act if a foreseeable risk to the rights of Wong Ho Wing existed), the Court must examine the State’s responsibility conditionally, in order to determine whether or not there would be a violation of </w:t>
      </w:r>
      <w:r w:rsidR="0020496F" w:rsidRPr="008A1DB4">
        <w:rPr>
          <w:spacing w:val="-2"/>
          <w:lang w:val="en-US"/>
        </w:rPr>
        <w:t>the rights to life and personal</w:t>
      </w:r>
      <w:r w:rsidR="00776D24" w:rsidRPr="008A1DB4">
        <w:rPr>
          <w:spacing w:val="-2"/>
          <w:lang w:val="en-US"/>
        </w:rPr>
        <w:t xml:space="preserve"> integrity</w:t>
      </w:r>
      <w:r w:rsidR="00C45946" w:rsidRPr="008A1DB4">
        <w:rPr>
          <w:spacing w:val="-2"/>
          <w:lang w:val="en-US"/>
        </w:rPr>
        <w:t xml:space="preserve"> of the </w:t>
      </w:r>
      <w:r w:rsidR="00F36400" w:rsidRPr="008A1DB4">
        <w:rPr>
          <w:spacing w:val="-2"/>
          <w:lang w:val="en-US"/>
        </w:rPr>
        <w:t>presumed victim</w:t>
      </w:r>
      <w:r w:rsidR="00D1750E" w:rsidRPr="008A1DB4">
        <w:rPr>
          <w:spacing w:val="-2"/>
          <w:lang w:val="en-US"/>
        </w:rPr>
        <w:t xml:space="preserve"> </w:t>
      </w:r>
      <w:r w:rsidRPr="008A1DB4">
        <w:rPr>
          <w:spacing w:val="-2"/>
          <w:lang w:val="en-US"/>
        </w:rPr>
        <w:t>should he be extradited.</w:t>
      </w:r>
    </w:p>
    <w:p w14:paraId="06B29DF9" w14:textId="77777777" w:rsidR="00CE4044" w:rsidRPr="008A1DB4" w:rsidRDefault="00CE4044" w:rsidP="00956E97">
      <w:pPr>
        <w:rPr>
          <w:spacing w:val="-2"/>
          <w:lang w:val="en-US"/>
        </w:rPr>
      </w:pPr>
    </w:p>
    <w:p w14:paraId="0D631195" w14:textId="4A82BBC0" w:rsidR="00B16E52" w:rsidRPr="008A1DB4" w:rsidRDefault="00216773" w:rsidP="00216773">
      <w:pPr>
        <w:pStyle w:val="PrrafodeSentencia"/>
        <w:rPr>
          <w:spacing w:val="-2"/>
          <w:u w:val="single"/>
          <w:lang w:val="en-US"/>
        </w:rPr>
      </w:pPr>
      <w:r w:rsidRPr="008A1DB4">
        <w:rPr>
          <w:spacing w:val="-2"/>
          <w:lang w:val="en-US"/>
        </w:rPr>
        <w:t>T</w:t>
      </w:r>
      <w:r w:rsidR="00F36400" w:rsidRPr="008A1DB4">
        <w:rPr>
          <w:spacing w:val="-2"/>
          <w:lang w:val="en-US"/>
        </w:rPr>
        <w:t xml:space="preserve">he </w:t>
      </w:r>
      <w:r w:rsidR="00631F9C" w:rsidRPr="008A1DB4">
        <w:rPr>
          <w:spacing w:val="-2"/>
          <w:lang w:val="en-US"/>
        </w:rPr>
        <w:t>European Court of Human Rights</w:t>
      </w:r>
      <w:r w:rsidR="00F36400" w:rsidRPr="008A1DB4">
        <w:rPr>
          <w:spacing w:val="-2"/>
          <w:lang w:val="en-US"/>
        </w:rPr>
        <w:t xml:space="preserve"> and </w:t>
      </w:r>
      <w:r w:rsidRPr="008A1DB4">
        <w:rPr>
          <w:spacing w:val="-2"/>
          <w:lang w:val="en-US"/>
        </w:rPr>
        <w:t xml:space="preserve">some United Nations committees, such as </w:t>
      </w:r>
      <w:r w:rsidR="00922262" w:rsidRPr="008A1DB4">
        <w:rPr>
          <w:spacing w:val="-2"/>
          <w:lang w:val="en-US"/>
        </w:rPr>
        <w:t>the Human Rights Committee</w:t>
      </w:r>
      <w:r w:rsidR="00F36400" w:rsidRPr="008A1DB4">
        <w:rPr>
          <w:spacing w:val="-2"/>
          <w:lang w:val="en-US"/>
        </w:rPr>
        <w:t xml:space="preserve"> and </w:t>
      </w:r>
      <w:r w:rsidRPr="008A1DB4">
        <w:rPr>
          <w:spacing w:val="-2"/>
          <w:lang w:val="en-US"/>
        </w:rPr>
        <w:t>the</w:t>
      </w:r>
      <w:r w:rsidR="00B16E52" w:rsidRPr="008A1DB4">
        <w:rPr>
          <w:spacing w:val="-2"/>
          <w:lang w:val="en-US"/>
        </w:rPr>
        <w:t xml:space="preserve"> </w:t>
      </w:r>
      <w:r w:rsidR="00922262" w:rsidRPr="008A1DB4">
        <w:rPr>
          <w:spacing w:val="-2"/>
          <w:lang w:val="en-US"/>
        </w:rPr>
        <w:t>Committee against Torture</w:t>
      </w:r>
      <w:r w:rsidRPr="008A1DB4">
        <w:rPr>
          <w:spacing w:val="-2"/>
          <w:lang w:val="en-US"/>
        </w:rPr>
        <w:t xml:space="preserve">, have proceeded </w:t>
      </w:r>
      <w:r w:rsidR="00593E5B">
        <w:rPr>
          <w:spacing w:val="-2"/>
          <w:lang w:val="en-US"/>
        </w:rPr>
        <w:t>similarly</w:t>
      </w:r>
      <w:r w:rsidRPr="008A1DB4">
        <w:rPr>
          <w:spacing w:val="-2"/>
          <w:lang w:val="en-US"/>
        </w:rPr>
        <w:t>.</w:t>
      </w:r>
      <w:r w:rsidR="009A634D" w:rsidRPr="008A1DB4">
        <w:rPr>
          <w:rStyle w:val="FootnoteReference"/>
          <w:spacing w:val="-2"/>
          <w:lang w:val="en-US"/>
        </w:rPr>
        <w:footnoteReference w:id="198"/>
      </w:r>
      <w:r w:rsidR="0014202F" w:rsidRPr="008A1DB4">
        <w:rPr>
          <w:spacing w:val="-2"/>
          <w:lang w:val="en-US"/>
        </w:rPr>
        <w:t xml:space="preserve"> </w:t>
      </w:r>
      <w:r w:rsidRPr="008A1DB4">
        <w:rPr>
          <w:spacing w:val="-2"/>
          <w:lang w:val="en-US"/>
        </w:rPr>
        <w:t xml:space="preserve">Consequently, this Court establishes that, in cases in which extradition or expulsion has not occurred (but in which </w:t>
      </w:r>
      <w:r w:rsidR="00593E5B">
        <w:rPr>
          <w:spacing w:val="-2"/>
          <w:lang w:val="en-US"/>
        </w:rPr>
        <w:t xml:space="preserve">its acceptance </w:t>
      </w:r>
      <w:r w:rsidRPr="008A1DB4">
        <w:rPr>
          <w:spacing w:val="-2"/>
          <w:lang w:val="en-US"/>
        </w:rPr>
        <w:t xml:space="preserve">or implementation is imminent), the </w:t>
      </w:r>
      <w:r w:rsidR="00593E5B">
        <w:rPr>
          <w:spacing w:val="-2"/>
          <w:lang w:val="en-US"/>
        </w:rPr>
        <w:t>analysis</w:t>
      </w:r>
      <w:r w:rsidRPr="008A1DB4">
        <w:rPr>
          <w:spacing w:val="-2"/>
          <w:lang w:val="en-US"/>
        </w:rPr>
        <w:t xml:space="preserve"> made by the Court consists in determining whether, based on the information available at the time the Inter-American Court considers the case, the State was, or should have been, aware that the </w:t>
      </w:r>
      <w:r w:rsidR="002D1CFC" w:rsidRPr="008A1DB4">
        <w:rPr>
          <w:spacing w:val="-2"/>
          <w:lang w:val="en-US"/>
        </w:rPr>
        <w:t>extradition</w:t>
      </w:r>
      <w:r w:rsidR="00C45946" w:rsidRPr="008A1DB4">
        <w:rPr>
          <w:spacing w:val="-2"/>
          <w:lang w:val="en-US"/>
        </w:rPr>
        <w:t xml:space="preserve"> of the </w:t>
      </w:r>
      <w:r w:rsidR="00F36400" w:rsidRPr="008A1DB4">
        <w:rPr>
          <w:spacing w:val="-2"/>
          <w:lang w:val="en-US"/>
        </w:rPr>
        <w:t>presumed victim</w:t>
      </w:r>
      <w:r w:rsidRPr="008A1DB4">
        <w:rPr>
          <w:spacing w:val="-2"/>
          <w:lang w:val="en-US"/>
        </w:rPr>
        <w:t>, if granted and implemented,</w:t>
      </w:r>
      <w:r w:rsidR="0014202F" w:rsidRPr="008A1DB4">
        <w:rPr>
          <w:spacing w:val="-2"/>
          <w:lang w:val="en-US"/>
        </w:rPr>
        <w:t xml:space="preserve"> </w:t>
      </w:r>
      <w:r w:rsidRPr="008A1DB4">
        <w:rPr>
          <w:spacing w:val="-2"/>
          <w:lang w:val="en-US"/>
        </w:rPr>
        <w:t>would be a violation</w:t>
      </w:r>
      <w:r w:rsidR="00F36400" w:rsidRPr="008A1DB4">
        <w:rPr>
          <w:spacing w:val="-2"/>
          <w:lang w:val="en-US"/>
        </w:rPr>
        <w:t xml:space="preserve"> of the American Convention</w:t>
      </w:r>
      <w:bookmarkEnd w:id="690"/>
      <w:r w:rsidRPr="008A1DB4">
        <w:rPr>
          <w:spacing w:val="-2"/>
          <w:lang w:val="en-US"/>
        </w:rPr>
        <w:t>.</w:t>
      </w:r>
    </w:p>
    <w:p w14:paraId="2CA6367B" w14:textId="77777777" w:rsidR="009F2CCE" w:rsidRPr="008A1DB4" w:rsidRDefault="009F2CCE" w:rsidP="00956E97">
      <w:pPr>
        <w:pStyle w:val="PrrafodeSentencia"/>
        <w:numPr>
          <w:ilvl w:val="0"/>
          <w:numId w:val="0"/>
        </w:numPr>
        <w:rPr>
          <w:spacing w:val="-2"/>
          <w:lang w:val="en-US"/>
        </w:rPr>
      </w:pPr>
    </w:p>
    <w:p w14:paraId="7F84CCBE" w14:textId="3AFAA911" w:rsidR="009F2CCE" w:rsidRPr="008A1DB4" w:rsidRDefault="00216773" w:rsidP="00956E97">
      <w:pPr>
        <w:pStyle w:val="PrrafodeSentencia"/>
        <w:rPr>
          <w:spacing w:val="-2"/>
          <w:lang w:val="en-US"/>
        </w:rPr>
      </w:pPr>
      <w:r w:rsidRPr="008A1DB4">
        <w:rPr>
          <w:spacing w:val="-2"/>
          <w:lang w:val="en-US"/>
        </w:rPr>
        <w:t>The presumed harm to the right to judicial protection recognized in Article 25(2)(c) of the Convention</w:t>
      </w:r>
      <w:r w:rsidR="00593E5B" w:rsidRPr="00593E5B">
        <w:rPr>
          <w:spacing w:val="-2"/>
          <w:lang w:val="en-US"/>
        </w:rPr>
        <w:t xml:space="preserve"> </w:t>
      </w:r>
      <w:r w:rsidR="00593E5B">
        <w:rPr>
          <w:spacing w:val="-2"/>
          <w:lang w:val="en-US"/>
        </w:rPr>
        <w:t>(</w:t>
      </w:r>
      <w:r w:rsidR="009F2CCE" w:rsidRPr="008A1DB4">
        <w:rPr>
          <w:spacing w:val="-2"/>
          <w:lang w:val="en-US"/>
        </w:rPr>
        <w:t>particular</w:t>
      </w:r>
      <w:r w:rsidRPr="008A1DB4">
        <w:rPr>
          <w:spacing w:val="-2"/>
          <w:lang w:val="en-US"/>
        </w:rPr>
        <w:t xml:space="preserve">ly based on compliance with decisions </w:t>
      </w:r>
      <w:r w:rsidR="00593E5B">
        <w:rPr>
          <w:spacing w:val="-2"/>
          <w:lang w:val="en-US"/>
        </w:rPr>
        <w:t>of</w:t>
      </w:r>
      <w:r w:rsidRPr="008A1DB4">
        <w:rPr>
          <w:spacing w:val="-2"/>
          <w:lang w:val="en-US"/>
        </w:rPr>
        <w:t xml:space="preserve"> the domestic courts</w:t>
      </w:r>
      <w:r w:rsidR="00593E5B">
        <w:rPr>
          <w:spacing w:val="-2"/>
          <w:lang w:val="en-US"/>
        </w:rPr>
        <w:t>)</w:t>
      </w:r>
      <w:r w:rsidRPr="008A1DB4">
        <w:rPr>
          <w:spacing w:val="-2"/>
          <w:lang w:val="en-US"/>
        </w:rPr>
        <w:t xml:space="preserve">, </w:t>
      </w:r>
      <w:r w:rsidR="00593E5B" w:rsidRPr="008A1DB4">
        <w:rPr>
          <w:spacing w:val="-2"/>
          <w:lang w:val="en-US"/>
        </w:rPr>
        <w:t>in view of the ruling of the Constitutional Court</w:t>
      </w:r>
      <w:r w:rsidR="00593E5B">
        <w:rPr>
          <w:spacing w:val="-2"/>
          <w:lang w:val="en-US"/>
        </w:rPr>
        <w:t xml:space="preserve">, </w:t>
      </w:r>
      <w:r w:rsidRPr="008A1DB4">
        <w:rPr>
          <w:spacing w:val="-2"/>
          <w:lang w:val="en-US"/>
        </w:rPr>
        <w:t xml:space="preserve">will be examined in the following section </w:t>
      </w:r>
      <w:r w:rsidR="00727EB5" w:rsidRPr="008A1DB4">
        <w:rPr>
          <w:spacing w:val="-2"/>
          <w:lang w:val="en-US"/>
        </w:rPr>
        <w:t>(</w:t>
      </w:r>
      <w:r w:rsidR="00727EB5" w:rsidRPr="008A1DB4">
        <w:rPr>
          <w:i/>
          <w:spacing w:val="-2"/>
          <w:lang w:val="en-US"/>
        </w:rPr>
        <w:t>infra</w:t>
      </w:r>
      <w:r w:rsidR="00727EB5" w:rsidRPr="008A1DB4">
        <w:rPr>
          <w:spacing w:val="-2"/>
          <w:lang w:val="en-US"/>
        </w:rPr>
        <w:t xml:space="preserve"> </w:t>
      </w:r>
      <w:r w:rsidR="00631F9C" w:rsidRPr="008A1DB4">
        <w:rPr>
          <w:spacing w:val="-2"/>
          <w:lang w:val="en-US"/>
        </w:rPr>
        <w:t>paras.</w:t>
      </w:r>
      <w:r w:rsidR="00727EB5" w:rsidRPr="008A1DB4">
        <w:rPr>
          <w:spacing w:val="-2"/>
          <w:lang w:val="en-US"/>
        </w:rPr>
        <w:t xml:space="preserve"> </w:t>
      </w:r>
      <w:r w:rsidR="00803862" w:rsidRPr="008A1DB4">
        <w:rPr>
          <w:spacing w:val="-2"/>
          <w:lang w:val="en-US"/>
        </w:rPr>
        <w:fldChar w:fldCharType="begin"/>
      </w:r>
      <w:r w:rsidR="0038705A" w:rsidRPr="008A1DB4">
        <w:rPr>
          <w:spacing w:val="-2"/>
          <w:lang w:val="en-US"/>
        </w:rPr>
        <w:instrText xml:space="preserve"> REF _Ref418887572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193</w:t>
      </w:r>
      <w:r w:rsidR="00803862" w:rsidRPr="008A1DB4">
        <w:rPr>
          <w:spacing w:val="-2"/>
          <w:lang w:val="en-US"/>
        </w:rPr>
        <w:fldChar w:fldCharType="end"/>
      </w:r>
      <w:r w:rsidRPr="008A1DB4">
        <w:rPr>
          <w:spacing w:val="-2"/>
          <w:lang w:val="en-US"/>
        </w:rPr>
        <w:t xml:space="preserve"> to</w:t>
      </w:r>
      <w:r w:rsidR="007461CF" w:rsidRPr="008A1DB4">
        <w:rPr>
          <w:spacing w:val="-2"/>
          <w:lang w:val="en-US"/>
        </w:rPr>
        <w:t xml:space="preserve"> </w:t>
      </w:r>
      <w:r w:rsidR="00B04A1B" w:rsidRPr="008A1DB4">
        <w:rPr>
          <w:spacing w:val="-2"/>
          <w:lang w:val="en-US"/>
        </w:rPr>
        <w:fldChar w:fldCharType="begin"/>
      </w:r>
      <w:r w:rsidR="00B04A1B" w:rsidRPr="008A1DB4">
        <w:rPr>
          <w:spacing w:val="-2"/>
          <w:lang w:val="en-US"/>
        </w:rPr>
        <w:instrText xml:space="preserve"> REF _Ref423358951 \r \h </w:instrText>
      </w:r>
      <w:r w:rsidR="00DC41F4" w:rsidRPr="008A1DB4">
        <w:rPr>
          <w:spacing w:val="-2"/>
          <w:lang w:val="en-US"/>
        </w:rPr>
        <w:instrText xml:space="preserve"> \* MERGEFORMAT </w:instrText>
      </w:r>
      <w:r w:rsidR="00B04A1B" w:rsidRPr="008A1DB4">
        <w:rPr>
          <w:spacing w:val="-2"/>
          <w:lang w:val="en-US"/>
        </w:rPr>
      </w:r>
      <w:r w:rsidR="00B04A1B" w:rsidRPr="008A1DB4">
        <w:rPr>
          <w:spacing w:val="-2"/>
          <w:lang w:val="en-US"/>
        </w:rPr>
        <w:fldChar w:fldCharType="separate"/>
      </w:r>
      <w:r w:rsidR="00E961FA" w:rsidRPr="008A1DB4">
        <w:rPr>
          <w:spacing w:val="-2"/>
          <w:lang w:val="en-US"/>
        </w:rPr>
        <w:t>206</w:t>
      </w:r>
      <w:r w:rsidR="00B04A1B" w:rsidRPr="008A1DB4">
        <w:rPr>
          <w:spacing w:val="-2"/>
          <w:lang w:val="en-US"/>
        </w:rPr>
        <w:fldChar w:fldCharType="end"/>
      </w:r>
      <w:r w:rsidR="0038705A" w:rsidRPr="008A1DB4">
        <w:rPr>
          <w:spacing w:val="-2"/>
          <w:lang w:val="en-US"/>
        </w:rPr>
        <w:t>)</w:t>
      </w:r>
      <w:r w:rsidR="00593E5B">
        <w:rPr>
          <w:spacing w:val="-2"/>
          <w:lang w:val="en-US"/>
        </w:rPr>
        <w:t>,</w:t>
      </w:r>
      <w:r w:rsidR="00F36400" w:rsidRPr="008A1DB4">
        <w:rPr>
          <w:spacing w:val="-2"/>
          <w:lang w:val="en-US"/>
        </w:rPr>
        <w:t xml:space="preserve"> and </w:t>
      </w:r>
      <w:r w:rsidR="00947926" w:rsidRPr="008A1DB4">
        <w:rPr>
          <w:spacing w:val="-2"/>
          <w:lang w:val="en-US"/>
        </w:rPr>
        <w:t>separately</w:t>
      </w:r>
      <w:r w:rsidRPr="008A1DB4">
        <w:rPr>
          <w:spacing w:val="-2"/>
          <w:lang w:val="en-US"/>
        </w:rPr>
        <w:t xml:space="preserve"> from the presumed risk that Wong Ho Wing would face currently if he were to be extradited, for the reasons described </w:t>
      </w:r>
      <w:r w:rsidR="009F2CCE" w:rsidRPr="008A1DB4">
        <w:rPr>
          <w:i/>
          <w:spacing w:val="-2"/>
          <w:lang w:val="en-US"/>
        </w:rPr>
        <w:t>supra</w:t>
      </w:r>
      <w:r w:rsidR="009F2CCE" w:rsidRPr="008A1DB4">
        <w:rPr>
          <w:spacing w:val="-2"/>
          <w:lang w:val="en-US"/>
        </w:rPr>
        <w:t xml:space="preserve">.   </w:t>
      </w:r>
    </w:p>
    <w:p w14:paraId="24AFA0D7" w14:textId="77777777" w:rsidR="009F2CCE" w:rsidRPr="008A1DB4" w:rsidRDefault="009F2CCE" w:rsidP="00956E97">
      <w:pPr>
        <w:pStyle w:val="PrrafodeSentencia"/>
        <w:numPr>
          <w:ilvl w:val="0"/>
          <w:numId w:val="0"/>
        </w:numPr>
        <w:rPr>
          <w:spacing w:val="-2"/>
          <w:lang w:val="en-US"/>
        </w:rPr>
      </w:pPr>
    </w:p>
    <w:p w14:paraId="00BA2FDA" w14:textId="320D8D4A" w:rsidR="009F2CCE" w:rsidRPr="008A1DB4" w:rsidRDefault="009F2CCE" w:rsidP="00956E97">
      <w:pPr>
        <w:pStyle w:val="PrrafodeSentencia"/>
        <w:rPr>
          <w:spacing w:val="-2"/>
          <w:lang w:val="en-US"/>
        </w:rPr>
      </w:pPr>
      <w:r w:rsidRPr="008A1DB4">
        <w:rPr>
          <w:spacing w:val="-2"/>
          <w:lang w:val="en-US"/>
        </w:rPr>
        <w:t>T</w:t>
      </w:r>
      <w:r w:rsidR="00216773" w:rsidRPr="008A1DB4">
        <w:rPr>
          <w:spacing w:val="-2"/>
          <w:lang w:val="en-US"/>
        </w:rPr>
        <w:t xml:space="preserve">aking into account: </w:t>
      </w:r>
      <w:r w:rsidR="00B451B7" w:rsidRPr="008A1DB4">
        <w:rPr>
          <w:spacing w:val="-2"/>
          <w:lang w:val="en-US"/>
        </w:rPr>
        <w:t xml:space="preserve">(1) </w:t>
      </w:r>
      <w:r w:rsidR="00216773" w:rsidRPr="008A1DB4">
        <w:rPr>
          <w:spacing w:val="-2"/>
          <w:lang w:val="en-US"/>
        </w:rPr>
        <w:t xml:space="preserve">the protection standards in extradition processes described above, and (2) the information and guarantees that are currently available, the Court will examine </w:t>
      </w:r>
      <w:r w:rsidRPr="008A1DB4">
        <w:rPr>
          <w:spacing w:val="-2"/>
          <w:lang w:val="en-US"/>
        </w:rPr>
        <w:t>(</w:t>
      </w:r>
      <w:r w:rsidR="00B451B7" w:rsidRPr="008A1DB4">
        <w:rPr>
          <w:spacing w:val="-2"/>
          <w:lang w:val="en-US"/>
        </w:rPr>
        <w:t>3</w:t>
      </w:r>
      <w:r w:rsidR="00096BB6" w:rsidRPr="008A1DB4">
        <w:rPr>
          <w:spacing w:val="-2"/>
          <w:lang w:val="en-US"/>
        </w:rPr>
        <w:t xml:space="preserve">) </w:t>
      </w:r>
      <w:r w:rsidR="00216773" w:rsidRPr="008A1DB4">
        <w:rPr>
          <w:spacing w:val="-2"/>
          <w:lang w:val="en-US"/>
        </w:rPr>
        <w:t xml:space="preserve">the alleged risk of application </w:t>
      </w:r>
      <w:r w:rsidR="00BB44A4" w:rsidRPr="008A1DB4">
        <w:rPr>
          <w:spacing w:val="-2"/>
          <w:lang w:val="en-US"/>
        </w:rPr>
        <w:t xml:space="preserve">of the </w:t>
      </w:r>
      <w:r w:rsidR="00A3310A" w:rsidRPr="008A1DB4">
        <w:rPr>
          <w:spacing w:val="-2"/>
          <w:lang w:val="en-US"/>
        </w:rPr>
        <w:t>death penalty</w:t>
      </w:r>
      <w:r w:rsidR="00096BB6" w:rsidRPr="008A1DB4">
        <w:rPr>
          <w:spacing w:val="-2"/>
          <w:lang w:val="en-US"/>
        </w:rPr>
        <w:t>,</w:t>
      </w:r>
      <w:r w:rsidR="00F36400" w:rsidRPr="008A1DB4">
        <w:rPr>
          <w:spacing w:val="-2"/>
          <w:lang w:val="en-US"/>
        </w:rPr>
        <w:t xml:space="preserve"> and </w:t>
      </w:r>
      <w:r w:rsidR="00096BB6" w:rsidRPr="008A1DB4">
        <w:rPr>
          <w:spacing w:val="-2"/>
          <w:lang w:val="en-US"/>
        </w:rPr>
        <w:t>(</w:t>
      </w:r>
      <w:r w:rsidR="00B451B7" w:rsidRPr="008A1DB4">
        <w:rPr>
          <w:spacing w:val="-2"/>
          <w:lang w:val="en-US"/>
        </w:rPr>
        <w:t>4</w:t>
      </w:r>
      <w:r w:rsidR="00096BB6" w:rsidRPr="008A1DB4">
        <w:rPr>
          <w:spacing w:val="-2"/>
          <w:lang w:val="en-US"/>
        </w:rPr>
        <w:t xml:space="preserve">) </w:t>
      </w:r>
      <w:r w:rsidR="00216773" w:rsidRPr="008A1DB4">
        <w:rPr>
          <w:spacing w:val="-2"/>
          <w:lang w:val="en-US"/>
        </w:rPr>
        <w:t xml:space="preserve">the alleged risk of torture or other </w:t>
      </w:r>
      <w:r w:rsidR="00CC6F1B" w:rsidRPr="008A1DB4">
        <w:rPr>
          <w:spacing w:val="-2"/>
          <w:lang w:val="en-US"/>
        </w:rPr>
        <w:t>cruel, inhuman or degrading treatment</w:t>
      </w:r>
      <w:r w:rsidR="00096BB6" w:rsidRPr="008A1DB4">
        <w:rPr>
          <w:spacing w:val="-2"/>
          <w:lang w:val="en-US"/>
        </w:rPr>
        <w:t xml:space="preserve">, </w:t>
      </w:r>
      <w:r w:rsidR="00216773" w:rsidRPr="008A1DB4">
        <w:rPr>
          <w:spacing w:val="-2"/>
          <w:lang w:val="en-US"/>
        </w:rPr>
        <w:t xml:space="preserve">in order </w:t>
      </w:r>
      <w:r w:rsidR="00096BB6" w:rsidRPr="008A1DB4">
        <w:rPr>
          <w:spacing w:val="-2"/>
          <w:lang w:val="en-US"/>
        </w:rPr>
        <w:t>(</w:t>
      </w:r>
      <w:r w:rsidR="00B451B7" w:rsidRPr="008A1DB4">
        <w:rPr>
          <w:spacing w:val="-2"/>
          <w:lang w:val="en-US"/>
        </w:rPr>
        <w:t>5</w:t>
      </w:r>
      <w:r w:rsidR="00096BB6" w:rsidRPr="008A1DB4">
        <w:rPr>
          <w:spacing w:val="-2"/>
          <w:lang w:val="en-US"/>
        </w:rPr>
        <w:t xml:space="preserve">) </w:t>
      </w:r>
      <w:r w:rsidR="00216773" w:rsidRPr="008A1DB4">
        <w:rPr>
          <w:spacing w:val="-2"/>
          <w:lang w:val="en-US"/>
        </w:rPr>
        <w:t xml:space="preserve">to determine whether the </w:t>
      </w:r>
      <w:r w:rsidR="002D1CFC" w:rsidRPr="008A1DB4">
        <w:rPr>
          <w:spacing w:val="-2"/>
          <w:lang w:val="en-US"/>
        </w:rPr>
        <w:t>extradition</w:t>
      </w:r>
      <w:r w:rsidR="00096BB6" w:rsidRPr="008A1DB4">
        <w:rPr>
          <w:spacing w:val="-2"/>
          <w:lang w:val="en-US"/>
        </w:rPr>
        <w:t xml:space="preserve"> </w:t>
      </w:r>
      <w:r w:rsidR="00B43F84" w:rsidRPr="008A1DB4">
        <w:rPr>
          <w:spacing w:val="-2"/>
          <w:lang w:val="en-US"/>
        </w:rPr>
        <w:t>of Wong</w:t>
      </w:r>
      <w:r w:rsidR="00096BB6" w:rsidRPr="008A1DB4">
        <w:rPr>
          <w:spacing w:val="-2"/>
          <w:lang w:val="en-US"/>
        </w:rPr>
        <w:t xml:space="preserve"> Ho Wing </w:t>
      </w:r>
      <w:r w:rsidR="00216773" w:rsidRPr="008A1DB4">
        <w:rPr>
          <w:spacing w:val="-2"/>
          <w:lang w:val="en-US"/>
        </w:rPr>
        <w:t>would result in</w:t>
      </w:r>
      <w:r w:rsidR="00096BB6" w:rsidRPr="008A1DB4">
        <w:rPr>
          <w:spacing w:val="-2"/>
          <w:lang w:val="en-US"/>
        </w:rPr>
        <w:t xml:space="preserve"> </w:t>
      </w:r>
      <w:r w:rsidR="00775124" w:rsidRPr="008A1DB4">
        <w:rPr>
          <w:spacing w:val="-2"/>
          <w:lang w:val="en-US"/>
        </w:rPr>
        <w:t>the</w:t>
      </w:r>
      <w:r w:rsidR="00593E5B">
        <w:rPr>
          <w:spacing w:val="-2"/>
          <w:lang w:val="en-US"/>
        </w:rPr>
        <w:t xml:space="preserve"> State’s</w:t>
      </w:r>
      <w:r w:rsidR="00775124" w:rsidRPr="008A1DB4">
        <w:rPr>
          <w:spacing w:val="-2"/>
          <w:lang w:val="en-US"/>
        </w:rPr>
        <w:t xml:space="preserve"> international responsibility</w:t>
      </w:r>
      <w:r w:rsidR="00C45946" w:rsidRPr="008A1DB4">
        <w:rPr>
          <w:spacing w:val="-2"/>
          <w:lang w:val="en-US"/>
        </w:rPr>
        <w:t xml:space="preserve"> </w:t>
      </w:r>
      <w:r w:rsidR="00216773" w:rsidRPr="008A1DB4">
        <w:rPr>
          <w:spacing w:val="-2"/>
          <w:lang w:val="en-US"/>
        </w:rPr>
        <w:t xml:space="preserve">based on the possible </w:t>
      </w:r>
      <w:r w:rsidR="00947926" w:rsidRPr="008A1DB4">
        <w:rPr>
          <w:spacing w:val="-2"/>
          <w:lang w:val="en-US"/>
        </w:rPr>
        <w:t>violation</w:t>
      </w:r>
      <w:r w:rsidR="00216773" w:rsidRPr="008A1DB4">
        <w:rPr>
          <w:spacing w:val="-2"/>
          <w:lang w:val="en-US"/>
        </w:rPr>
        <w:t xml:space="preserve"> of its obligation to ensure the presumed victim’s</w:t>
      </w:r>
      <w:r w:rsidR="0020496F" w:rsidRPr="008A1DB4">
        <w:rPr>
          <w:spacing w:val="-2"/>
          <w:lang w:val="en-US"/>
        </w:rPr>
        <w:t xml:space="preserve"> rights to life and personal</w:t>
      </w:r>
      <w:r w:rsidR="00776D24" w:rsidRPr="008A1DB4">
        <w:rPr>
          <w:spacing w:val="-2"/>
          <w:lang w:val="en-US"/>
        </w:rPr>
        <w:t xml:space="preserve"> integrity</w:t>
      </w:r>
      <w:r w:rsidR="00096BB6" w:rsidRPr="008A1DB4">
        <w:rPr>
          <w:spacing w:val="-2"/>
          <w:lang w:val="en-US"/>
        </w:rPr>
        <w:t xml:space="preserve">. </w:t>
      </w:r>
    </w:p>
    <w:p w14:paraId="01CA6636" w14:textId="77777777" w:rsidR="007C7A9B" w:rsidRPr="008A1DB4" w:rsidRDefault="007C7A9B" w:rsidP="00956E97">
      <w:pPr>
        <w:pStyle w:val="ListParagraph"/>
        <w:tabs>
          <w:tab w:val="left" w:pos="567"/>
        </w:tabs>
        <w:ind w:left="0"/>
        <w:rPr>
          <w:spacing w:val="-2"/>
          <w:u w:val="single"/>
          <w:lang w:val="en-US"/>
        </w:rPr>
      </w:pPr>
    </w:p>
    <w:p w14:paraId="4CBFD8F2" w14:textId="42025A44" w:rsidR="00B16E52" w:rsidRPr="008A1DB4" w:rsidRDefault="00B16E52" w:rsidP="00956E97">
      <w:pPr>
        <w:pStyle w:val="Heading2"/>
        <w:ind w:left="1418" w:firstLine="0"/>
        <w:rPr>
          <w:spacing w:val="-2"/>
          <w:lang w:val="en-US"/>
        </w:rPr>
      </w:pPr>
      <w:bookmarkStart w:id="691" w:name="_Toc418912618"/>
      <w:bookmarkStart w:id="692" w:name="_Toc419394404"/>
      <w:bookmarkStart w:id="693" w:name="_Toc429490269"/>
      <w:bookmarkStart w:id="694" w:name="_Toc429503781"/>
      <w:bookmarkStart w:id="695" w:name="_Toc429504287"/>
      <w:bookmarkStart w:id="696" w:name="_Toc429678000"/>
      <w:bookmarkStart w:id="697" w:name="_Toc430017163"/>
      <w:bookmarkStart w:id="698" w:name="_Toc430017392"/>
      <w:bookmarkStart w:id="699" w:name="_Toc430018674"/>
      <w:bookmarkStart w:id="700" w:name="_Toc430125272"/>
      <w:bookmarkStart w:id="701" w:name="_Toc430125380"/>
      <w:r w:rsidRPr="008A1DB4">
        <w:rPr>
          <w:spacing w:val="-2"/>
          <w:lang w:val="en-US"/>
        </w:rPr>
        <w:t>B.</w:t>
      </w:r>
      <w:r w:rsidR="009A628B" w:rsidRPr="008A1DB4">
        <w:rPr>
          <w:spacing w:val="-2"/>
          <w:lang w:val="en-US"/>
        </w:rPr>
        <w:t>3</w:t>
      </w:r>
      <w:r w:rsidRPr="008A1DB4">
        <w:rPr>
          <w:spacing w:val="-2"/>
          <w:lang w:val="en-US"/>
        </w:rPr>
        <w:t xml:space="preserve">) </w:t>
      </w:r>
      <w:r w:rsidR="00127339" w:rsidRPr="008A1DB4">
        <w:rPr>
          <w:spacing w:val="-2"/>
          <w:lang w:val="en-US"/>
        </w:rPr>
        <w:t>Alleged risk of application of the death penalty in this case</w:t>
      </w:r>
      <w:bookmarkEnd w:id="691"/>
      <w:bookmarkEnd w:id="692"/>
      <w:bookmarkEnd w:id="693"/>
      <w:bookmarkEnd w:id="694"/>
      <w:bookmarkEnd w:id="695"/>
      <w:bookmarkEnd w:id="696"/>
      <w:bookmarkEnd w:id="697"/>
      <w:bookmarkEnd w:id="698"/>
      <w:bookmarkEnd w:id="699"/>
      <w:bookmarkEnd w:id="700"/>
      <w:bookmarkEnd w:id="701"/>
    </w:p>
    <w:p w14:paraId="76F28B25" w14:textId="77777777" w:rsidR="00F44C78" w:rsidRPr="008A1DB4" w:rsidRDefault="00F44C78" w:rsidP="00956E97">
      <w:pPr>
        <w:pStyle w:val="PrrafodeSentencia"/>
        <w:numPr>
          <w:ilvl w:val="0"/>
          <w:numId w:val="0"/>
        </w:numPr>
        <w:rPr>
          <w:spacing w:val="-2"/>
          <w:lang w:val="en-US"/>
        </w:rPr>
      </w:pPr>
    </w:p>
    <w:p w14:paraId="0DFFD431" w14:textId="00A7B659" w:rsidR="00B16E52" w:rsidRPr="008A1DB4" w:rsidRDefault="00216773" w:rsidP="00956E97">
      <w:pPr>
        <w:pStyle w:val="PrrafodeSentencia"/>
        <w:rPr>
          <w:spacing w:val="-2"/>
          <w:lang w:val="en-US"/>
        </w:rPr>
      </w:pPr>
      <w:bookmarkStart w:id="702" w:name="_Ref419383246"/>
      <w:r w:rsidRPr="008A1DB4">
        <w:rPr>
          <w:spacing w:val="-2"/>
          <w:lang w:val="en-US"/>
        </w:rPr>
        <w:t xml:space="preserve">One of the offenses for which </w:t>
      </w:r>
      <w:r w:rsidR="001E7113" w:rsidRPr="008A1DB4">
        <w:rPr>
          <w:spacing w:val="-2"/>
          <w:lang w:val="en-US"/>
        </w:rPr>
        <w:t>Wong</w:t>
      </w:r>
      <w:r w:rsidR="00B16E52" w:rsidRPr="008A1DB4">
        <w:rPr>
          <w:spacing w:val="-2"/>
          <w:lang w:val="en-US"/>
        </w:rPr>
        <w:t xml:space="preserve"> Ho Wing </w:t>
      </w:r>
      <w:r w:rsidRPr="008A1DB4">
        <w:rPr>
          <w:spacing w:val="-2"/>
          <w:lang w:val="en-US"/>
        </w:rPr>
        <w:t xml:space="preserve">is </w:t>
      </w:r>
      <w:r w:rsidR="00593E5B">
        <w:rPr>
          <w:spacing w:val="-2"/>
          <w:lang w:val="en-US"/>
        </w:rPr>
        <w:t>sought</w:t>
      </w:r>
      <w:r w:rsidRPr="008A1DB4">
        <w:rPr>
          <w:spacing w:val="-2"/>
          <w:lang w:val="en-US"/>
        </w:rPr>
        <w:t xml:space="preserve"> </w:t>
      </w:r>
      <w:r w:rsidR="00B16E52" w:rsidRPr="008A1DB4">
        <w:rPr>
          <w:spacing w:val="-2"/>
          <w:lang w:val="en-US"/>
        </w:rPr>
        <w:t>c</w:t>
      </w:r>
      <w:r w:rsidRPr="008A1DB4">
        <w:rPr>
          <w:spacing w:val="-2"/>
          <w:lang w:val="en-US"/>
        </w:rPr>
        <w:t xml:space="preserve">alled for </w:t>
      </w:r>
      <w:r w:rsidR="00A3310A" w:rsidRPr="008A1DB4">
        <w:rPr>
          <w:spacing w:val="-2"/>
          <w:lang w:val="en-US"/>
        </w:rPr>
        <w:t>the death penalty</w:t>
      </w:r>
      <w:r w:rsidR="00B16E52" w:rsidRPr="008A1DB4">
        <w:rPr>
          <w:spacing w:val="-2"/>
          <w:lang w:val="en-US"/>
        </w:rPr>
        <w:t xml:space="preserve"> </w:t>
      </w:r>
      <w:r w:rsidRPr="008A1DB4">
        <w:rPr>
          <w:spacing w:val="-2"/>
          <w:lang w:val="en-US"/>
        </w:rPr>
        <w:t>when he was arrested and his extradition was requested. A</w:t>
      </w:r>
      <w:r w:rsidR="00E022F9" w:rsidRPr="008A1DB4">
        <w:rPr>
          <w:spacing w:val="-2"/>
          <w:lang w:val="en-US"/>
        </w:rPr>
        <w:t>rticle 153</w:t>
      </w:r>
      <w:r w:rsidR="00B16E52" w:rsidRPr="008A1DB4">
        <w:rPr>
          <w:spacing w:val="-2"/>
          <w:lang w:val="en-US"/>
        </w:rPr>
        <w:t xml:space="preserve"> </w:t>
      </w:r>
      <w:r w:rsidR="001E7113" w:rsidRPr="008A1DB4">
        <w:rPr>
          <w:spacing w:val="-2"/>
          <w:lang w:val="en-US"/>
        </w:rPr>
        <w:t xml:space="preserve">of the </w:t>
      </w:r>
      <w:r w:rsidR="00087CF8" w:rsidRPr="008A1DB4">
        <w:rPr>
          <w:spacing w:val="-2"/>
          <w:lang w:val="en-US"/>
        </w:rPr>
        <w:t>Chinese Criminal Code</w:t>
      </w:r>
      <w:r w:rsidRPr="008A1DB4">
        <w:rPr>
          <w:spacing w:val="-2"/>
          <w:lang w:val="en-US"/>
        </w:rPr>
        <w:t xml:space="preserve"> established</w:t>
      </w:r>
      <w:r w:rsidR="00B16E52" w:rsidRPr="008A1DB4">
        <w:rPr>
          <w:spacing w:val="-2"/>
          <w:lang w:val="en-US"/>
        </w:rPr>
        <w:t>:</w:t>
      </w:r>
      <w:bookmarkEnd w:id="702"/>
    </w:p>
    <w:p w14:paraId="2A7C2768" w14:textId="77777777" w:rsidR="00B16E52" w:rsidRPr="008A1DB4" w:rsidRDefault="00B16E52" w:rsidP="00956E97">
      <w:pPr>
        <w:pStyle w:val="ListParagraph"/>
        <w:tabs>
          <w:tab w:val="left" w:pos="567"/>
        </w:tabs>
        <w:ind w:left="0"/>
        <w:rPr>
          <w:b/>
          <w:spacing w:val="-2"/>
          <w:sz w:val="18"/>
          <w:szCs w:val="18"/>
          <w:lang w:val="en-US"/>
        </w:rPr>
      </w:pPr>
    </w:p>
    <w:p w14:paraId="78007ED2" w14:textId="54841805" w:rsidR="00B16E52" w:rsidRPr="008A1DB4" w:rsidRDefault="00216773" w:rsidP="00593E5B">
      <w:pPr>
        <w:tabs>
          <w:tab w:val="left" w:pos="567"/>
        </w:tabs>
        <w:spacing w:after="120"/>
        <w:ind w:left="567" w:right="615"/>
        <w:rPr>
          <w:spacing w:val="-2"/>
          <w:sz w:val="18"/>
          <w:szCs w:val="18"/>
          <w:lang w:val="en-US"/>
        </w:rPr>
      </w:pPr>
      <w:r w:rsidRPr="008A1DB4">
        <w:rPr>
          <w:spacing w:val="-2"/>
          <w:sz w:val="18"/>
          <w:szCs w:val="18"/>
          <w:lang w:val="en-US"/>
        </w:rPr>
        <w:t>Smuggling merchandise and objects that are not mentioned in</w:t>
      </w:r>
      <w:r w:rsidR="00B16E52" w:rsidRPr="008A1DB4">
        <w:rPr>
          <w:spacing w:val="-2"/>
          <w:sz w:val="18"/>
          <w:szCs w:val="18"/>
          <w:lang w:val="en-US"/>
        </w:rPr>
        <w:t xml:space="preserve"> </w:t>
      </w:r>
      <w:r w:rsidRPr="008A1DB4">
        <w:rPr>
          <w:spacing w:val="-2"/>
          <w:sz w:val="18"/>
          <w:szCs w:val="18"/>
          <w:lang w:val="en-US"/>
        </w:rPr>
        <w:t>a</w:t>
      </w:r>
      <w:r w:rsidR="00F36400" w:rsidRPr="008A1DB4">
        <w:rPr>
          <w:spacing w:val="-2"/>
          <w:sz w:val="18"/>
          <w:szCs w:val="18"/>
          <w:lang w:val="en-US"/>
        </w:rPr>
        <w:t>rticle</w:t>
      </w:r>
      <w:r w:rsidRPr="008A1DB4">
        <w:rPr>
          <w:spacing w:val="-2"/>
          <w:sz w:val="18"/>
          <w:szCs w:val="18"/>
          <w:lang w:val="en-US"/>
        </w:rPr>
        <w:t>s</w:t>
      </w:r>
      <w:r w:rsidR="00B16E52" w:rsidRPr="008A1DB4">
        <w:rPr>
          <w:spacing w:val="-2"/>
          <w:sz w:val="18"/>
          <w:szCs w:val="18"/>
          <w:lang w:val="en-US"/>
        </w:rPr>
        <w:t xml:space="preserve"> 151, 152</w:t>
      </w:r>
      <w:r w:rsidR="00F36400" w:rsidRPr="008A1DB4">
        <w:rPr>
          <w:spacing w:val="-2"/>
          <w:sz w:val="18"/>
          <w:szCs w:val="18"/>
          <w:lang w:val="en-US"/>
        </w:rPr>
        <w:t xml:space="preserve"> and </w:t>
      </w:r>
      <w:r w:rsidR="00B16E52" w:rsidRPr="008A1DB4">
        <w:rPr>
          <w:spacing w:val="-2"/>
          <w:sz w:val="18"/>
          <w:szCs w:val="18"/>
          <w:lang w:val="en-US"/>
        </w:rPr>
        <w:t xml:space="preserve">347 </w:t>
      </w:r>
      <w:r w:rsidRPr="008A1DB4">
        <w:rPr>
          <w:spacing w:val="-2"/>
          <w:sz w:val="18"/>
          <w:szCs w:val="18"/>
          <w:lang w:val="en-US"/>
        </w:rPr>
        <w:t>of this Law are punished pursuant to the following provisions, according to the severity:</w:t>
      </w:r>
    </w:p>
    <w:p w14:paraId="460E276A" w14:textId="478B0F1D" w:rsidR="00B16E52" w:rsidRPr="008A1DB4" w:rsidRDefault="00B16E52" w:rsidP="00216773">
      <w:pPr>
        <w:tabs>
          <w:tab w:val="left" w:pos="567"/>
        </w:tabs>
        <w:ind w:left="567" w:right="615"/>
        <w:rPr>
          <w:spacing w:val="-2"/>
          <w:sz w:val="18"/>
          <w:szCs w:val="18"/>
          <w:lang w:val="en-US"/>
        </w:rPr>
      </w:pPr>
      <w:r w:rsidRPr="008A1DB4">
        <w:rPr>
          <w:spacing w:val="-2"/>
          <w:sz w:val="18"/>
          <w:szCs w:val="18"/>
          <w:lang w:val="en-US"/>
        </w:rPr>
        <w:t xml:space="preserve">a. </w:t>
      </w:r>
      <w:r w:rsidR="00216773" w:rsidRPr="008A1DB4">
        <w:rPr>
          <w:spacing w:val="-2"/>
          <w:sz w:val="18"/>
          <w:szCs w:val="18"/>
          <w:lang w:val="en-US"/>
        </w:rPr>
        <w:t xml:space="preserve">Smuggling merchandise and objects where the amount of the duty evaded is in excess of 500,000 </w:t>
      </w:r>
      <w:proofErr w:type="spellStart"/>
      <w:r w:rsidR="00216773" w:rsidRPr="008A1DB4">
        <w:rPr>
          <w:spacing w:val="-2"/>
          <w:sz w:val="18"/>
          <w:szCs w:val="18"/>
          <w:lang w:val="en-US"/>
        </w:rPr>
        <w:t>yuans</w:t>
      </w:r>
      <w:proofErr w:type="spellEnd"/>
      <w:r w:rsidR="00216773" w:rsidRPr="008A1DB4">
        <w:rPr>
          <w:spacing w:val="-2"/>
          <w:sz w:val="18"/>
          <w:szCs w:val="18"/>
          <w:lang w:val="en-US"/>
        </w:rPr>
        <w:t xml:space="preserve"> is punished by imprisonment for more than 10 years, or life</w:t>
      </w:r>
      <w:r w:rsidR="00593E5B">
        <w:rPr>
          <w:spacing w:val="-2"/>
          <w:sz w:val="18"/>
          <w:szCs w:val="18"/>
          <w:lang w:val="en-US"/>
        </w:rPr>
        <w:t xml:space="preserve"> imprisonment</w:t>
      </w:r>
      <w:r w:rsidR="00216773" w:rsidRPr="008A1DB4">
        <w:rPr>
          <w:spacing w:val="-2"/>
          <w:sz w:val="18"/>
          <w:szCs w:val="18"/>
          <w:lang w:val="en-US"/>
        </w:rPr>
        <w:t xml:space="preserve">, and fines of </w:t>
      </w:r>
      <w:r w:rsidR="00593E5B">
        <w:rPr>
          <w:spacing w:val="-2"/>
          <w:sz w:val="18"/>
          <w:szCs w:val="18"/>
          <w:lang w:val="en-US"/>
        </w:rPr>
        <w:t>from 100% to</w:t>
      </w:r>
      <w:r w:rsidR="00216773" w:rsidRPr="008A1DB4">
        <w:rPr>
          <w:spacing w:val="-2"/>
          <w:sz w:val="18"/>
          <w:szCs w:val="18"/>
          <w:lang w:val="en-US"/>
        </w:rPr>
        <w:t xml:space="preserve"> 500% of the amount of the duty evaded, or seizure of personal property; </w:t>
      </w:r>
      <w:r w:rsidR="00216773" w:rsidRPr="008A1DB4">
        <w:rPr>
          <w:spacing w:val="-2"/>
          <w:sz w:val="18"/>
          <w:szCs w:val="18"/>
          <w:u w:val="single"/>
          <w:lang w:val="en-US"/>
        </w:rPr>
        <w:lastRenderedPageBreak/>
        <w:t xml:space="preserve">in extremely serious cases, this will be punished pursuant to the provisions of </w:t>
      </w:r>
      <w:r w:rsidR="00776D24" w:rsidRPr="008A1DB4">
        <w:rPr>
          <w:spacing w:val="-2"/>
          <w:sz w:val="18"/>
          <w:szCs w:val="18"/>
          <w:u w:val="single"/>
          <w:lang w:val="en-US"/>
        </w:rPr>
        <w:t>paragraph</w:t>
      </w:r>
      <w:r w:rsidR="00216773" w:rsidRPr="008A1DB4">
        <w:rPr>
          <w:spacing w:val="-2"/>
          <w:sz w:val="18"/>
          <w:szCs w:val="18"/>
          <w:u w:val="single"/>
          <w:lang w:val="en-US"/>
        </w:rPr>
        <w:t xml:space="preserve"> 4 of</w:t>
      </w:r>
      <w:r w:rsidRPr="008A1DB4">
        <w:rPr>
          <w:spacing w:val="-2"/>
          <w:sz w:val="18"/>
          <w:szCs w:val="18"/>
          <w:u w:val="single"/>
          <w:lang w:val="en-US"/>
        </w:rPr>
        <w:t xml:space="preserve"> [</w:t>
      </w:r>
      <w:r w:rsidR="00216773" w:rsidRPr="008A1DB4">
        <w:rPr>
          <w:spacing w:val="-2"/>
          <w:sz w:val="18"/>
          <w:szCs w:val="18"/>
          <w:u w:val="single"/>
          <w:lang w:val="en-US"/>
        </w:rPr>
        <w:t>a</w:t>
      </w:r>
      <w:r w:rsidR="00F36400" w:rsidRPr="008A1DB4">
        <w:rPr>
          <w:spacing w:val="-2"/>
          <w:sz w:val="18"/>
          <w:szCs w:val="18"/>
          <w:u w:val="single"/>
          <w:lang w:val="en-US"/>
        </w:rPr>
        <w:t>rticle</w:t>
      </w:r>
      <w:r w:rsidRPr="008A1DB4">
        <w:rPr>
          <w:spacing w:val="-2"/>
          <w:sz w:val="18"/>
          <w:szCs w:val="18"/>
          <w:u w:val="single"/>
          <w:lang w:val="en-US"/>
        </w:rPr>
        <w:t xml:space="preserve">] 151 </w:t>
      </w:r>
      <w:r w:rsidR="00216773" w:rsidRPr="008A1DB4">
        <w:rPr>
          <w:spacing w:val="-2"/>
          <w:sz w:val="18"/>
          <w:szCs w:val="18"/>
          <w:u w:val="single"/>
          <w:lang w:val="en-US"/>
        </w:rPr>
        <w:t xml:space="preserve">of this Law </w:t>
      </w:r>
      <w:r w:rsidR="009960DA" w:rsidRPr="008A1DB4">
        <w:rPr>
          <w:spacing w:val="-2"/>
          <w:sz w:val="18"/>
          <w:szCs w:val="18"/>
          <w:lang w:val="en-US"/>
        </w:rPr>
        <w:t>[…]</w:t>
      </w:r>
      <w:r w:rsidR="00216773" w:rsidRPr="008A1DB4">
        <w:rPr>
          <w:spacing w:val="-2"/>
          <w:sz w:val="18"/>
          <w:szCs w:val="18"/>
          <w:lang w:val="en-US"/>
        </w:rPr>
        <w:t>.</w:t>
      </w:r>
      <w:r w:rsidRPr="008A1DB4">
        <w:rPr>
          <w:rStyle w:val="FootnoteReference"/>
          <w:spacing w:val="-2"/>
          <w:sz w:val="18"/>
          <w:szCs w:val="18"/>
          <w:lang w:val="en-US"/>
        </w:rPr>
        <w:footnoteReference w:id="199"/>
      </w:r>
      <w:r w:rsidR="00216773" w:rsidRPr="008A1DB4">
        <w:rPr>
          <w:spacing w:val="-2"/>
          <w:sz w:val="18"/>
          <w:szCs w:val="18"/>
          <w:lang w:val="en-US"/>
        </w:rPr>
        <w:t xml:space="preserve"> </w:t>
      </w:r>
      <w:r w:rsidRPr="008A1DB4">
        <w:rPr>
          <w:spacing w:val="-2"/>
          <w:sz w:val="18"/>
          <w:szCs w:val="18"/>
          <w:lang w:val="en-US"/>
        </w:rPr>
        <w:t>(</w:t>
      </w:r>
      <w:r w:rsidR="00216773" w:rsidRPr="008A1DB4">
        <w:rPr>
          <w:spacing w:val="-2"/>
          <w:sz w:val="18"/>
          <w:szCs w:val="18"/>
          <w:lang w:val="en-US"/>
        </w:rPr>
        <w:t>Underlining added)</w:t>
      </w:r>
    </w:p>
    <w:p w14:paraId="280AE15B" w14:textId="77777777" w:rsidR="00B16E52" w:rsidRPr="008A1DB4" w:rsidRDefault="00B16E52" w:rsidP="00956E97">
      <w:pPr>
        <w:tabs>
          <w:tab w:val="left" w:pos="567"/>
        </w:tabs>
        <w:ind w:right="615"/>
        <w:rPr>
          <w:spacing w:val="-2"/>
          <w:szCs w:val="20"/>
          <w:lang w:val="en-US"/>
        </w:rPr>
      </w:pPr>
    </w:p>
    <w:p w14:paraId="44741D5A" w14:textId="6FAA7E77" w:rsidR="00B16E52" w:rsidRPr="008A1DB4" w:rsidRDefault="00216773" w:rsidP="00956E97">
      <w:pPr>
        <w:tabs>
          <w:tab w:val="left" w:pos="567"/>
        </w:tabs>
        <w:ind w:right="615"/>
        <w:rPr>
          <w:spacing w:val="-2"/>
          <w:szCs w:val="20"/>
          <w:lang w:val="en-US"/>
        </w:rPr>
      </w:pPr>
      <w:r w:rsidRPr="008A1DB4">
        <w:rPr>
          <w:spacing w:val="-2"/>
          <w:szCs w:val="20"/>
          <w:lang w:val="en-US"/>
        </w:rPr>
        <w:t xml:space="preserve">Then, </w:t>
      </w:r>
      <w:r w:rsidR="00776D24" w:rsidRPr="008A1DB4">
        <w:rPr>
          <w:spacing w:val="-2"/>
          <w:szCs w:val="20"/>
          <w:lang w:val="en-US"/>
        </w:rPr>
        <w:t>paragraph</w:t>
      </w:r>
      <w:r w:rsidR="00127339" w:rsidRPr="008A1DB4">
        <w:rPr>
          <w:spacing w:val="-2"/>
          <w:szCs w:val="20"/>
          <w:lang w:val="en-US"/>
        </w:rPr>
        <w:t xml:space="preserve"> 4</w:t>
      </w:r>
      <w:r w:rsidR="00B16E52" w:rsidRPr="008A1DB4">
        <w:rPr>
          <w:spacing w:val="-2"/>
          <w:szCs w:val="20"/>
          <w:lang w:val="en-US"/>
        </w:rPr>
        <w:t xml:space="preserve"> </w:t>
      </w:r>
      <w:r w:rsidR="0058668C" w:rsidRPr="008A1DB4">
        <w:rPr>
          <w:spacing w:val="-2"/>
          <w:szCs w:val="20"/>
          <w:lang w:val="en-US"/>
        </w:rPr>
        <w:t xml:space="preserve">of </w:t>
      </w:r>
      <w:r w:rsidR="00E022F9" w:rsidRPr="008A1DB4">
        <w:rPr>
          <w:spacing w:val="-2"/>
          <w:szCs w:val="20"/>
          <w:lang w:val="en-US"/>
        </w:rPr>
        <w:t>article 151</w:t>
      </w:r>
      <w:r w:rsidR="00B16E52" w:rsidRPr="008A1DB4">
        <w:rPr>
          <w:spacing w:val="-2"/>
          <w:szCs w:val="20"/>
          <w:lang w:val="en-US"/>
        </w:rPr>
        <w:t xml:space="preserve"> </w:t>
      </w:r>
      <w:r w:rsidRPr="008A1DB4">
        <w:rPr>
          <w:spacing w:val="-2"/>
          <w:szCs w:val="20"/>
          <w:lang w:val="en-US"/>
        </w:rPr>
        <w:t>stipulates</w:t>
      </w:r>
      <w:r w:rsidR="00B16E52" w:rsidRPr="008A1DB4">
        <w:rPr>
          <w:spacing w:val="-2"/>
          <w:szCs w:val="20"/>
          <w:lang w:val="en-US"/>
        </w:rPr>
        <w:t>:</w:t>
      </w:r>
    </w:p>
    <w:p w14:paraId="3596CF80" w14:textId="77777777" w:rsidR="00B16E52" w:rsidRPr="008A1DB4" w:rsidRDefault="00B16E52" w:rsidP="00956E97">
      <w:pPr>
        <w:tabs>
          <w:tab w:val="left" w:pos="567"/>
        </w:tabs>
        <w:ind w:right="615"/>
        <w:rPr>
          <w:spacing w:val="-2"/>
          <w:sz w:val="18"/>
          <w:szCs w:val="18"/>
          <w:u w:val="single"/>
          <w:lang w:val="en-US"/>
        </w:rPr>
      </w:pPr>
    </w:p>
    <w:p w14:paraId="75A3381D" w14:textId="5EA4C9AD" w:rsidR="00B16E52" w:rsidRPr="008A1DB4" w:rsidRDefault="00216773" w:rsidP="00956E97">
      <w:pPr>
        <w:tabs>
          <w:tab w:val="left" w:pos="567"/>
        </w:tabs>
        <w:ind w:left="567" w:right="615"/>
        <w:rPr>
          <w:spacing w:val="-2"/>
          <w:sz w:val="18"/>
          <w:szCs w:val="18"/>
          <w:lang w:val="en-US"/>
        </w:rPr>
      </w:pPr>
      <w:r w:rsidRPr="008A1DB4">
        <w:rPr>
          <w:spacing w:val="-2"/>
          <w:sz w:val="18"/>
          <w:szCs w:val="18"/>
          <w:lang w:val="en-US"/>
        </w:rPr>
        <w:t xml:space="preserve">In the case of the offenses mentioned in </w:t>
      </w:r>
      <w:r w:rsidR="00127339" w:rsidRPr="008A1DB4">
        <w:rPr>
          <w:spacing w:val="-2"/>
          <w:sz w:val="18"/>
          <w:szCs w:val="18"/>
          <w:lang w:val="en-US"/>
        </w:rPr>
        <w:t>paragraphs 1</w:t>
      </w:r>
      <w:r w:rsidR="00F36400" w:rsidRPr="008A1DB4">
        <w:rPr>
          <w:spacing w:val="-2"/>
          <w:sz w:val="18"/>
          <w:szCs w:val="18"/>
          <w:lang w:val="en-US"/>
        </w:rPr>
        <w:t xml:space="preserve"> and </w:t>
      </w:r>
      <w:r w:rsidR="00127339" w:rsidRPr="008A1DB4">
        <w:rPr>
          <w:spacing w:val="-2"/>
          <w:sz w:val="18"/>
          <w:szCs w:val="18"/>
          <w:lang w:val="en-US"/>
        </w:rPr>
        <w:t>2</w:t>
      </w:r>
      <w:r w:rsidR="00B16E52" w:rsidRPr="008A1DB4">
        <w:rPr>
          <w:spacing w:val="-2"/>
          <w:sz w:val="18"/>
          <w:szCs w:val="18"/>
          <w:lang w:val="en-US"/>
        </w:rPr>
        <w:t xml:space="preserve">, </w:t>
      </w:r>
      <w:r w:rsidRPr="008A1DB4">
        <w:rPr>
          <w:spacing w:val="-2"/>
          <w:sz w:val="18"/>
          <w:szCs w:val="18"/>
          <w:lang w:val="en-US"/>
        </w:rPr>
        <w:t xml:space="preserve">if they are extremely serious, </w:t>
      </w:r>
      <w:r w:rsidRPr="008A1DB4">
        <w:rPr>
          <w:spacing w:val="-2"/>
          <w:sz w:val="18"/>
          <w:szCs w:val="18"/>
          <w:u w:val="single"/>
          <w:lang w:val="en-US"/>
        </w:rPr>
        <w:t>they will be punished by life imprisonment or the death penalty</w:t>
      </w:r>
      <w:r w:rsidRPr="008A1DB4">
        <w:rPr>
          <w:spacing w:val="-2"/>
          <w:sz w:val="18"/>
          <w:szCs w:val="18"/>
          <w:lang w:val="en-US"/>
        </w:rPr>
        <w:t xml:space="preserve">, </w:t>
      </w:r>
      <w:r w:rsidR="00F36400" w:rsidRPr="008A1DB4">
        <w:rPr>
          <w:spacing w:val="-2"/>
          <w:sz w:val="18"/>
          <w:szCs w:val="18"/>
          <w:lang w:val="en-US"/>
        </w:rPr>
        <w:t>and</w:t>
      </w:r>
      <w:r w:rsidRPr="008A1DB4">
        <w:rPr>
          <w:spacing w:val="-2"/>
          <w:sz w:val="18"/>
          <w:szCs w:val="18"/>
          <w:lang w:val="en-US"/>
        </w:rPr>
        <w:t xml:space="preserve"> seizure of personal property.</w:t>
      </w:r>
      <w:r w:rsidR="00B16E52" w:rsidRPr="008A1DB4">
        <w:rPr>
          <w:rStyle w:val="FootnoteReference"/>
          <w:spacing w:val="-2"/>
          <w:lang w:val="en-US"/>
        </w:rPr>
        <w:footnoteReference w:id="200"/>
      </w:r>
      <w:r w:rsidR="00B16E52" w:rsidRPr="008A1DB4">
        <w:rPr>
          <w:spacing w:val="-2"/>
          <w:sz w:val="18"/>
          <w:szCs w:val="18"/>
          <w:lang w:val="en-US"/>
        </w:rPr>
        <w:t xml:space="preserve"> (</w:t>
      </w:r>
      <w:r w:rsidRPr="008A1DB4">
        <w:rPr>
          <w:spacing w:val="-2"/>
          <w:sz w:val="18"/>
          <w:szCs w:val="18"/>
          <w:lang w:val="en-US"/>
        </w:rPr>
        <w:t>U</w:t>
      </w:r>
      <w:r w:rsidR="00127339" w:rsidRPr="008A1DB4">
        <w:rPr>
          <w:spacing w:val="-2"/>
          <w:sz w:val="18"/>
          <w:szCs w:val="18"/>
          <w:lang w:val="en-US"/>
        </w:rPr>
        <w:t>nderlining added)</w:t>
      </w:r>
    </w:p>
    <w:p w14:paraId="11ACAFD7" w14:textId="77777777" w:rsidR="00B16E52" w:rsidRPr="008A1DB4" w:rsidRDefault="00B16E52" w:rsidP="00956E97">
      <w:pPr>
        <w:pStyle w:val="ListParagraph"/>
        <w:tabs>
          <w:tab w:val="left" w:pos="284"/>
          <w:tab w:val="left" w:pos="567"/>
        </w:tabs>
        <w:ind w:left="0"/>
        <w:rPr>
          <w:spacing w:val="-2"/>
          <w:lang w:val="en-US"/>
        </w:rPr>
      </w:pPr>
    </w:p>
    <w:p w14:paraId="28E295F6" w14:textId="147FCD30" w:rsidR="00B16E52" w:rsidRPr="008A1DB4" w:rsidRDefault="00127339" w:rsidP="00956E97">
      <w:pPr>
        <w:pStyle w:val="PrrafodeSentencia"/>
        <w:rPr>
          <w:spacing w:val="-2"/>
          <w:lang w:val="en-US"/>
        </w:rPr>
      </w:pPr>
      <w:bookmarkStart w:id="703" w:name="_Ref429564949"/>
      <w:r w:rsidRPr="008A1DB4">
        <w:rPr>
          <w:spacing w:val="-2"/>
          <w:lang w:val="en-US"/>
        </w:rPr>
        <w:t>According to the</w:t>
      </w:r>
      <w:r w:rsidR="00B16E52" w:rsidRPr="008A1DB4">
        <w:rPr>
          <w:spacing w:val="-2"/>
          <w:lang w:val="en-US"/>
        </w:rPr>
        <w:t xml:space="preserve"> </w:t>
      </w:r>
      <w:r w:rsidRPr="008A1DB4">
        <w:rPr>
          <w:spacing w:val="-2"/>
          <w:lang w:val="en-US"/>
        </w:rPr>
        <w:t>expert witness</w:t>
      </w:r>
      <w:r w:rsidR="00B16E52" w:rsidRPr="008A1DB4">
        <w:rPr>
          <w:spacing w:val="-2"/>
          <w:lang w:val="en-US"/>
        </w:rPr>
        <w:t xml:space="preserve"> </w:t>
      </w:r>
      <w:r w:rsidRPr="008A1DB4">
        <w:rPr>
          <w:spacing w:val="-2"/>
          <w:lang w:val="en-US"/>
        </w:rPr>
        <w:t>in Chinese criminal justice</w:t>
      </w:r>
      <w:r w:rsidR="00B16E52" w:rsidRPr="008A1DB4">
        <w:rPr>
          <w:spacing w:val="-2"/>
          <w:lang w:val="en-US"/>
        </w:rPr>
        <w:t xml:space="preserve">, </w:t>
      </w:r>
      <w:proofErr w:type="spellStart"/>
      <w:r w:rsidR="00B16E52" w:rsidRPr="008A1DB4">
        <w:rPr>
          <w:spacing w:val="-2"/>
          <w:lang w:val="en-US"/>
        </w:rPr>
        <w:t>Bingzhi</w:t>
      </w:r>
      <w:proofErr w:type="spellEnd"/>
      <w:r w:rsidR="00B16E52" w:rsidRPr="008A1DB4">
        <w:rPr>
          <w:spacing w:val="-2"/>
          <w:lang w:val="en-US"/>
        </w:rPr>
        <w:t xml:space="preserve"> Zhao, </w:t>
      </w:r>
      <w:r w:rsidRPr="008A1DB4">
        <w:rPr>
          <w:spacing w:val="-2"/>
          <w:lang w:val="en-US"/>
        </w:rPr>
        <w:t>“[b</w:t>
      </w:r>
      <w:r w:rsidR="00B16E52" w:rsidRPr="008A1DB4">
        <w:rPr>
          <w:spacing w:val="-2"/>
          <w:lang w:val="en-US"/>
        </w:rPr>
        <w:t>]</w:t>
      </w:r>
      <w:proofErr w:type="spellStart"/>
      <w:r w:rsidRPr="008A1DB4">
        <w:rPr>
          <w:spacing w:val="-2"/>
          <w:lang w:val="en-US"/>
        </w:rPr>
        <w:t>efore</w:t>
      </w:r>
      <w:proofErr w:type="spellEnd"/>
      <w:r w:rsidR="00BB44A4" w:rsidRPr="008A1DB4">
        <w:rPr>
          <w:spacing w:val="-2"/>
          <w:lang w:val="en-US"/>
        </w:rPr>
        <w:t xml:space="preserve"> the </w:t>
      </w:r>
      <w:r w:rsidR="00AB4E6D" w:rsidRPr="008A1DB4">
        <w:rPr>
          <w:spacing w:val="-2"/>
          <w:lang w:val="en-US"/>
        </w:rPr>
        <w:t>eighth amendment</w:t>
      </w:r>
      <w:r w:rsidR="00B16E52" w:rsidRPr="008A1DB4">
        <w:rPr>
          <w:spacing w:val="-2"/>
          <w:lang w:val="en-US"/>
        </w:rPr>
        <w:t xml:space="preserve">, </w:t>
      </w:r>
      <w:r w:rsidR="00216773" w:rsidRPr="008A1DB4">
        <w:rPr>
          <w:spacing w:val="-2"/>
          <w:lang w:val="en-US"/>
        </w:rPr>
        <w:t>a trial against</w:t>
      </w:r>
      <w:r w:rsidR="00B16E52" w:rsidRPr="008A1DB4">
        <w:rPr>
          <w:spacing w:val="-2"/>
          <w:lang w:val="en-US"/>
        </w:rPr>
        <w:t xml:space="preserve"> Wong Ho Wing </w:t>
      </w:r>
      <w:r w:rsidR="00216773" w:rsidRPr="008A1DB4">
        <w:rPr>
          <w:spacing w:val="-2"/>
          <w:lang w:val="en-US"/>
        </w:rPr>
        <w:t xml:space="preserve">for his offense, would fall within the third category that ranges from more than 10 years’ imprisonment to life imprisonment or </w:t>
      </w:r>
      <w:r w:rsidR="00A3310A" w:rsidRPr="008A1DB4">
        <w:rPr>
          <w:spacing w:val="-2"/>
          <w:lang w:val="en-US"/>
        </w:rPr>
        <w:t>the death penalty</w:t>
      </w:r>
      <w:r w:rsidR="00216773" w:rsidRPr="008A1DB4">
        <w:rPr>
          <w:spacing w:val="-2"/>
          <w:lang w:val="en-US"/>
        </w:rPr>
        <w:t>.</w:t>
      </w:r>
      <w:r w:rsidR="00B16E52" w:rsidRPr="008A1DB4">
        <w:rPr>
          <w:spacing w:val="-2"/>
          <w:lang w:val="en-US"/>
        </w:rPr>
        <w:t>”</w:t>
      </w:r>
      <w:r w:rsidR="00B16E52" w:rsidRPr="008A1DB4">
        <w:rPr>
          <w:rStyle w:val="FootnoteReference"/>
          <w:spacing w:val="-2"/>
          <w:lang w:val="en-US"/>
        </w:rPr>
        <w:footnoteReference w:id="201"/>
      </w:r>
      <w:r w:rsidR="00216773" w:rsidRPr="008A1DB4">
        <w:rPr>
          <w:spacing w:val="-2"/>
          <w:lang w:val="en-US"/>
        </w:rPr>
        <w:t xml:space="preserve"> However, </w:t>
      </w:r>
      <w:r w:rsidRPr="008A1DB4">
        <w:rPr>
          <w:spacing w:val="-2"/>
          <w:lang w:val="en-US"/>
        </w:rPr>
        <w:t>in May</w:t>
      </w:r>
      <w:r w:rsidR="00216773" w:rsidRPr="008A1DB4">
        <w:rPr>
          <w:spacing w:val="-2"/>
          <w:lang w:val="en-US"/>
        </w:rPr>
        <w:t xml:space="preserve"> 2011, </w:t>
      </w:r>
      <w:r w:rsidR="00AB4E6D" w:rsidRPr="008A1DB4">
        <w:rPr>
          <w:spacing w:val="-2"/>
          <w:lang w:val="en-US"/>
        </w:rPr>
        <w:t>the eighth amendment</w:t>
      </w:r>
      <w:r w:rsidR="00B16E52" w:rsidRPr="008A1DB4">
        <w:rPr>
          <w:rFonts w:cs="Arial"/>
          <w:spacing w:val="-2"/>
          <w:lang w:val="en-US"/>
        </w:rPr>
        <w:t xml:space="preserve"> </w:t>
      </w:r>
      <w:r w:rsidR="00216773" w:rsidRPr="008A1DB4">
        <w:rPr>
          <w:rFonts w:cs="Arial"/>
          <w:spacing w:val="-2"/>
          <w:lang w:val="en-US"/>
        </w:rPr>
        <w:t>to the</w:t>
      </w:r>
      <w:r w:rsidR="00D200D7" w:rsidRPr="008A1DB4">
        <w:rPr>
          <w:rFonts w:cs="Arial"/>
          <w:spacing w:val="-2"/>
          <w:lang w:val="en-US"/>
        </w:rPr>
        <w:t xml:space="preserve"> </w:t>
      </w:r>
      <w:r w:rsidR="001E7113" w:rsidRPr="008A1DB4">
        <w:rPr>
          <w:rFonts w:cs="Arial"/>
          <w:spacing w:val="-2"/>
          <w:lang w:val="en-US"/>
        </w:rPr>
        <w:t>Criminal Code</w:t>
      </w:r>
      <w:r w:rsidR="002D1CFC" w:rsidRPr="008A1DB4">
        <w:rPr>
          <w:rFonts w:cs="Arial"/>
          <w:spacing w:val="-2"/>
          <w:lang w:val="en-US"/>
        </w:rPr>
        <w:t xml:space="preserve"> of the </w:t>
      </w:r>
      <w:r w:rsidR="00FE5E87" w:rsidRPr="008A1DB4">
        <w:rPr>
          <w:rFonts w:cs="Arial"/>
          <w:spacing w:val="-2"/>
          <w:lang w:val="en-US"/>
        </w:rPr>
        <w:t>People’s Republic of China</w:t>
      </w:r>
      <w:r w:rsidR="00D200D7" w:rsidRPr="008A1DB4">
        <w:rPr>
          <w:rFonts w:cs="Arial"/>
          <w:spacing w:val="-2"/>
          <w:lang w:val="en-US"/>
        </w:rPr>
        <w:t xml:space="preserve">, </w:t>
      </w:r>
      <w:r w:rsidR="00216773" w:rsidRPr="008A1DB4">
        <w:rPr>
          <w:rFonts w:cs="Arial"/>
          <w:spacing w:val="-2"/>
          <w:lang w:val="en-US"/>
        </w:rPr>
        <w:t>promulgated</w:t>
      </w:r>
      <w:r w:rsidR="00B16E52" w:rsidRPr="008A1DB4">
        <w:rPr>
          <w:rFonts w:cs="Arial"/>
          <w:spacing w:val="-2"/>
          <w:lang w:val="en-US"/>
        </w:rPr>
        <w:t xml:space="preserve"> </w:t>
      </w:r>
      <w:r w:rsidRPr="008A1DB4">
        <w:rPr>
          <w:rFonts w:cs="Arial"/>
          <w:spacing w:val="-2"/>
          <w:lang w:val="en-US"/>
        </w:rPr>
        <w:t xml:space="preserve">in February </w:t>
      </w:r>
      <w:r w:rsidR="00B16E52" w:rsidRPr="008A1DB4">
        <w:rPr>
          <w:rFonts w:cs="Arial"/>
          <w:spacing w:val="-2"/>
          <w:lang w:val="en-US"/>
        </w:rPr>
        <w:t>2011</w:t>
      </w:r>
      <w:r w:rsidR="00216773" w:rsidRPr="008A1DB4">
        <w:rPr>
          <w:rFonts w:cs="Arial"/>
          <w:spacing w:val="-2"/>
          <w:lang w:val="en-US"/>
        </w:rPr>
        <w:t>, came into force</w:t>
      </w:r>
      <w:r w:rsidRPr="008A1DB4">
        <w:rPr>
          <w:rFonts w:cs="Arial"/>
          <w:spacing w:val="-2"/>
          <w:lang w:val="en-US"/>
        </w:rPr>
        <w:t>,</w:t>
      </w:r>
      <w:r w:rsidR="00B16E52" w:rsidRPr="008A1DB4">
        <w:rPr>
          <w:rStyle w:val="FootnoteReference"/>
          <w:spacing w:val="-2"/>
          <w:lang w:val="en-US"/>
        </w:rPr>
        <w:footnoteReference w:id="202"/>
      </w:r>
      <w:r w:rsidR="00B16E52" w:rsidRPr="008A1DB4">
        <w:rPr>
          <w:rFonts w:cs="Arial"/>
          <w:spacing w:val="-2"/>
          <w:lang w:val="en-US"/>
        </w:rPr>
        <w:t xml:space="preserve"> </w:t>
      </w:r>
      <w:r w:rsidR="00216773" w:rsidRPr="008A1DB4">
        <w:rPr>
          <w:rFonts w:cs="Arial"/>
          <w:spacing w:val="-2"/>
          <w:lang w:val="en-US"/>
        </w:rPr>
        <w:t xml:space="preserve">and this eliminated the possibility of the death </w:t>
      </w:r>
      <w:r w:rsidR="00593E5B">
        <w:rPr>
          <w:rFonts w:cs="Arial"/>
          <w:spacing w:val="-2"/>
          <w:lang w:val="en-US"/>
        </w:rPr>
        <w:t>penalty</w:t>
      </w:r>
      <w:r w:rsidR="00216773" w:rsidRPr="008A1DB4">
        <w:rPr>
          <w:rFonts w:cs="Arial"/>
          <w:spacing w:val="-2"/>
          <w:lang w:val="en-US"/>
        </w:rPr>
        <w:t xml:space="preserve"> for </w:t>
      </w:r>
      <w:r w:rsidRPr="008A1DB4">
        <w:rPr>
          <w:rFonts w:cs="Arial"/>
          <w:spacing w:val="-2"/>
          <w:lang w:val="en-US"/>
        </w:rPr>
        <w:t>smuggling ordinary merchandise</w:t>
      </w:r>
      <w:r w:rsidR="00B16E52" w:rsidRPr="008A1DB4">
        <w:rPr>
          <w:rFonts w:cs="Arial"/>
          <w:spacing w:val="-2"/>
          <w:lang w:val="en-US"/>
        </w:rPr>
        <w:t xml:space="preserve"> </w:t>
      </w:r>
      <w:r w:rsidR="00216773" w:rsidRPr="008A1DB4">
        <w:rPr>
          <w:rFonts w:cs="Arial"/>
          <w:spacing w:val="-2"/>
          <w:lang w:val="en-US"/>
        </w:rPr>
        <w:t xml:space="preserve">for which </w:t>
      </w:r>
      <w:r w:rsidR="00B43F84" w:rsidRPr="008A1DB4">
        <w:rPr>
          <w:rFonts w:cs="Arial"/>
          <w:spacing w:val="-2"/>
          <w:lang w:val="en-US"/>
        </w:rPr>
        <w:t>Wong</w:t>
      </w:r>
      <w:r w:rsidR="00B16E52" w:rsidRPr="008A1DB4">
        <w:rPr>
          <w:rFonts w:cs="Arial"/>
          <w:spacing w:val="-2"/>
          <w:lang w:val="en-US"/>
        </w:rPr>
        <w:t xml:space="preserve"> Ho Wing</w:t>
      </w:r>
      <w:r w:rsidR="00216773" w:rsidRPr="008A1DB4">
        <w:rPr>
          <w:rFonts w:cs="Arial"/>
          <w:spacing w:val="-2"/>
          <w:lang w:val="en-US"/>
        </w:rPr>
        <w:t>’s extradition had been requested.</w:t>
      </w:r>
      <w:r w:rsidR="00B16E52" w:rsidRPr="008A1DB4">
        <w:rPr>
          <w:rStyle w:val="FootnoteReference"/>
          <w:rFonts w:cs="Arial"/>
          <w:spacing w:val="-2"/>
          <w:lang w:val="en-US"/>
        </w:rPr>
        <w:footnoteReference w:id="203"/>
      </w:r>
      <w:bookmarkEnd w:id="703"/>
      <w:r w:rsidR="00B16E52" w:rsidRPr="008A1DB4">
        <w:rPr>
          <w:rFonts w:cs="Arial"/>
          <w:spacing w:val="-2"/>
          <w:lang w:val="en-US"/>
        </w:rPr>
        <w:t xml:space="preserve"> </w:t>
      </w:r>
    </w:p>
    <w:p w14:paraId="179FC374" w14:textId="77777777" w:rsidR="00B16E52" w:rsidRPr="008A1DB4" w:rsidRDefault="00B16E52" w:rsidP="00956E97">
      <w:pPr>
        <w:pStyle w:val="ListParagraph"/>
        <w:tabs>
          <w:tab w:val="left" w:pos="0"/>
          <w:tab w:val="left" w:pos="284"/>
          <w:tab w:val="left" w:pos="567"/>
        </w:tabs>
        <w:ind w:left="0"/>
        <w:rPr>
          <w:spacing w:val="-2"/>
          <w:szCs w:val="20"/>
          <w:lang w:val="en-US"/>
        </w:rPr>
      </w:pPr>
    </w:p>
    <w:p w14:paraId="6719FEBF" w14:textId="6F74FE44" w:rsidR="00B16E52" w:rsidRPr="008A1DB4" w:rsidRDefault="00216773" w:rsidP="00956E97">
      <w:pPr>
        <w:pStyle w:val="PrrafodeSentencia"/>
        <w:rPr>
          <w:spacing w:val="-2"/>
          <w:lang w:val="en-US"/>
        </w:rPr>
      </w:pPr>
      <w:r w:rsidRPr="008A1DB4">
        <w:rPr>
          <w:spacing w:val="-2"/>
          <w:lang w:val="en-US"/>
        </w:rPr>
        <w:t>The pertinent part of this amendment establishes</w:t>
      </w:r>
      <w:r w:rsidR="00B16E52" w:rsidRPr="008A1DB4">
        <w:rPr>
          <w:spacing w:val="-2"/>
          <w:lang w:val="en-US"/>
        </w:rPr>
        <w:t>:</w:t>
      </w:r>
    </w:p>
    <w:p w14:paraId="6B4EDBC5" w14:textId="77777777" w:rsidR="00B16E52" w:rsidRPr="008A1DB4" w:rsidRDefault="00B16E52" w:rsidP="00956E97">
      <w:pPr>
        <w:pStyle w:val="ListParagraph"/>
        <w:tabs>
          <w:tab w:val="left" w:pos="0"/>
          <w:tab w:val="left" w:pos="284"/>
          <w:tab w:val="left" w:pos="567"/>
        </w:tabs>
        <w:ind w:left="0"/>
        <w:rPr>
          <w:rFonts w:cs="Arial"/>
          <w:spacing w:val="-2"/>
          <w:sz w:val="18"/>
          <w:szCs w:val="18"/>
          <w:lang w:val="en-US"/>
        </w:rPr>
      </w:pPr>
    </w:p>
    <w:p w14:paraId="4B521478" w14:textId="5049DF14" w:rsidR="00B16E52" w:rsidRPr="008A1DB4" w:rsidRDefault="00216773" w:rsidP="00956E97">
      <w:pPr>
        <w:autoSpaceDE w:val="0"/>
        <w:autoSpaceDN w:val="0"/>
        <w:adjustRightInd w:val="0"/>
        <w:ind w:left="567" w:right="571"/>
        <w:rPr>
          <w:rFonts w:cs="Arial"/>
          <w:spacing w:val="-2"/>
          <w:sz w:val="18"/>
          <w:szCs w:val="18"/>
          <w:lang w:val="en-US"/>
        </w:rPr>
      </w:pPr>
      <w:r w:rsidRPr="008A1DB4">
        <w:rPr>
          <w:rFonts w:cs="Arial"/>
          <w:spacing w:val="-2"/>
          <w:sz w:val="18"/>
          <w:szCs w:val="18"/>
          <w:lang w:val="en-US"/>
        </w:rPr>
        <w:t>Amendments to the Offense of Smuggling</w:t>
      </w:r>
    </w:p>
    <w:p w14:paraId="26E81BD5" w14:textId="42018312" w:rsidR="00B16E52" w:rsidRPr="008A1DB4" w:rsidRDefault="00216773" w:rsidP="00956E97">
      <w:pPr>
        <w:autoSpaceDE w:val="0"/>
        <w:autoSpaceDN w:val="0"/>
        <w:adjustRightInd w:val="0"/>
        <w:ind w:left="567" w:right="571"/>
        <w:rPr>
          <w:rFonts w:cs="Arial"/>
          <w:spacing w:val="-2"/>
          <w:sz w:val="18"/>
          <w:szCs w:val="18"/>
          <w:lang w:val="en-US"/>
        </w:rPr>
      </w:pPr>
      <w:r w:rsidRPr="008A1DB4">
        <w:rPr>
          <w:rFonts w:cs="Arial"/>
          <w:spacing w:val="-2"/>
          <w:sz w:val="18"/>
          <w:szCs w:val="18"/>
          <w:lang w:val="en-US"/>
        </w:rPr>
        <w:t>Section</w:t>
      </w:r>
      <w:r w:rsidR="00B16E52" w:rsidRPr="008A1DB4">
        <w:rPr>
          <w:rFonts w:cs="Arial"/>
          <w:spacing w:val="-2"/>
          <w:sz w:val="18"/>
          <w:szCs w:val="18"/>
          <w:lang w:val="en-US"/>
        </w:rPr>
        <w:t xml:space="preserve"> XXVII</w:t>
      </w:r>
    </w:p>
    <w:p w14:paraId="318084DC" w14:textId="2F4DFCEF" w:rsidR="00B16E52" w:rsidRPr="008A1DB4" w:rsidRDefault="00216773" w:rsidP="00956E97">
      <w:pPr>
        <w:autoSpaceDE w:val="0"/>
        <w:autoSpaceDN w:val="0"/>
        <w:adjustRightInd w:val="0"/>
        <w:ind w:left="567" w:right="571"/>
        <w:rPr>
          <w:rFonts w:cs="Arial"/>
          <w:spacing w:val="-2"/>
          <w:sz w:val="18"/>
          <w:szCs w:val="18"/>
          <w:lang w:val="en-US"/>
        </w:rPr>
      </w:pPr>
      <w:r w:rsidRPr="008A1DB4">
        <w:rPr>
          <w:rFonts w:cs="Arial"/>
          <w:spacing w:val="-2"/>
          <w:sz w:val="18"/>
          <w:szCs w:val="18"/>
          <w:lang w:val="en-US"/>
        </w:rPr>
        <w:t xml:space="preserve">The first clause of </w:t>
      </w:r>
      <w:r w:rsidR="00E022F9" w:rsidRPr="008A1DB4">
        <w:rPr>
          <w:rFonts w:cs="Arial"/>
          <w:spacing w:val="-2"/>
          <w:sz w:val="18"/>
          <w:szCs w:val="18"/>
          <w:lang w:val="en-US"/>
        </w:rPr>
        <w:t>article 153</w:t>
      </w:r>
      <w:r w:rsidR="00B16E52" w:rsidRPr="008A1DB4">
        <w:rPr>
          <w:rFonts w:cs="Arial"/>
          <w:spacing w:val="-2"/>
          <w:sz w:val="18"/>
          <w:szCs w:val="18"/>
          <w:lang w:val="en-US"/>
        </w:rPr>
        <w:t xml:space="preserve"> </w:t>
      </w:r>
      <w:r w:rsidR="001E7113" w:rsidRPr="008A1DB4">
        <w:rPr>
          <w:rFonts w:cs="Arial"/>
          <w:spacing w:val="-2"/>
          <w:sz w:val="18"/>
          <w:szCs w:val="18"/>
          <w:lang w:val="en-US"/>
        </w:rPr>
        <w:t>of the Criminal Code</w:t>
      </w:r>
      <w:r w:rsidR="00B16E52" w:rsidRPr="008A1DB4">
        <w:rPr>
          <w:rFonts w:cs="Arial"/>
          <w:spacing w:val="-2"/>
          <w:sz w:val="18"/>
          <w:szCs w:val="18"/>
          <w:lang w:val="en-US"/>
        </w:rPr>
        <w:t xml:space="preserve"> </w:t>
      </w:r>
      <w:r w:rsidRPr="008A1DB4">
        <w:rPr>
          <w:rFonts w:cs="Arial"/>
          <w:spacing w:val="-2"/>
          <w:sz w:val="18"/>
          <w:szCs w:val="18"/>
          <w:lang w:val="en-US"/>
        </w:rPr>
        <w:t xml:space="preserve">is amended as follows: Anyone who shall smuggle </w:t>
      </w:r>
      <w:r w:rsidR="00947926" w:rsidRPr="008A1DB4">
        <w:rPr>
          <w:rFonts w:cs="Arial"/>
          <w:spacing w:val="-2"/>
          <w:sz w:val="18"/>
          <w:szCs w:val="18"/>
          <w:lang w:val="en-US"/>
        </w:rPr>
        <w:t>merchandise</w:t>
      </w:r>
      <w:r w:rsidRPr="008A1DB4">
        <w:rPr>
          <w:rFonts w:cs="Arial"/>
          <w:spacing w:val="-2"/>
          <w:sz w:val="18"/>
          <w:szCs w:val="18"/>
          <w:lang w:val="en-US"/>
        </w:rPr>
        <w:t xml:space="preserve"> and objects that are not mentioned in</w:t>
      </w:r>
      <w:r w:rsidR="00B16E52" w:rsidRPr="008A1DB4">
        <w:rPr>
          <w:rFonts w:cs="Arial"/>
          <w:spacing w:val="-2"/>
          <w:sz w:val="18"/>
          <w:szCs w:val="18"/>
          <w:lang w:val="en-US"/>
        </w:rPr>
        <w:t xml:space="preserve"> </w:t>
      </w:r>
      <w:r w:rsidRPr="008A1DB4">
        <w:rPr>
          <w:rFonts w:cs="Arial"/>
          <w:spacing w:val="-2"/>
          <w:sz w:val="18"/>
          <w:szCs w:val="18"/>
          <w:lang w:val="en-US"/>
        </w:rPr>
        <w:t>a</w:t>
      </w:r>
      <w:r w:rsidR="00F36400" w:rsidRPr="008A1DB4">
        <w:rPr>
          <w:rFonts w:cs="Arial"/>
          <w:spacing w:val="-2"/>
          <w:sz w:val="18"/>
          <w:szCs w:val="18"/>
          <w:lang w:val="en-US"/>
        </w:rPr>
        <w:t>rticle</w:t>
      </w:r>
      <w:r w:rsidR="00B16E52" w:rsidRPr="008A1DB4">
        <w:rPr>
          <w:rFonts w:cs="Arial"/>
          <w:spacing w:val="-2"/>
          <w:sz w:val="18"/>
          <w:szCs w:val="18"/>
          <w:lang w:val="en-US"/>
        </w:rPr>
        <w:t>s 151, 152</w:t>
      </w:r>
      <w:r w:rsidR="00F36400" w:rsidRPr="008A1DB4">
        <w:rPr>
          <w:rFonts w:cs="Arial"/>
          <w:spacing w:val="-2"/>
          <w:sz w:val="18"/>
          <w:szCs w:val="18"/>
          <w:lang w:val="en-US"/>
        </w:rPr>
        <w:t xml:space="preserve"> and </w:t>
      </w:r>
      <w:r w:rsidR="00B16E52" w:rsidRPr="008A1DB4">
        <w:rPr>
          <w:rFonts w:cs="Arial"/>
          <w:spacing w:val="-2"/>
          <w:sz w:val="18"/>
          <w:szCs w:val="18"/>
          <w:lang w:val="en-US"/>
        </w:rPr>
        <w:t xml:space="preserve">347 </w:t>
      </w:r>
      <w:r w:rsidRPr="008A1DB4">
        <w:rPr>
          <w:rFonts w:cs="Arial"/>
          <w:spacing w:val="-2"/>
          <w:sz w:val="18"/>
          <w:szCs w:val="18"/>
          <w:lang w:val="en-US"/>
        </w:rPr>
        <w:t>of this law shall be punished pursuant to the following provisions, according to the severity of the case:</w:t>
      </w:r>
    </w:p>
    <w:p w14:paraId="2A75B487" w14:textId="77777777" w:rsidR="00B16E52" w:rsidRPr="008A1DB4" w:rsidRDefault="00B16E52" w:rsidP="00956E97">
      <w:pPr>
        <w:autoSpaceDE w:val="0"/>
        <w:autoSpaceDN w:val="0"/>
        <w:adjustRightInd w:val="0"/>
        <w:ind w:left="567" w:right="571"/>
        <w:rPr>
          <w:rFonts w:cs="Arial"/>
          <w:spacing w:val="-2"/>
          <w:sz w:val="18"/>
          <w:szCs w:val="18"/>
          <w:lang w:val="en-US"/>
        </w:rPr>
      </w:pPr>
    </w:p>
    <w:p w14:paraId="009B7943" w14:textId="77777777" w:rsidR="00B16E52" w:rsidRPr="008A1DB4" w:rsidRDefault="00B16E52" w:rsidP="00956E97">
      <w:pPr>
        <w:autoSpaceDE w:val="0"/>
        <w:autoSpaceDN w:val="0"/>
        <w:adjustRightInd w:val="0"/>
        <w:ind w:left="567" w:right="571"/>
        <w:rPr>
          <w:rFonts w:cs="Arial"/>
          <w:spacing w:val="-2"/>
          <w:sz w:val="18"/>
          <w:szCs w:val="18"/>
          <w:lang w:val="en-US"/>
        </w:rPr>
      </w:pPr>
      <w:r w:rsidRPr="008A1DB4">
        <w:rPr>
          <w:rFonts w:cs="Arial"/>
          <w:spacing w:val="-2"/>
          <w:sz w:val="18"/>
          <w:szCs w:val="18"/>
          <w:lang w:val="en-US"/>
        </w:rPr>
        <w:t>[…]</w:t>
      </w:r>
    </w:p>
    <w:p w14:paraId="6787A720" w14:textId="77777777" w:rsidR="00B16E52" w:rsidRPr="008A1DB4" w:rsidRDefault="00B16E52" w:rsidP="00956E97">
      <w:pPr>
        <w:autoSpaceDE w:val="0"/>
        <w:autoSpaceDN w:val="0"/>
        <w:adjustRightInd w:val="0"/>
        <w:ind w:left="567" w:right="571"/>
        <w:rPr>
          <w:rFonts w:cs="Times New Roman"/>
          <w:iCs/>
          <w:spacing w:val="-2"/>
          <w:sz w:val="18"/>
          <w:szCs w:val="18"/>
          <w:lang w:val="en-US"/>
        </w:rPr>
      </w:pPr>
    </w:p>
    <w:p w14:paraId="5A2361C6" w14:textId="5298D5DF" w:rsidR="00B16E52" w:rsidRPr="008A1DB4" w:rsidRDefault="00B16E52" w:rsidP="00956E97">
      <w:pPr>
        <w:tabs>
          <w:tab w:val="left" w:pos="567"/>
        </w:tabs>
        <w:ind w:left="567" w:right="571"/>
        <w:rPr>
          <w:spacing w:val="-2"/>
          <w:sz w:val="18"/>
          <w:szCs w:val="18"/>
          <w:lang w:val="en-US"/>
        </w:rPr>
      </w:pPr>
      <w:r w:rsidRPr="008A1DB4">
        <w:rPr>
          <w:rFonts w:cs="Times New Roman"/>
          <w:iCs/>
          <w:spacing w:val="-2"/>
          <w:sz w:val="18"/>
          <w:szCs w:val="18"/>
          <w:lang w:val="en-US"/>
        </w:rPr>
        <w:t>c</w:t>
      </w:r>
      <w:r w:rsidRPr="008A1DB4">
        <w:rPr>
          <w:rFonts w:cs="Times New Roman"/>
          <w:i/>
          <w:iCs/>
          <w:spacing w:val="-2"/>
          <w:sz w:val="18"/>
          <w:szCs w:val="18"/>
          <w:lang w:val="en-US"/>
        </w:rPr>
        <w:t xml:space="preserve">. </w:t>
      </w:r>
      <w:r w:rsidRPr="008A1DB4">
        <w:rPr>
          <w:rFonts w:cs="Arial"/>
          <w:spacing w:val="-2"/>
          <w:sz w:val="18"/>
          <w:szCs w:val="18"/>
          <w:lang w:val="en-US"/>
        </w:rPr>
        <w:t>A</w:t>
      </w:r>
      <w:r w:rsidR="00216773" w:rsidRPr="008A1DB4">
        <w:rPr>
          <w:rFonts w:cs="Arial"/>
          <w:spacing w:val="-2"/>
          <w:sz w:val="18"/>
          <w:szCs w:val="18"/>
          <w:lang w:val="en-US"/>
        </w:rPr>
        <w:t xml:space="preserve">nyone who shall smuggle </w:t>
      </w:r>
      <w:r w:rsidR="00947926" w:rsidRPr="008A1DB4">
        <w:rPr>
          <w:rFonts w:cs="Arial"/>
          <w:spacing w:val="-2"/>
          <w:sz w:val="18"/>
          <w:szCs w:val="18"/>
          <w:lang w:val="en-US"/>
        </w:rPr>
        <w:t>merchandise</w:t>
      </w:r>
      <w:r w:rsidR="00216773" w:rsidRPr="008A1DB4">
        <w:rPr>
          <w:rFonts w:cs="Arial"/>
          <w:spacing w:val="-2"/>
          <w:sz w:val="18"/>
          <w:szCs w:val="18"/>
          <w:lang w:val="en-US"/>
        </w:rPr>
        <w:t xml:space="preserve"> and objects where the amount of the duty evaded is extremely high or in very serious </w:t>
      </w:r>
      <w:proofErr w:type="gramStart"/>
      <w:r w:rsidR="00216773" w:rsidRPr="008A1DB4">
        <w:rPr>
          <w:rFonts w:cs="Arial"/>
          <w:spacing w:val="-2"/>
          <w:sz w:val="18"/>
          <w:szCs w:val="18"/>
          <w:lang w:val="en-US"/>
        </w:rPr>
        <w:t>cases,</w:t>
      </w:r>
      <w:proofErr w:type="gramEnd"/>
      <w:r w:rsidR="00216773" w:rsidRPr="008A1DB4">
        <w:rPr>
          <w:rFonts w:cs="Arial"/>
          <w:spacing w:val="-2"/>
          <w:sz w:val="18"/>
          <w:szCs w:val="18"/>
          <w:lang w:val="en-US"/>
        </w:rPr>
        <w:t xml:space="preserve"> </w:t>
      </w:r>
      <w:r w:rsidR="00216773" w:rsidRPr="008A1DB4">
        <w:rPr>
          <w:rFonts w:cs="Arial"/>
          <w:spacing w:val="-2"/>
          <w:sz w:val="18"/>
          <w:szCs w:val="18"/>
          <w:u w:val="single"/>
          <w:lang w:val="en-US"/>
        </w:rPr>
        <w:t>shall be punished by more than 10 years’ imprisonment or life imprisonment</w:t>
      </w:r>
      <w:r w:rsidR="00216773" w:rsidRPr="008A1DB4">
        <w:rPr>
          <w:rFonts w:cs="Arial"/>
          <w:spacing w:val="-2"/>
          <w:sz w:val="18"/>
          <w:szCs w:val="18"/>
          <w:lang w:val="en-US"/>
        </w:rPr>
        <w:t xml:space="preserve"> and fines of </w:t>
      </w:r>
      <w:r w:rsidR="00B702C1">
        <w:rPr>
          <w:rFonts w:cs="Arial"/>
          <w:spacing w:val="-2"/>
          <w:sz w:val="18"/>
          <w:szCs w:val="18"/>
          <w:lang w:val="en-US"/>
        </w:rPr>
        <w:t>from</w:t>
      </w:r>
      <w:r w:rsidR="00216773" w:rsidRPr="008A1DB4">
        <w:rPr>
          <w:rFonts w:cs="Arial"/>
          <w:spacing w:val="-2"/>
          <w:sz w:val="18"/>
          <w:szCs w:val="18"/>
          <w:lang w:val="en-US"/>
        </w:rPr>
        <w:t xml:space="preserve"> 100% </w:t>
      </w:r>
      <w:r w:rsidR="00B702C1">
        <w:rPr>
          <w:rFonts w:cs="Arial"/>
          <w:spacing w:val="-2"/>
          <w:sz w:val="18"/>
          <w:szCs w:val="18"/>
          <w:lang w:val="en-US"/>
        </w:rPr>
        <w:t>to</w:t>
      </w:r>
      <w:r w:rsidR="00216773" w:rsidRPr="008A1DB4">
        <w:rPr>
          <w:rFonts w:cs="Arial"/>
          <w:spacing w:val="-2"/>
          <w:sz w:val="18"/>
          <w:szCs w:val="18"/>
          <w:lang w:val="en-US"/>
        </w:rPr>
        <w:t xml:space="preserve"> 500% of the duty evaded [or] seizure of personal property.</w:t>
      </w:r>
      <w:r w:rsidRPr="008A1DB4">
        <w:rPr>
          <w:rStyle w:val="FootnoteReference"/>
          <w:rFonts w:cs="Arial"/>
          <w:spacing w:val="-2"/>
          <w:sz w:val="18"/>
          <w:szCs w:val="18"/>
          <w:lang w:val="en-US"/>
        </w:rPr>
        <w:footnoteReference w:id="204"/>
      </w:r>
      <w:r w:rsidRPr="008A1DB4">
        <w:rPr>
          <w:rFonts w:cs="Arial"/>
          <w:spacing w:val="-2"/>
          <w:sz w:val="18"/>
          <w:szCs w:val="18"/>
          <w:lang w:val="en-US"/>
        </w:rPr>
        <w:t xml:space="preserve"> </w:t>
      </w:r>
      <w:r w:rsidRPr="008A1DB4">
        <w:rPr>
          <w:spacing w:val="-2"/>
          <w:sz w:val="18"/>
          <w:szCs w:val="18"/>
          <w:lang w:val="en-US"/>
        </w:rPr>
        <w:t>(</w:t>
      </w:r>
      <w:r w:rsidR="00216773" w:rsidRPr="008A1DB4">
        <w:rPr>
          <w:spacing w:val="-2"/>
          <w:sz w:val="18"/>
          <w:szCs w:val="18"/>
          <w:lang w:val="en-US"/>
        </w:rPr>
        <w:t>Underlining added</w:t>
      </w:r>
      <w:r w:rsidRPr="008A1DB4">
        <w:rPr>
          <w:spacing w:val="-2"/>
          <w:sz w:val="18"/>
          <w:szCs w:val="18"/>
          <w:lang w:val="en-US"/>
        </w:rPr>
        <w:t>)</w:t>
      </w:r>
    </w:p>
    <w:p w14:paraId="1A6AC47F" w14:textId="77777777" w:rsidR="00B16E52" w:rsidRPr="008A1DB4" w:rsidRDefault="00B16E52" w:rsidP="00956E97">
      <w:pPr>
        <w:pStyle w:val="ListParagraph"/>
        <w:tabs>
          <w:tab w:val="left" w:pos="0"/>
          <w:tab w:val="left" w:pos="284"/>
          <w:tab w:val="left" w:pos="567"/>
        </w:tabs>
        <w:ind w:left="0"/>
        <w:rPr>
          <w:spacing w:val="-2"/>
          <w:szCs w:val="20"/>
          <w:lang w:val="en-US"/>
        </w:rPr>
      </w:pPr>
    </w:p>
    <w:p w14:paraId="0D00EE44" w14:textId="78CC9D1F" w:rsidR="00B16E52" w:rsidRPr="008A1DB4" w:rsidRDefault="00216773" w:rsidP="00956E97">
      <w:pPr>
        <w:pStyle w:val="PrrafodeSentencia"/>
        <w:rPr>
          <w:spacing w:val="-2"/>
          <w:lang w:val="en-US"/>
        </w:rPr>
      </w:pPr>
      <w:r w:rsidRPr="008A1DB4">
        <w:rPr>
          <w:spacing w:val="-2"/>
          <w:lang w:val="en-US"/>
        </w:rPr>
        <w:lastRenderedPageBreak/>
        <w:t xml:space="preserve">In addition, as explained by </w:t>
      </w:r>
      <w:r w:rsidR="00127339" w:rsidRPr="008A1DB4">
        <w:rPr>
          <w:spacing w:val="-2"/>
          <w:lang w:val="en-US"/>
        </w:rPr>
        <w:t>expert witness</w:t>
      </w:r>
      <w:r w:rsidR="00B16E52" w:rsidRPr="008A1DB4">
        <w:rPr>
          <w:spacing w:val="-2"/>
          <w:lang w:val="en-US"/>
        </w:rPr>
        <w:t xml:space="preserve"> </w:t>
      </w:r>
      <w:proofErr w:type="spellStart"/>
      <w:r w:rsidR="00B16E52" w:rsidRPr="008A1DB4">
        <w:rPr>
          <w:spacing w:val="-2"/>
          <w:lang w:val="en-US"/>
        </w:rPr>
        <w:t>Bingzhi</w:t>
      </w:r>
      <w:proofErr w:type="spellEnd"/>
      <w:r w:rsidR="00B16E52" w:rsidRPr="008A1DB4">
        <w:rPr>
          <w:spacing w:val="-2"/>
          <w:lang w:val="en-US"/>
        </w:rPr>
        <w:t xml:space="preserve"> Zhao </w:t>
      </w:r>
      <w:r w:rsidRPr="008A1DB4">
        <w:rPr>
          <w:spacing w:val="-2"/>
          <w:lang w:val="en-US"/>
        </w:rPr>
        <w:t>during the hearing,</w:t>
      </w:r>
      <w:r w:rsidR="00B16E52" w:rsidRPr="008A1DB4">
        <w:rPr>
          <w:rStyle w:val="FootnoteReference"/>
          <w:rFonts w:cs="Arial"/>
          <w:spacing w:val="-2"/>
          <w:lang w:val="en-US"/>
        </w:rPr>
        <w:footnoteReference w:id="205"/>
      </w:r>
      <w:r w:rsidRPr="008A1DB4">
        <w:rPr>
          <w:spacing w:val="-2"/>
          <w:lang w:val="en-US"/>
        </w:rPr>
        <w:t xml:space="preserve"> and also in a legal opinion of the </w:t>
      </w:r>
      <w:r w:rsidR="00B16E52" w:rsidRPr="008A1DB4">
        <w:rPr>
          <w:spacing w:val="-2"/>
          <w:lang w:val="en-US"/>
        </w:rPr>
        <w:t>Max Planck</w:t>
      </w:r>
      <w:r w:rsidR="00127339" w:rsidRPr="008A1DB4">
        <w:rPr>
          <w:spacing w:val="-2"/>
          <w:lang w:val="en-US"/>
        </w:rPr>
        <w:t xml:space="preserve"> Institute</w:t>
      </w:r>
      <w:r w:rsidR="00B16E52" w:rsidRPr="008A1DB4">
        <w:rPr>
          <w:rStyle w:val="FootnoteReference"/>
          <w:rFonts w:cs="Arial"/>
          <w:spacing w:val="-2"/>
          <w:lang w:val="en-US"/>
        </w:rPr>
        <w:footnoteReference w:id="206"/>
      </w:r>
      <w:r w:rsidR="00F36400" w:rsidRPr="008A1DB4">
        <w:rPr>
          <w:spacing w:val="-2"/>
          <w:lang w:val="en-US"/>
        </w:rPr>
        <w:t xml:space="preserve"> and </w:t>
      </w:r>
      <w:r w:rsidRPr="008A1DB4">
        <w:rPr>
          <w:spacing w:val="-2"/>
          <w:lang w:val="en-US"/>
        </w:rPr>
        <w:t xml:space="preserve">the text of the norm, </w:t>
      </w:r>
      <w:r w:rsidR="00127339" w:rsidRPr="008A1DB4">
        <w:rPr>
          <w:spacing w:val="-2"/>
          <w:lang w:val="en-US"/>
        </w:rPr>
        <w:t>a</w:t>
      </w:r>
      <w:r w:rsidR="00F36400" w:rsidRPr="008A1DB4">
        <w:rPr>
          <w:spacing w:val="-2"/>
          <w:lang w:val="en-US"/>
        </w:rPr>
        <w:t>rticle</w:t>
      </w:r>
      <w:r w:rsidR="00B16E52" w:rsidRPr="008A1DB4">
        <w:rPr>
          <w:spacing w:val="-2"/>
          <w:lang w:val="en-US"/>
        </w:rPr>
        <w:t xml:space="preserve"> 12 </w:t>
      </w:r>
      <w:r w:rsidR="001E7113" w:rsidRPr="008A1DB4">
        <w:rPr>
          <w:spacing w:val="-2"/>
          <w:lang w:val="en-US"/>
        </w:rPr>
        <w:t>of the Criminal Code</w:t>
      </w:r>
      <w:r w:rsidR="00B16E52" w:rsidRPr="008A1DB4">
        <w:rPr>
          <w:spacing w:val="-2"/>
          <w:lang w:val="en-US"/>
        </w:rPr>
        <w:t xml:space="preserve"> reco</w:t>
      </w:r>
      <w:r w:rsidRPr="008A1DB4">
        <w:rPr>
          <w:spacing w:val="-2"/>
          <w:lang w:val="en-US"/>
        </w:rPr>
        <w:t>gnizes</w:t>
      </w:r>
      <w:r w:rsidR="00B16E52" w:rsidRPr="008A1DB4">
        <w:rPr>
          <w:spacing w:val="-2"/>
          <w:lang w:val="en-US"/>
        </w:rPr>
        <w:t xml:space="preserve"> </w:t>
      </w:r>
      <w:r w:rsidR="00127339" w:rsidRPr="008A1DB4">
        <w:rPr>
          <w:spacing w:val="-2"/>
          <w:lang w:val="en-US"/>
        </w:rPr>
        <w:t xml:space="preserve">the principle of </w:t>
      </w:r>
      <w:r w:rsidRPr="008A1DB4">
        <w:rPr>
          <w:spacing w:val="-2"/>
          <w:lang w:val="en-US"/>
        </w:rPr>
        <w:t xml:space="preserve">the </w:t>
      </w:r>
      <w:r w:rsidR="00127339" w:rsidRPr="008A1DB4">
        <w:rPr>
          <w:spacing w:val="-2"/>
          <w:lang w:val="en-US"/>
        </w:rPr>
        <w:t>retroactivity</w:t>
      </w:r>
      <w:r w:rsidR="00B16E52" w:rsidRPr="008A1DB4">
        <w:rPr>
          <w:spacing w:val="-2"/>
          <w:lang w:val="en-US"/>
        </w:rPr>
        <w:t xml:space="preserve"> </w:t>
      </w:r>
      <w:r w:rsidRPr="008A1DB4">
        <w:rPr>
          <w:spacing w:val="-2"/>
          <w:lang w:val="en-US"/>
        </w:rPr>
        <w:t>of the most favorable criminal law for the purpose of punishment.</w:t>
      </w:r>
      <w:r w:rsidR="00B16E52" w:rsidRPr="008A1DB4">
        <w:rPr>
          <w:rStyle w:val="FootnoteReference"/>
          <w:rFonts w:cs="Arial"/>
          <w:spacing w:val="-2"/>
          <w:lang w:val="en-US"/>
        </w:rPr>
        <w:footnoteReference w:id="207"/>
      </w:r>
      <w:r w:rsidR="00B16E52" w:rsidRPr="008A1DB4">
        <w:rPr>
          <w:spacing w:val="-2"/>
          <w:lang w:val="en-US"/>
        </w:rPr>
        <w:t xml:space="preserve"> </w:t>
      </w:r>
    </w:p>
    <w:p w14:paraId="77C16E08" w14:textId="77777777" w:rsidR="00B16E52" w:rsidRPr="008A1DB4" w:rsidRDefault="00B16E52" w:rsidP="00956E97">
      <w:pPr>
        <w:pStyle w:val="ListParagraph"/>
        <w:tabs>
          <w:tab w:val="left" w:pos="0"/>
          <w:tab w:val="left" w:pos="284"/>
          <w:tab w:val="left" w:pos="567"/>
        </w:tabs>
        <w:ind w:left="0"/>
        <w:rPr>
          <w:spacing w:val="-2"/>
          <w:szCs w:val="20"/>
          <w:lang w:val="en-US"/>
        </w:rPr>
      </w:pPr>
    </w:p>
    <w:p w14:paraId="52A7261C" w14:textId="6F055056" w:rsidR="00B16E52" w:rsidRPr="008A1DB4" w:rsidRDefault="00F36400" w:rsidP="00956E97">
      <w:pPr>
        <w:pStyle w:val="PrrafodeSentencia"/>
        <w:rPr>
          <w:spacing w:val="-2"/>
          <w:lang w:val="en-US"/>
        </w:rPr>
      </w:pPr>
      <w:r w:rsidRPr="008A1DB4">
        <w:rPr>
          <w:spacing w:val="-2"/>
          <w:lang w:val="en-US"/>
        </w:rPr>
        <w:t>Peru</w:t>
      </w:r>
      <w:r w:rsidR="00B16E52" w:rsidRPr="008A1DB4">
        <w:rPr>
          <w:spacing w:val="-2"/>
          <w:lang w:val="en-US"/>
        </w:rPr>
        <w:t xml:space="preserve"> </w:t>
      </w:r>
      <w:r w:rsidR="00127339" w:rsidRPr="008A1DB4">
        <w:rPr>
          <w:spacing w:val="-2"/>
          <w:lang w:val="en-US"/>
        </w:rPr>
        <w:t xml:space="preserve">has not abolished </w:t>
      </w:r>
      <w:r w:rsidR="00A3310A" w:rsidRPr="008A1DB4">
        <w:rPr>
          <w:spacing w:val="-2"/>
          <w:lang w:val="en-US"/>
        </w:rPr>
        <w:t>the death penalty</w:t>
      </w:r>
      <w:r w:rsidR="00127339" w:rsidRPr="008A1DB4">
        <w:rPr>
          <w:spacing w:val="-2"/>
          <w:lang w:val="en-US"/>
        </w:rPr>
        <w:t xml:space="preserve"> completely</w:t>
      </w:r>
      <w:r w:rsidR="00B16E52" w:rsidRPr="008A1DB4">
        <w:rPr>
          <w:spacing w:val="-2"/>
          <w:lang w:val="en-US"/>
        </w:rPr>
        <w:t xml:space="preserve">. </w:t>
      </w:r>
      <w:r w:rsidR="00127339" w:rsidRPr="008A1DB4">
        <w:rPr>
          <w:spacing w:val="-2"/>
          <w:lang w:val="en-US"/>
        </w:rPr>
        <w:t>The Peruvian Constitution</w:t>
      </w:r>
      <w:r w:rsidR="00B16E52" w:rsidRPr="008A1DB4">
        <w:rPr>
          <w:spacing w:val="-2"/>
          <w:lang w:val="en-US"/>
        </w:rPr>
        <w:t xml:space="preserve"> a</w:t>
      </w:r>
      <w:r w:rsidR="00216773" w:rsidRPr="008A1DB4">
        <w:rPr>
          <w:spacing w:val="-2"/>
          <w:lang w:val="en-US"/>
        </w:rPr>
        <w:t>ccepts the possibility of the death penalty for crimes of treason and terrorism.</w:t>
      </w:r>
      <w:r w:rsidR="00B16E52" w:rsidRPr="008A1DB4">
        <w:rPr>
          <w:rStyle w:val="FootnoteReference"/>
          <w:spacing w:val="-2"/>
          <w:lang w:val="en-US"/>
        </w:rPr>
        <w:footnoteReference w:id="208"/>
      </w:r>
      <w:r w:rsidR="00B16E52" w:rsidRPr="008A1DB4">
        <w:rPr>
          <w:spacing w:val="-2"/>
          <w:lang w:val="en-US"/>
        </w:rPr>
        <w:t xml:space="preserve"> </w:t>
      </w:r>
      <w:r w:rsidR="00127339" w:rsidRPr="008A1DB4">
        <w:rPr>
          <w:spacing w:val="-2"/>
          <w:lang w:val="en-US"/>
        </w:rPr>
        <w:t>However</w:t>
      </w:r>
      <w:r w:rsidR="00313C37" w:rsidRPr="008A1DB4">
        <w:rPr>
          <w:spacing w:val="-2"/>
          <w:lang w:val="en-US"/>
        </w:rPr>
        <w:t xml:space="preserve">, </w:t>
      </w:r>
      <w:r w:rsidR="00127339" w:rsidRPr="008A1DB4">
        <w:rPr>
          <w:spacing w:val="-2"/>
          <w:lang w:val="en-US"/>
        </w:rPr>
        <w:t>a</w:t>
      </w:r>
      <w:r w:rsidRPr="008A1DB4">
        <w:rPr>
          <w:spacing w:val="-2"/>
          <w:lang w:val="en-US"/>
        </w:rPr>
        <w:t>rticle</w:t>
      </w:r>
      <w:r w:rsidR="00313C37" w:rsidRPr="008A1DB4">
        <w:rPr>
          <w:spacing w:val="-2"/>
          <w:lang w:val="en-US"/>
        </w:rPr>
        <w:t xml:space="preserve"> 517 </w:t>
      </w:r>
      <w:r w:rsidR="00A3310A" w:rsidRPr="008A1DB4">
        <w:rPr>
          <w:spacing w:val="-2"/>
          <w:lang w:val="en-US"/>
        </w:rPr>
        <w:t xml:space="preserve">of the </w:t>
      </w:r>
      <w:r w:rsidR="00216773" w:rsidRPr="008A1DB4">
        <w:rPr>
          <w:spacing w:val="-2"/>
          <w:lang w:val="en-US"/>
        </w:rPr>
        <w:t xml:space="preserve">Peruvian </w:t>
      </w:r>
      <w:r w:rsidR="00A3310A" w:rsidRPr="008A1DB4">
        <w:rPr>
          <w:spacing w:val="-2"/>
          <w:lang w:val="en-US"/>
        </w:rPr>
        <w:t>Code of</w:t>
      </w:r>
      <w:r w:rsidR="00B43F84" w:rsidRPr="008A1DB4">
        <w:rPr>
          <w:spacing w:val="-2"/>
          <w:lang w:val="en-US"/>
        </w:rPr>
        <w:t xml:space="preserve"> Criminal Procedure</w:t>
      </w:r>
      <w:r w:rsidR="00313C37" w:rsidRPr="008A1DB4">
        <w:rPr>
          <w:spacing w:val="-2"/>
          <w:lang w:val="en-US"/>
        </w:rPr>
        <w:t xml:space="preserve"> </w:t>
      </w:r>
      <w:r w:rsidR="00216773" w:rsidRPr="008A1DB4">
        <w:rPr>
          <w:spacing w:val="-2"/>
          <w:lang w:val="en-US"/>
        </w:rPr>
        <w:t xml:space="preserve">indicates that extradition shall not be ordered when “[t]he offense for which extradition is requested shall contemplate the death penalty in </w:t>
      </w:r>
      <w:r w:rsidR="00653211" w:rsidRPr="008A1DB4">
        <w:rPr>
          <w:spacing w:val="-2"/>
          <w:lang w:val="en-US"/>
        </w:rPr>
        <w:t>the requesting State</w:t>
      </w:r>
      <w:r w:rsidRPr="008A1DB4">
        <w:rPr>
          <w:spacing w:val="-2"/>
          <w:lang w:val="en-US"/>
        </w:rPr>
        <w:t xml:space="preserve"> and </w:t>
      </w:r>
      <w:r w:rsidR="00216773" w:rsidRPr="008A1DB4">
        <w:rPr>
          <w:spacing w:val="-2"/>
          <w:lang w:val="en-US"/>
        </w:rPr>
        <w:t xml:space="preserve">the latter shall not provide </w:t>
      </w:r>
      <w:r w:rsidR="00B702C1">
        <w:rPr>
          <w:spacing w:val="-2"/>
          <w:lang w:val="en-US"/>
        </w:rPr>
        <w:t>assurances that it will</w:t>
      </w:r>
      <w:r w:rsidR="00216773" w:rsidRPr="008A1DB4">
        <w:rPr>
          <w:spacing w:val="-2"/>
          <w:lang w:val="en-US"/>
        </w:rPr>
        <w:t xml:space="preserve"> not be </w:t>
      </w:r>
      <w:r w:rsidR="00216773" w:rsidRPr="00B702C1">
        <w:rPr>
          <w:spacing w:val="-2"/>
          <w:lang w:val="en-US"/>
        </w:rPr>
        <w:t xml:space="preserve">applied </w:t>
      </w:r>
      <w:r w:rsidR="00313C37" w:rsidRPr="00B702C1">
        <w:rPr>
          <w:spacing w:val="-2"/>
          <w:lang w:val="en-US"/>
        </w:rPr>
        <w:t>(</w:t>
      </w:r>
      <w:r w:rsidR="00313C37" w:rsidRPr="00B702C1">
        <w:rPr>
          <w:i/>
          <w:spacing w:val="-2"/>
          <w:lang w:val="en-US"/>
        </w:rPr>
        <w:t>supra</w:t>
      </w:r>
      <w:r w:rsidR="00313C37" w:rsidRPr="00B702C1">
        <w:rPr>
          <w:spacing w:val="-2"/>
          <w:lang w:val="en-US"/>
        </w:rPr>
        <w:t xml:space="preserve"> </w:t>
      </w:r>
      <w:r w:rsidR="00C45946" w:rsidRPr="00B702C1">
        <w:rPr>
          <w:spacing w:val="-2"/>
          <w:lang w:val="en-US"/>
        </w:rPr>
        <w:t xml:space="preserve">para. </w:t>
      </w:r>
      <w:r w:rsidR="00313C37" w:rsidRPr="00B702C1">
        <w:rPr>
          <w:spacing w:val="-2"/>
          <w:lang w:val="en-US"/>
        </w:rPr>
        <w:fldChar w:fldCharType="begin"/>
      </w:r>
      <w:r w:rsidR="00313C37" w:rsidRPr="00B702C1">
        <w:rPr>
          <w:spacing w:val="-2"/>
          <w:lang w:val="en-US"/>
        </w:rPr>
        <w:instrText xml:space="preserve"> REF _Ref429143908 \r \h </w:instrText>
      </w:r>
      <w:r w:rsidR="00BB0790" w:rsidRPr="00B702C1">
        <w:rPr>
          <w:spacing w:val="-2"/>
          <w:lang w:val="en-US"/>
        </w:rPr>
        <w:instrText xml:space="preserve"> \* MERGEFORMAT </w:instrText>
      </w:r>
      <w:r w:rsidR="00313C37" w:rsidRPr="00B702C1">
        <w:rPr>
          <w:spacing w:val="-2"/>
          <w:lang w:val="en-US"/>
        </w:rPr>
      </w:r>
      <w:r w:rsidR="00313C37" w:rsidRPr="00B702C1">
        <w:rPr>
          <w:spacing w:val="-2"/>
          <w:lang w:val="en-US"/>
        </w:rPr>
        <w:fldChar w:fldCharType="separate"/>
      </w:r>
      <w:r w:rsidR="00E961FA" w:rsidRPr="00B702C1">
        <w:rPr>
          <w:spacing w:val="-2"/>
          <w:lang w:val="en-US"/>
        </w:rPr>
        <w:t>137</w:t>
      </w:r>
      <w:r w:rsidR="00313C37" w:rsidRPr="00B702C1">
        <w:rPr>
          <w:spacing w:val="-2"/>
          <w:lang w:val="en-US"/>
        </w:rPr>
        <w:fldChar w:fldCharType="end"/>
      </w:r>
      <w:r w:rsidR="00313C37" w:rsidRPr="00B702C1">
        <w:rPr>
          <w:spacing w:val="-2"/>
          <w:lang w:val="en-US"/>
        </w:rPr>
        <w:t>)</w:t>
      </w:r>
      <w:r w:rsidR="00313C37" w:rsidRPr="00B702C1">
        <w:rPr>
          <w:rFonts w:cstheme="minorBidi"/>
          <w:spacing w:val="-2"/>
          <w:szCs w:val="22"/>
          <w:lang w:val="en-US"/>
        </w:rPr>
        <w:t xml:space="preserve">. </w:t>
      </w:r>
      <w:r w:rsidR="00216773" w:rsidRPr="00B702C1">
        <w:rPr>
          <w:spacing w:val="-2"/>
          <w:lang w:val="en-US"/>
        </w:rPr>
        <w:t>Since</w:t>
      </w:r>
      <w:r w:rsidR="007D5BB3" w:rsidRPr="008A1DB4">
        <w:rPr>
          <w:spacing w:val="-2"/>
          <w:lang w:val="en-US"/>
        </w:rPr>
        <w:t xml:space="preserve"> </w:t>
      </w:r>
      <w:r w:rsidR="001E7113" w:rsidRPr="008A1DB4">
        <w:rPr>
          <w:spacing w:val="-2"/>
          <w:lang w:val="en-US"/>
        </w:rPr>
        <w:t>Wong</w:t>
      </w:r>
      <w:r w:rsidR="00216773" w:rsidRPr="008A1DB4">
        <w:rPr>
          <w:spacing w:val="-2"/>
          <w:lang w:val="en-US"/>
        </w:rPr>
        <w:t xml:space="preserve"> Ho Wing is wanted for smuggling and other economic offenses, it is evident that Peru was obliged to demand the necessary and sufficient </w:t>
      </w:r>
      <w:r w:rsidR="00B702C1">
        <w:rPr>
          <w:spacing w:val="-2"/>
          <w:lang w:val="en-US"/>
        </w:rPr>
        <w:t>assurances</w:t>
      </w:r>
      <w:r w:rsidR="00216773" w:rsidRPr="008A1DB4">
        <w:rPr>
          <w:spacing w:val="-2"/>
          <w:lang w:val="en-US"/>
        </w:rPr>
        <w:t xml:space="preserve"> that</w:t>
      </w:r>
      <w:r w:rsidR="00B21327" w:rsidRPr="008A1DB4">
        <w:rPr>
          <w:spacing w:val="-2"/>
          <w:lang w:val="en-US"/>
        </w:rPr>
        <w:t xml:space="preserve"> </w:t>
      </w:r>
      <w:r w:rsidR="00A3310A" w:rsidRPr="008A1DB4">
        <w:rPr>
          <w:spacing w:val="-2"/>
          <w:lang w:val="en-US"/>
        </w:rPr>
        <w:t>the death penalty</w:t>
      </w:r>
      <w:r w:rsidR="00B21327" w:rsidRPr="008A1DB4">
        <w:rPr>
          <w:spacing w:val="-2"/>
          <w:lang w:val="en-US"/>
        </w:rPr>
        <w:t xml:space="preserve"> </w:t>
      </w:r>
      <w:r w:rsidR="00B702C1">
        <w:rPr>
          <w:spacing w:val="-2"/>
          <w:lang w:val="en-US"/>
        </w:rPr>
        <w:t>would not be applied to him</w:t>
      </w:r>
      <w:r w:rsidR="00216773" w:rsidRPr="008A1DB4">
        <w:rPr>
          <w:spacing w:val="-2"/>
          <w:lang w:val="en-US"/>
        </w:rPr>
        <w:t xml:space="preserve"> if his extradition was granted </w:t>
      </w:r>
      <w:r w:rsidR="00F968FC" w:rsidRPr="008A1DB4">
        <w:rPr>
          <w:spacing w:val="-2"/>
          <w:lang w:val="en-US"/>
        </w:rPr>
        <w:t>(</w:t>
      </w:r>
      <w:r w:rsidR="00F968FC" w:rsidRPr="008A1DB4">
        <w:rPr>
          <w:i/>
          <w:spacing w:val="-2"/>
          <w:lang w:val="en-US"/>
        </w:rPr>
        <w:t xml:space="preserve">supra </w:t>
      </w:r>
      <w:r w:rsidR="00C45946" w:rsidRPr="008A1DB4">
        <w:rPr>
          <w:spacing w:val="-2"/>
          <w:lang w:val="en-US"/>
        </w:rPr>
        <w:t xml:space="preserve">para. </w:t>
      </w:r>
      <w:r w:rsidR="002550E5" w:rsidRPr="008A1DB4">
        <w:rPr>
          <w:spacing w:val="-2"/>
          <w:lang w:val="en-US"/>
        </w:rPr>
        <w:fldChar w:fldCharType="begin"/>
      </w:r>
      <w:r w:rsidR="002550E5" w:rsidRPr="008A1DB4">
        <w:rPr>
          <w:spacing w:val="-2"/>
          <w:lang w:val="en-US"/>
        </w:rPr>
        <w:instrText xml:space="preserve"> REF _Ref418902245 \r \h  \* MERGEFORMAT </w:instrText>
      </w:r>
      <w:r w:rsidR="002550E5" w:rsidRPr="008A1DB4">
        <w:rPr>
          <w:spacing w:val="-2"/>
          <w:lang w:val="en-US"/>
        </w:rPr>
      </w:r>
      <w:r w:rsidR="002550E5" w:rsidRPr="008A1DB4">
        <w:rPr>
          <w:spacing w:val="-2"/>
          <w:lang w:val="en-US"/>
        </w:rPr>
        <w:fldChar w:fldCharType="separate"/>
      </w:r>
      <w:r w:rsidR="00E961FA" w:rsidRPr="008A1DB4">
        <w:rPr>
          <w:spacing w:val="-2"/>
          <w:lang w:val="en-US"/>
        </w:rPr>
        <w:t>134</w:t>
      </w:r>
      <w:r w:rsidR="002550E5" w:rsidRPr="008A1DB4">
        <w:rPr>
          <w:spacing w:val="-2"/>
          <w:lang w:val="en-US"/>
        </w:rPr>
        <w:fldChar w:fldCharType="end"/>
      </w:r>
      <w:r w:rsidR="00F968FC" w:rsidRPr="008A1DB4">
        <w:rPr>
          <w:spacing w:val="-2"/>
          <w:lang w:val="en-US"/>
        </w:rPr>
        <w:t>)</w:t>
      </w:r>
      <w:r w:rsidR="00B16E52" w:rsidRPr="008A1DB4">
        <w:rPr>
          <w:spacing w:val="-2"/>
          <w:lang w:val="en-US"/>
        </w:rPr>
        <w:t xml:space="preserve">. </w:t>
      </w:r>
    </w:p>
    <w:p w14:paraId="716DEE17" w14:textId="77777777" w:rsidR="00B16E52" w:rsidRPr="008A1DB4" w:rsidRDefault="00B16E52" w:rsidP="00956E97">
      <w:pPr>
        <w:pStyle w:val="ListParagraph"/>
        <w:tabs>
          <w:tab w:val="left" w:pos="284"/>
          <w:tab w:val="left" w:pos="567"/>
        </w:tabs>
        <w:ind w:left="0"/>
        <w:rPr>
          <w:spacing w:val="-2"/>
          <w:lang w:val="en-US"/>
        </w:rPr>
      </w:pPr>
    </w:p>
    <w:p w14:paraId="2153D41B" w14:textId="561DBA51" w:rsidR="007A615C" w:rsidRPr="008A1DB4" w:rsidRDefault="00A91C5F" w:rsidP="00956E97">
      <w:pPr>
        <w:pStyle w:val="PrrafodeSentencia"/>
        <w:rPr>
          <w:strike/>
          <w:spacing w:val="-2"/>
          <w:lang w:val="en-US"/>
        </w:rPr>
      </w:pPr>
      <w:bookmarkStart w:id="704" w:name="_Ref418863070"/>
      <w:r w:rsidRPr="008A1DB4">
        <w:rPr>
          <w:spacing w:val="-2"/>
          <w:lang w:val="en-US"/>
        </w:rPr>
        <w:t>Despite the foregoing</w:t>
      </w:r>
      <w:r w:rsidR="006607A2" w:rsidRPr="008A1DB4">
        <w:rPr>
          <w:spacing w:val="-2"/>
          <w:lang w:val="en-US"/>
        </w:rPr>
        <w:t xml:space="preserve">, </w:t>
      </w:r>
      <w:r w:rsidR="00F36400" w:rsidRPr="008A1DB4">
        <w:rPr>
          <w:spacing w:val="-2"/>
          <w:lang w:val="en-US"/>
        </w:rPr>
        <w:t>the Court</w:t>
      </w:r>
      <w:r w:rsidRPr="008A1DB4">
        <w:rPr>
          <w:spacing w:val="-2"/>
          <w:lang w:val="en-US"/>
        </w:rPr>
        <w:t xml:space="preserve"> considers that it has been </w:t>
      </w:r>
      <w:r w:rsidR="007229C8">
        <w:rPr>
          <w:spacing w:val="-2"/>
          <w:lang w:val="en-US"/>
        </w:rPr>
        <w:t>proved</w:t>
      </w:r>
      <w:r w:rsidRPr="008A1DB4">
        <w:rPr>
          <w:spacing w:val="-2"/>
          <w:lang w:val="en-US"/>
        </w:rPr>
        <w:t xml:space="preserve"> that, based on the </w:t>
      </w:r>
      <w:r w:rsidR="00127339" w:rsidRPr="008A1DB4">
        <w:rPr>
          <w:spacing w:val="-2"/>
          <w:lang w:val="en-US"/>
        </w:rPr>
        <w:t xml:space="preserve">principle of </w:t>
      </w:r>
      <w:r w:rsidRPr="008A1DB4">
        <w:rPr>
          <w:spacing w:val="-2"/>
          <w:lang w:val="en-US"/>
        </w:rPr>
        <w:t xml:space="preserve">the favorable </w:t>
      </w:r>
      <w:r w:rsidR="00127339" w:rsidRPr="008A1DB4">
        <w:rPr>
          <w:spacing w:val="-2"/>
          <w:lang w:val="en-US"/>
        </w:rPr>
        <w:t>retroactivity</w:t>
      </w:r>
      <w:r w:rsidR="00B16E52" w:rsidRPr="008A1DB4">
        <w:rPr>
          <w:spacing w:val="-2"/>
          <w:lang w:val="en-US"/>
        </w:rPr>
        <w:t xml:space="preserve"> </w:t>
      </w:r>
      <w:r w:rsidRPr="008A1DB4">
        <w:rPr>
          <w:spacing w:val="-2"/>
          <w:lang w:val="en-US"/>
        </w:rPr>
        <w:t xml:space="preserve">of the criminal law and the annulment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for the offense of </w:t>
      </w:r>
      <w:r w:rsidR="00127339" w:rsidRPr="008A1DB4">
        <w:rPr>
          <w:spacing w:val="-2"/>
          <w:lang w:val="en-US"/>
        </w:rPr>
        <w:t>smuggling ordinary merchandise</w:t>
      </w:r>
      <w:r w:rsidRPr="008A1DB4">
        <w:rPr>
          <w:spacing w:val="-2"/>
          <w:lang w:val="en-US"/>
        </w:rPr>
        <w:t xml:space="preserve">, this punishment could not be applied to </w:t>
      </w:r>
      <w:r w:rsidR="00B43F84" w:rsidRPr="008A1DB4">
        <w:rPr>
          <w:spacing w:val="-2"/>
          <w:lang w:val="en-US"/>
        </w:rPr>
        <w:t>Wong</w:t>
      </w:r>
      <w:r w:rsidR="00B16E52" w:rsidRPr="008A1DB4">
        <w:rPr>
          <w:spacing w:val="-2"/>
          <w:lang w:val="en-US"/>
        </w:rPr>
        <w:t xml:space="preserve"> Ho Wing, </w:t>
      </w:r>
      <w:r w:rsidRPr="008A1DB4">
        <w:rPr>
          <w:spacing w:val="-2"/>
          <w:lang w:val="en-US"/>
        </w:rPr>
        <w:t>if he is extradited and s</w:t>
      </w:r>
      <w:r w:rsidR="00A3310A" w:rsidRPr="008A1DB4">
        <w:rPr>
          <w:spacing w:val="-2"/>
          <w:lang w:val="en-US"/>
        </w:rPr>
        <w:t>ubsequently</w:t>
      </w:r>
      <w:r w:rsidR="00B16E52" w:rsidRPr="008A1DB4">
        <w:rPr>
          <w:spacing w:val="-2"/>
          <w:lang w:val="en-US"/>
        </w:rPr>
        <w:t xml:space="preserve"> </w:t>
      </w:r>
      <w:r w:rsidRPr="008A1DB4">
        <w:rPr>
          <w:spacing w:val="-2"/>
          <w:lang w:val="en-US"/>
        </w:rPr>
        <w:t>sentenced and convicted in</w:t>
      </w:r>
      <w:r w:rsidR="00B16E52" w:rsidRPr="008A1DB4">
        <w:rPr>
          <w:spacing w:val="-2"/>
          <w:lang w:val="en-US"/>
        </w:rPr>
        <w:t xml:space="preserve"> China</w:t>
      </w:r>
      <w:r w:rsidRPr="008A1DB4">
        <w:rPr>
          <w:spacing w:val="-2"/>
          <w:lang w:val="en-US"/>
        </w:rPr>
        <w:t>.</w:t>
      </w:r>
      <w:r w:rsidR="00B16E52" w:rsidRPr="008A1DB4">
        <w:rPr>
          <w:rStyle w:val="FootnoteReference"/>
          <w:spacing w:val="-2"/>
          <w:lang w:val="en-US"/>
        </w:rPr>
        <w:footnoteReference w:id="209"/>
      </w:r>
      <w:r w:rsidR="00FA71C8" w:rsidRPr="008A1DB4">
        <w:rPr>
          <w:spacing w:val="-2"/>
          <w:lang w:val="en-US"/>
        </w:rPr>
        <w:t xml:space="preserve"> </w:t>
      </w:r>
      <w:r w:rsidRPr="008A1DB4">
        <w:rPr>
          <w:spacing w:val="-2"/>
          <w:lang w:val="en-US"/>
        </w:rPr>
        <w:t>Although</w:t>
      </w:r>
      <w:r w:rsidR="007A615C" w:rsidRPr="008A1DB4">
        <w:rPr>
          <w:spacing w:val="-2"/>
          <w:lang w:val="en-US"/>
        </w:rPr>
        <w:t xml:space="preserve"> </w:t>
      </w:r>
      <w:r w:rsidR="00A3310A" w:rsidRPr="008A1DB4">
        <w:rPr>
          <w:spacing w:val="-2"/>
          <w:lang w:val="en-US"/>
        </w:rPr>
        <w:t>the death penalty</w:t>
      </w:r>
      <w:r w:rsidR="00127339" w:rsidRPr="008A1DB4">
        <w:rPr>
          <w:spacing w:val="-2"/>
          <w:lang w:val="en-US"/>
        </w:rPr>
        <w:t xml:space="preserve"> </w:t>
      </w:r>
      <w:r w:rsidRPr="008A1DB4">
        <w:rPr>
          <w:spacing w:val="-2"/>
          <w:lang w:val="en-US"/>
        </w:rPr>
        <w:t xml:space="preserve">was in </w:t>
      </w:r>
      <w:r w:rsidR="00947926" w:rsidRPr="008A1DB4">
        <w:rPr>
          <w:spacing w:val="-2"/>
          <w:lang w:val="en-US"/>
        </w:rPr>
        <w:t>force</w:t>
      </w:r>
      <w:r w:rsidRPr="008A1DB4">
        <w:rPr>
          <w:spacing w:val="-2"/>
          <w:lang w:val="en-US"/>
        </w:rPr>
        <w:t xml:space="preserve"> </w:t>
      </w:r>
      <w:r w:rsidR="00127339" w:rsidRPr="008A1DB4">
        <w:rPr>
          <w:spacing w:val="-2"/>
          <w:lang w:val="en-US"/>
        </w:rPr>
        <w:t>until May</w:t>
      </w:r>
      <w:r w:rsidR="007A615C" w:rsidRPr="008A1DB4">
        <w:rPr>
          <w:spacing w:val="-2"/>
          <w:lang w:val="en-US"/>
        </w:rPr>
        <w:t xml:space="preserve"> 2011 </w:t>
      </w:r>
      <w:r w:rsidRPr="008A1DB4">
        <w:rPr>
          <w:spacing w:val="-2"/>
          <w:lang w:val="en-US"/>
        </w:rPr>
        <w:t xml:space="preserve">for one of the offenses for which Wong Ho Wing’s extradition was requested, the Court reiterates that, in order to determine whether there is a real risk to the </w:t>
      </w:r>
      <w:r w:rsidR="00775124" w:rsidRPr="008A1DB4">
        <w:rPr>
          <w:spacing w:val="-2"/>
          <w:lang w:val="en-US"/>
        </w:rPr>
        <w:t>right to life</w:t>
      </w:r>
      <w:r w:rsidR="007A615C" w:rsidRPr="008A1DB4">
        <w:rPr>
          <w:spacing w:val="-2"/>
          <w:lang w:val="en-US"/>
        </w:rPr>
        <w:t xml:space="preserve"> </w:t>
      </w:r>
      <w:r w:rsidR="00B43F84" w:rsidRPr="008A1DB4">
        <w:rPr>
          <w:spacing w:val="-2"/>
          <w:lang w:val="en-US"/>
        </w:rPr>
        <w:t>of Wong</w:t>
      </w:r>
      <w:r w:rsidR="007A615C" w:rsidRPr="008A1DB4">
        <w:rPr>
          <w:spacing w:val="-2"/>
          <w:lang w:val="en-US"/>
        </w:rPr>
        <w:t xml:space="preserve"> Ho Wing </w:t>
      </w:r>
      <w:r w:rsidRPr="008A1DB4">
        <w:rPr>
          <w:spacing w:val="-2"/>
          <w:lang w:val="en-US"/>
        </w:rPr>
        <w:t xml:space="preserve">if his extradition is granted, it is necessary to examine and assess all the information available at this time </w:t>
      </w:r>
      <w:r w:rsidR="007A615C" w:rsidRPr="008A1DB4">
        <w:rPr>
          <w:spacing w:val="-2"/>
          <w:lang w:val="en-US"/>
        </w:rPr>
        <w:t>(</w:t>
      </w:r>
      <w:r w:rsidR="007A615C" w:rsidRPr="008A1DB4">
        <w:rPr>
          <w:i/>
          <w:spacing w:val="-2"/>
          <w:lang w:val="en-US"/>
        </w:rPr>
        <w:t xml:space="preserve">supra </w:t>
      </w:r>
      <w:r w:rsidR="00631F9C" w:rsidRPr="008A1DB4">
        <w:rPr>
          <w:spacing w:val="-2"/>
          <w:lang w:val="en-US"/>
        </w:rPr>
        <w:t>paras.</w:t>
      </w:r>
      <w:r w:rsidR="007A615C"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_Ref417843467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140</w:t>
      </w:r>
      <w:r w:rsidR="00BE2225" w:rsidRPr="008A1DB4">
        <w:rPr>
          <w:spacing w:val="-2"/>
          <w:lang w:val="en-US"/>
        </w:rPr>
        <w:fldChar w:fldCharType="end"/>
      </w:r>
      <w:r w:rsidR="00F36400" w:rsidRPr="008A1DB4">
        <w:rPr>
          <w:spacing w:val="-2"/>
          <w:lang w:val="en-US"/>
        </w:rPr>
        <w:t xml:space="preserve"> and </w:t>
      </w:r>
      <w:r w:rsidR="00BE2225" w:rsidRPr="008A1DB4">
        <w:rPr>
          <w:spacing w:val="-2"/>
          <w:lang w:val="en-US"/>
        </w:rPr>
        <w:fldChar w:fldCharType="begin"/>
      </w:r>
      <w:r w:rsidR="00BE2225" w:rsidRPr="008A1DB4">
        <w:rPr>
          <w:spacing w:val="-2"/>
          <w:lang w:val="en-US"/>
        </w:rPr>
        <w:instrText xml:space="preserve"> REF _Ref417843489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141</w:t>
      </w:r>
      <w:r w:rsidR="00BE2225" w:rsidRPr="008A1DB4">
        <w:rPr>
          <w:spacing w:val="-2"/>
          <w:lang w:val="en-US"/>
        </w:rPr>
        <w:fldChar w:fldCharType="end"/>
      </w:r>
      <w:r w:rsidR="007A615C" w:rsidRPr="008A1DB4">
        <w:rPr>
          <w:spacing w:val="-2"/>
          <w:lang w:val="en-US"/>
        </w:rPr>
        <w:t xml:space="preserve">). </w:t>
      </w:r>
      <w:r w:rsidRPr="008A1DB4">
        <w:rPr>
          <w:spacing w:val="-2"/>
          <w:lang w:val="en-US"/>
        </w:rPr>
        <w:t xml:space="preserve">Bearing this in mind, </w:t>
      </w:r>
      <w:r w:rsidRPr="008A1DB4">
        <w:rPr>
          <w:spacing w:val="-2"/>
          <w:lang w:val="en-US"/>
        </w:rPr>
        <w:lastRenderedPageBreak/>
        <w:t xml:space="preserve">and </w:t>
      </w:r>
      <w:r w:rsidR="007229C8">
        <w:rPr>
          <w:spacing w:val="-2"/>
          <w:lang w:val="en-US"/>
        </w:rPr>
        <w:t>based on</w:t>
      </w:r>
      <w:r w:rsidRPr="008A1DB4">
        <w:rPr>
          <w:spacing w:val="-2"/>
          <w:lang w:val="en-US"/>
        </w:rPr>
        <w:t xml:space="preserve"> the </w:t>
      </w:r>
      <w:r w:rsidR="00127339" w:rsidRPr="008A1DB4">
        <w:rPr>
          <w:spacing w:val="-2"/>
          <w:lang w:val="en-US"/>
        </w:rPr>
        <w:t xml:space="preserve">principle of </w:t>
      </w:r>
      <w:r w:rsidRPr="008A1DB4">
        <w:rPr>
          <w:spacing w:val="-2"/>
          <w:lang w:val="en-US"/>
        </w:rPr>
        <w:t xml:space="preserve">the favorable </w:t>
      </w:r>
      <w:r w:rsidR="00127339" w:rsidRPr="008A1DB4">
        <w:rPr>
          <w:spacing w:val="-2"/>
          <w:lang w:val="en-US"/>
        </w:rPr>
        <w:t>retroactivity</w:t>
      </w:r>
      <w:r w:rsidR="00B8089D" w:rsidRPr="008A1DB4">
        <w:rPr>
          <w:spacing w:val="-2"/>
          <w:lang w:val="en-US"/>
        </w:rPr>
        <w:t xml:space="preserve"> </w:t>
      </w:r>
      <w:r w:rsidR="007229C8">
        <w:rPr>
          <w:spacing w:val="-2"/>
          <w:lang w:val="en-US"/>
        </w:rPr>
        <w:t>of the criminal law, the</w:t>
      </w:r>
      <w:r w:rsidRPr="008A1DB4">
        <w:rPr>
          <w:spacing w:val="-2"/>
          <w:lang w:val="en-US"/>
        </w:rPr>
        <w:t xml:space="preserve"> Court considers that, following the annulment </w:t>
      </w:r>
      <w:r w:rsidR="00BB44A4" w:rsidRPr="008A1DB4">
        <w:rPr>
          <w:spacing w:val="-2"/>
          <w:lang w:val="en-US"/>
        </w:rPr>
        <w:t xml:space="preserve">of the </w:t>
      </w:r>
      <w:r w:rsidR="00A3310A" w:rsidRPr="008A1DB4">
        <w:rPr>
          <w:spacing w:val="-2"/>
          <w:lang w:val="en-US"/>
        </w:rPr>
        <w:t>death penalty</w:t>
      </w:r>
      <w:r w:rsidR="007A615C" w:rsidRPr="008A1DB4">
        <w:rPr>
          <w:spacing w:val="-2"/>
          <w:lang w:val="en-US"/>
        </w:rPr>
        <w:t xml:space="preserve"> </w:t>
      </w:r>
      <w:r w:rsidRPr="008A1DB4">
        <w:rPr>
          <w:spacing w:val="-2"/>
          <w:lang w:val="en-US"/>
        </w:rPr>
        <w:t xml:space="preserve">for the offense of smuggling, there is no real risk that the death penalty will be applied legally to </w:t>
      </w:r>
      <w:r w:rsidR="00B43F84" w:rsidRPr="008A1DB4">
        <w:rPr>
          <w:spacing w:val="-2"/>
          <w:lang w:val="en-US"/>
        </w:rPr>
        <w:t>Wong</w:t>
      </w:r>
      <w:r w:rsidR="007A615C" w:rsidRPr="008A1DB4">
        <w:rPr>
          <w:spacing w:val="-2"/>
          <w:lang w:val="en-US"/>
        </w:rPr>
        <w:t xml:space="preserve"> Ho Wing</w:t>
      </w:r>
      <w:r w:rsidRPr="008A1DB4">
        <w:rPr>
          <w:spacing w:val="-2"/>
          <w:lang w:val="en-US"/>
        </w:rPr>
        <w:t xml:space="preserve"> if he is extradited to</w:t>
      </w:r>
      <w:r w:rsidR="007A615C" w:rsidRPr="008A1DB4">
        <w:rPr>
          <w:spacing w:val="-2"/>
          <w:lang w:val="en-US"/>
        </w:rPr>
        <w:t xml:space="preserve"> China. </w:t>
      </w:r>
      <w:bookmarkEnd w:id="704"/>
    </w:p>
    <w:p w14:paraId="27FCCB14" w14:textId="77777777" w:rsidR="007A615C" w:rsidRPr="008A1DB4" w:rsidRDefault="007A615C" w:rsidP="00956E97">
      <w:pPr>
        <w:pStyle w:val="PrrafodeSentencia"/>
        <w:numPr>
          <w:ilvl w:val="0"/>
          <w:numId w:val="0"/>
        </w:numPr>
        <w:rPr>
          <w:spacing w:val="-2"/>
          <w:lang w:val="en-US"/>
        </w:rPr>
      </w:pPr>
    </w:p>
    <w:p w14:paraId="69624A38" w14:textId="0778FC7D" w:rsidR="0078739D" w:rsidRPr="008A1DB4" w:rsidRDefault="00A91C5F" w:rsidP="00A91C5F">
      <w:pPr>
        <w:pStyle w:val="PrrafodeSentencia"/>
        <w:rPr>
          <w:spacing w:val="-2"/>
          <w:lang w:val="en-US"/>
        </w:rPr>
      </w:pPr>
      <w:r w:rsidRPr="008A1DB4">
        <w:rPr>
          <w:spacing w:val="-2"/>
          <w:lang w:val="en-US"/>
        </w:rPr>
        <w:t>Nevertheless</w:t>
      </w:r>
      <w:r w:rsidR="00270410" w:rsidRPr="008A1DB4">
        <w:rPr>
          <w:spacing w:val="-2"/>
          <w:lang w:val="en-US"/>
        </w:rPr>
        <w:t xml:space="preserve">, </w:t>
      </w:r>
      <w:r w:rsidR="00F36400" w:rsidRPr="008A1DB4">
        <w:rPr>
          <w:spacing w:val="-2"/>
          <w:lang w:val="en-US"/>
        </w:rPr>
        <w:t xml:space="preserve">the Commission and </w:t>
      </w:r>
      <w:r w:rsidR="00C45946" w:rsidRPr="008A1DB4">
        <w:rPr>
          <w:spacing w:val="-2"/>
          <w:lang w:val="en-US"/>
        </w:rPr>
        <w:t>the representative</w:t>
      </w:r>
      <w:r w:rsidR="00270410" w:rsidRPr="008A1DB4">
        <w:rPr>
          <w:spacing w:val="-2"/>
          <w:lang w:val="en-US"/>
        </w:rPr>
        <w:t xml:space="preserve"> </w:t>
      </w:r>
      <w:r w:rsidRPr="008A1DB4">
        <w:rPr>
          <w:spacing w:val="-2"/>
          <w:lang w:val="en-US"/>
        </w:rPr>
        <w:t xml:space="preserve">argue that there have already been autonomous violations of the </w:t>
      </w:r>
      <w:r w:rsidR="00775124" w:rsidRPr="008A1DB4">
        <w:rPr>
          <w:spacing w:val="-2"/>
          <w:lang w:val="en-US"/>
        </w:rPr>
        <w:t>right to life</w:t>
      </w:r>
      <w:r w:rsidR="00270410" w:rsidRPr="008A1DB4">
        <w:rPr>
          <w:spacing w:val="-2"/>
          <w:lang w:val="en-US"/>
        </w:rPr>
        <w:t xml:space="preserve"> </w:t>
      </w:r>
      <w:r w:rsidR="00B43F84" w:rsidRPr="008A1DB4">
        <w:rPr>
          <w:spacing w:val="-2"/>
          <w:lang w:val="en-US"/>
        </w:rPr>
        <w:t>of Wong</w:t>
      </w:r>
      <w:r w:rsidR="00270410" w:rsidRPr="008A1DB4">
        <w:rPr>
          <w:spacing w:val="-2"/>
          <w:lang w:val="en-US"/>
        </w:rPr>
        <w:t xml:space="preserve"> Ho Wing, </w:t>
      </w:r>
      <w:r w:rsidRPr="008A1DB4">
        <w:rPr>
          <w:spacing w:val="-2"/>
          <w:lang w:val="en-US"/>
        </w:rPr>
        <w:t>owing to the failure to consider the risk of the application of the death penalty in the first</w:t>
      </w:r>
      <w:r w:rsidR="00270410" w:rsidRPr="008A1DB4">
        <w:rPr>
          <w:spacing w:val="-2"/>
          <w:lang w:val="en-US"/>
        </w:rPr>
        <w:t xml:space="preserve"> </w:t>
      </w:r>
      <w:r w:rsidR="002D1CFC" w:rsidRPr="008A1DB4">
        <w:rPr>
          <w:spacing w:val="-2"/>
          <w:lang w:val="en-US"/>
        </w:rPr>
        <w:t>advisory decision</w:t>
      </w:r>
      <w:r w:rsidR="00F36400" w:rsidRPr="008A1DB4">
        <w:rPr>
          <w:spacing w:val="-2"/>
          <w:lang w:val="en-US"/>
        </w:rPr>
        <w:t xml:space="preserve"> and </w:t>
      </w:r>
      <w:r w:rsidRPr="008A1DB4">
        <w:rPr>
          <w:spacing w:val="-2"/>
          <w:lang w:val="en-US"/>
        </w:rPr>
        <w:t>to the absence of sufficient guarantees that it would not be applied in the second</w:t>
      </w:r>
      <w:r w:rsidR="00270410" w:rsidRPr="008A1DB4">
        <w:rPr>
          <w:spacing w:val="-2"/>
          <w:lang w:val="en-US"/>
        </w:rPr>
        <w:t xml:space="preserve"> </w:t>
      </w:r>
      <w:r w:rsidR="002D1CFC" w:rsidRPr="008A1DB4">
        <w:rPr>
          <w:spacing w:val="-2"/>
          <w:lang w:val="en-US"/>
        </w:rPr>
        <w:t>advisory decision</w:t>
      </w:r>
      <w:r w:rsidR="00F36400" w:rsidRPr="008A1DB4">
        <w:rPr>
          <w:spacing w:val="-2"/>
          <w:lang w:val="en-US"/>
        </w:rPr>
        <w:t xml:space="preserve"> of </w:t>
      </w:r>
      <w:r w:rsidR="00B67AC5" w:rsidRPr="008A1DB4">
        <w:rPr>
          <w:spacing w:val="-2"/>
          <w:lang w:val="en-US"/>
        </w:rPr>
        <w:t>the Supreme Court</w:t>
      </w:r>
      <w:r w:rsidR="00270410" w:rsidRPr="008A1DB4">
        <w:rPr>
          <w:spacing w:val="-2"/>
          <w:lang w:val="en-US"/>
        </w:rPr>
        <w:t xml:space="preserve">, </w:t>
      </w:r>
      <w:r w:rsidRPr="008A1DB4">
        <w:rPr>
          <w:spacing w:val="-2"/>
          <w:lang w:val="en-US"/>
        </w:rPr>
        <w:t>regardless of i</w:t>
      </w:r>
      <w:r w:rsidR="007229C8">
        <w:rPr>
          <w:spacing w:val="-2"/>
          <w:lang w:val="en-US"/>
        </w:rPr>
        <w:t>t</w:t>
      </w:r>
      <w:r w:rsidRPr="008A1DB4">
        <w:rPr>
          <w:spacing w:val="-2"/>
          <w:lang w:val="en-US"/>
        </w:rPr>
        <w:t xml:space="preserve">s subsequent annulment. </w:t>
      </w:r>
      <w:r w:rsidR="00127339" w:rsidRPr="008A1DB4">
        <w:rPr>
          <w:spacing w:val="-2"/>
          <w:lang w:val="en-US"/>
        </w:rPr>
        <w:t>Regarding the first</w:t>
      </w:r>
      <w:r w:rsidR="00270410" w:rsidRPr="008A1DB4">
        <w:rPr>
          <w:spacing w:val="-2"/>
          <w:lang w:val="en-US"/>
        </w:rPr>
        <w:t xml:space="preserve"> </w:t>
      </w:r>
      <w:r w:rsidR="002D1CFC" w:rsidRPr="008A1DB4">
        <w:rPr>
          <w:spacing w:val="-2"/>
          <w:lang w:val="en-US"/>
        </w:rPr>
        <w:t>advisory decision</w:t>
      </w:r>
      <w:r w:rsidR="00127339" w:rsidRPr="008A1DB4">
        <w:rPr>
          <w:spacing w:val="-2"/>
          <w:lang w:val="en-US"/>
        </w:rPr>
        <w:t xml:space="preserve"> (dated</w:t>
      </w:r>
      <w:r w:rsidR="00270410" w:rsidRPr="008A1DB4">
        <w:rPr>
          <w:spacing w:val="-2"/>
          <w:lang w:val="en-US"/>
        </w:rPr>
        <w:t xml:space="preserve"> </w:t>
      </w:r>
      <w:r w:rsidR="001E7113" w:rsidRPr="008A1DB4">
        <w:rPr>
          <w:spacing w:val="-2"/>
          <w:lang w:val="en-US"/>
        </w:rPr>
        <w:t>January 20,</w:t>
      </w:r>
      <w:r w:rsidR="00270410" w:rsidRPr="008A1DB4">
        <w:rPr>
          <w:spacing w:val="-2"/>
          <w:lang w:val="en-US"/>
        </w:rPr>
        <w:t xml:space="preserve"> 2009), </w:t>
      </w:r>
      <w:r w:rsidR="00F36400" w:rsidRPr="008A1DB4">
        <w:rPr>
          <w:spacing w:val="-2"/>
          <w:lang w:val="en-US"/>
        </w:rPr>
        <w:t>the Court</w:t>
      </w:r>
      <w:r w:rsidR="00270410" w:rsidRPr="008A1DB4">
        <w:rPr>
          <w:spacing w:val="-2"/>
          <w:lang w:val="en-US"/>
        </w:rPr>
        <w:t xml:space="preserve"> </w:t>
      </w:r>
      <w:r w:rsidRPr="008A1DB4">
        <w:rPr>
          <w:spacing w:val="-2"/>
          <w:lang w:val="en-US"/>
        </w:rPr>
        <w:t xml:space="preserve">emphasizes that this decision was annulled as a result of an application for </w:t>
      </w:r>
      <w:r w:rsidR="00E022F9" w:rsidRPr="008A1DB4">
        <w:rPr>
          <w:i/>
          <w:spacing w:val="-2"/>
          <w:lang w:val="en-US"/>
        </w:rPr>
        <w:t>habeas corpus</w:t>
      </w:r>
      <w:r w:rsidR="00270410" w:rsidRPr="008A1DB4">
        <w:rPr>
          <w:spacing w:val="-2"/>
          <w:lang w:val="en-US"/>
        </w:rPr>
        <w:t xml:space="preserve">, </w:t>
      </w:r>
      <w:r w:rsidRPr="008A1DB4">
        <w:rPr>
          <w:spacing w:val="-2"/>
          <w:lang w:val="en-US"/>
        </w:rPr>
        <w:t xml:space="preserve">so that it has no legal effects </w:t>
      </w:r>
      <w:r w:rsidR="007528BF" w:rsidRPr="008A1DB4">
        <w:rPr>
          <w:spacing w:val="-2"/>
          <w:lang w:val="en-US"/>
        </w:rPr>
        <w:t>(</w:t>
      </w:r>
      <w:r w:rsidR="007528BF" w:rsidRPr="008A1DB4">
        <w:rPr>
          <w:i/>
          <w:spacing w:val="-2"/>
          <w:lang w:val="en-US"/>
        </w:rPr>
        <w:t xml:space="preserve">supra </w:t>
      </w:r>
      <w:r w:rsidR="00C45946" w:rsidRPr="008A1DB4">
        <w:rPr>
          <w:spacing w:val="-2"/>
          <w:lang w:val="en-US"/>
        </w:rPr>
        <w:t xml:space="preserve">para. </w:t>
      </w:r>
      <w:r w:rsidR="007528BF" w:rsidRPr="008A1DB4">
        <w:rPr>
          <w:spacing w:val="-2"/>
          <w:lang w:val="en-US"/>
        </w:rPr>
        <w:fldChar w:fldCharType="begin"/>
      </w:r>
      <w:r w:rsidR="007528BF" w:rsidRPr="008A1DB4">
        <w:rPr>
          <w:spacing w:val="-2"/>
          <w:lang w:val="en-US"/>
        </w:rPr>
        <w:instrText xml:space="preserve"> REF _Ref402273545 \r \h </w:instrText>
      </w:r>
      <w:r w:rsidR="00DC41F4" w:rsidRPr="008A1DB4">
        <w:rPr>
          <w:spacing w:val="-2"/>
          <w:lang w:val="en-US"/>
        </w:rPr>
        <w:instrText xml:space="preserve"> \* MERGEFORMAT </w:instrText>
      </w:r>
      <w:r w:rsidR="007528BF" w:rsidRPr="008A1DB4">
        <w:rPr>
          <w:spacing w:val="-2"/>
          <w:lang w:val="en-US"/>
        </w:rPr>
      </w:r>
      <w:r w:rsidR="007528BF" w:rsidRPr="008A1DB4">
        <w:rPr>
          <w:spacing w:val="-2"/>
          <w:lang w:val="en-US"/>
        </w:rPr>
        <w:fldChar w:fldCharType="separate"/>
      </w:r>
      <w:r w:rsidR="00E961FA" w:rsidRPr="008A1DB4">
        <w:rPr>
          <w:spacing w:val="-2"/>
          <w:lang w:val="en-US"/>
        </w:rPr>
        <w:t>70</w:t>
      </w:r>
      <w:r w:rsidR="007528BF" w:rsidRPr="008A1DB4">
        <w:rPr>
          <w:spacing w:val="-2"/>
          <w:lang w:val="en-US"/>
        </w:rPr>
        <w:fldChar w:fldCharType="end"/>
      </w:r>
      <w:r w:rsidR="007528BF" w:rsidRPr="008A1DB4">
        <w:rPr>
          <w:spacing w:val="-2"/>
          <w:lang w:val="en-US"/>
        </w:rPr>
        <w:t>)</w:t>
      </w:r>
      <w:r w:rsidR="00270410" w:rsidRPr="008A1DB4">
        <w:rPr>
          <w:spacing w:val="-2"/>
          <w:lang w:val="en-US"/>
        </w:rPr>
        <w:t>. Re</w:t>
      </w:r>
      <w:r w:rsidRPr="008A1DB4">
        <w:rPr>
          <w:spacing w:val="-2"/>
          <w:lang w:val="en-US"/>
        </w:rPr>
        <w:t xml:space="preserve">garding the second </w:t>
      </w:r>
      <w:r w:rsidR="002D1CFC" w:rsidRPr="008A1DB4">
        <w:rPr>
          <w:spacing w:val="-2"/>
          <w:lang w:val="en-US"/>
        </w:rPr>
        <w:t>advisory decision</w:t>
      </w:r>
      <w:r w:rsidR="00270410" w:rsidRPr="008A1DB4">
        <w:rPr>
          <w:spacing w:val="-2"/>
          <w:lang w:val="en-US"/>
        </w:rPr>
        <w:t xml:space="preserve"> (</w:t>
      </w:r>
      <w:r w:rsidR="00127339" w:rsidRPr="008A1DB4">
        <w:rPr>
          <w:spacing w:val="-2"/>
          <w:lang w:val="en-US"/>
        </w:rPr>
        <w:t>dated</w:t>
      </w:r>
      <w:r w:rsidR="00671326" w:rsidRPr="008A1DB4">
        <w:rPr>
          <w:spacing w:val="-2"/>
          <w:lang w:val="en-US"/>
        </w:rPr>
        <w:t xml:space="preserve"> January 27,</w:t>
      </w:r>
      <w:r w:rsidR="00270410" w:rsidRPr="008A1DB4">
        <w:rPr>
          <w:spacing w:val="-2"/>
          <w:lang w:val="en-US"/>
        </w:rPr>
        <w:t xml:space="preserve"> 2010), </w:t>
      </w:r>
      <w:r w:rsidR="00F36400" w:rsidRPr="008A1DB4">
        <w:rPr>
          <w:spacing w:val="-2"/>
          <w:lang w:val="en-US"/>
        </w:rPr>
        <w:t>the Court</w:t>
      </w:r>
      <w:r w:rsidR="004F5656" w:rsidRPr="008A1DB4">
        <w:rPr>
          <w:spacing w:val="-2"/>
          <w:lang w:val="en-US"/>
        </w:rPr>
        <w:t xml:space="preserve"> </w:t>
      </w:r>
      <w:r w:rsidR="007528BF" w:rsidRPr="008A1DB4">
        <w:rPr>
          <w:spacing w:val="-2"/>
          <w:lang w:val="en-US"/>
        </w:rPr>
        <w:t>reitera</w:t>
      </w:r>
      <w:r w:rsidR="00127339" w:rsidRPr="008A1DB4">
        <w:rPr>
          <w:spacing w:val="-2"/>
          <w:lang w:val="en-US"/>
        </w:rPr>
        <w:t>tes that,</w:t>
      </w:r>
      <w:r w:rsidR="007528BF" w:rsidRPr="008A1DB4">
        <w:rPr>
          <w:spacing w:val="-2"/>
          <w:lang w:val="en-US"/>
        </w:rPr>
        <w:t xml:space="preserve"> </w:t>
      </w:r>
      <w:r w:rsidRPr="008A1DB4">
        <w:rPr>
          <w:spacing w:val="-2"/>
          <w:lang w:val="en-US"/>
        </w:rPr>
        <w:t>in</w:t>
      </w:r>
      <w:r w:rsidR="007229C8">
        <w:rPr>
          <w:spacing w:val="-2"/>
          <w:lang w:val="en-US"/>
        </w:rPr>
        <w:t>asmuch</w:t>
      </w:r>
      <w:r w:rsidRPr="008A1DB4">
        <w:rPr>
          <w:spacing w:val="-2"/>
          <w:lang w:val="en-US"/>
        </w:rPr>
        <w:t xml:space="preserve"> as</w:t>
      </w:r>
      <w:r w:rsidR="004F5656" w:rsidRPr="008A1DB4">
        <w:rPr>
          <w:spacing w:val="-2"/>
          <w:lang w:val="en-US"/>
        </w:rPr>
        <w:t xml:space="preserve"> </w:t>
      </w:r>
      <w:r w:rsidR="00FC5891" w:rsidRPr="008A1DB4">
        <w:rPr>
          <w:spacing w:val="-2"/>
          <w:lang w:val="en-US"/>
        </w:rPr>
        <w:t>the extradition process</w:t>
      </w:r>
      <w:r w:rsidRPr="008A1DB4">
        <w:rPr>
          <w:spacing w:val="-2"/>
          <w:lang w:val="en-US"/>
        </w:rPr>
        <w:t xml:space="preserve"> has not concluded </w:t>
      </w:r>
      <w:r w:rsidR="00F36400" w:rsidRPr="008A1DB4">
        <w:rPr>
          <w:spacing w:val="-2"/>
          <w:lang w:val="en-US"/>
        </w:rPr>
        <w:t xml:space="preserve">and </w:t>
      </w:r>
      <w:r w:rsidR="001E7113" w:rsidRPr="008A1DB4">
        <w:rPr>
          <w:spacing w:val="-2"/>
          <w:lang w:val="en-US"/>
        </w:rPr>
        <w:t>Wong</w:t>
      </w:r>
      <w:r w:rsidR="004F5656" w:rsidRPr="008A1DB4">
        <w:rPr>
          <w:spacing w:val="-2"/>
          <w:lang w:val="en-US"/>
        </w:rPr>
        <w:t xml:space="preserve"> Ho Wing </w:t>
      </w:r>
      <w:r w:rsidRPr="008A1DB4">
        <w:rPr>
          <w:spacing w:val="-2"/>
          <w:lang w:val="en-US"/>
        </w:rPr>
        <w:t>has not been extradited, in order to determine whether, at this time, there is a risk to his right to life if he is extradited, the Court must assess all the information, including information subsequent to that judicial decision</w:t>
      </w:r>
      <w:r w:rsidR="004F5656" w:rsidRPr="008A1DB4">
        <w:rPr>
          <w:spacing w:val="-2"/>
          <w:lang w:val="en-US"/>
        </w:rPr>
        <w:t xml:space="preserve"> (</w:t>
      </w:r>
      <w:r w:rsidR="004F5656" w:rsidRPr="008A1DB4">
        <w:rPr>
          <w:i/>
          <w:spacing w:val="-2"/>
          <w:lang w:val="en-US"/>
        </w:rPr>
        <w:t xml:space="preserve">supra </w:t>
      </w:r>
      <w:r w:rsidR="00631F9C" w:rsidRPr="008A1DB4">
        <w:rPr>
          <w:spacing w:val="-2"/>
          <w:lang w:val="en-US"/>
        </w:rPr>
        <w:t>paras.</w:t>
      </w:r>
      <w:r w:rsidR="004F5656"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_Ref417843467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140</w:t>
      </w:r>
      <w:r w:rsidR="00BE2225" w:rsidRPr="008A1DB4">
        <w:rPr>
          <w:spacing w:val="-2"/>
          <w:lang w:val="en-US"/>
        </w:rPr>
        <w:fldChar w:fldCharType="end"/>
      </w:r>
      <w:r w:rsidR="00F36400" w:rsidRPr="008A1DB4">
        <w:rPr>
          <w:spacing w:val="-2"/>
          <w:lang w:val="en-US"/>
        </w:rPr>
        <w:t xml:space="preserve"> and </w:t>
      </w:r>
      <w:r w:rsidR="00BE2225" w:rsidRPr="008A1DB4">
        <w:rPr>
          <w:spacing w:val="-2"/>
          <w:lang w:val="en-US"/>
        </w:rPr>
        <w:fldChar w:fldCharType="begin"/>
      </w:r>
      <w:r w:rsidR="00BE2225" w:rsidRPr="008A1DB4">
        <w:rPr>
          <w:spacing w:val="-2"/>
          <w:lang w:val="en-US"/>
        </w:rPr>
        <w:instrText xml:space="preserve"> REF _Ref417843489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141</w:t>
      </w:r>
      <w:r w:rsidR="00BE2225" w:rsidRPr="008A1DB4">
        <w:rPr>
          <w:spacing w:val="-2"/>
          <w:lang w:val="en-US"/>
        </w:rPr>
        <w:fldChar w:fldCharType="end"/>
      </w:r>
      <w:r w:rsidR="004F5656" w:rsidRPr="008A1DB4">
        <w:rPr>
          <w:spacing w:val="-2"/>
          <w:lang w:val="en-US"/>
        </w:rPr>
        <w:t xml:space="preserve">). </w:t>
      </w:r>
      <w:r w:rsidR="007229C8">
        <w:rPr>
          <w:spacing w:val="-2"/>
          <w:lang w:val="en-US"/>
        </w:rPr>
        <w:t>When</w:t>
      </w:r>
      <w:r w:rsidRPr="008A1DB4">
        <w:rPr>
          <w:spacing w:val="-2"/>
          <w:lang w:val="en-US"/>
        </w:rPr>
        <w:t xml:space="preserve"> a </w:t>
      </w:r>
      <w:r w:rsidR="00947926" w:rsidRPr="008A1DB4">
        <w:rPr>
          <w:spacing w:val="-2"/>
          <w:lang w:val="en-US"/>
        </w:rPr>
        <w:t>possible</w:t>
      </w:r>
      <w:r w:rsidRPr="008A1DB4">
        <w:rPr>
          <w:spacing w:val="-2"/>
          <w:lang w:val="en-US"/>
        </w:rPr>
        <w:t xml:space="preserve"> risk to his right to life existed, the Court’s </w:t>
      </w:r>
      <w:r w:rsidR="00C45946" w:rsidRPr="008A1DB4">
        <w:rPr>
          <w:spacing w:val="-2"/>
          <w:lang w:val="en-US"/>
        </w:rPr>
        <w:t>provisional measures</w:t>
      </w:r>
      <w:r w:rsidR="000811BD" w:rsidRPr="008A1DB4">
        <w:rPr>
          <w:spacing w:val="-2"/>
          <w:lang w:val="en-US"/>
        </w:rPr>
        <w:t xml:space="preserve"> </w:t>
      </w:r>
      <w:r w:rsidRPr="008A1DB4">
        <w:rPr>
          <w:spacing w:val="-2"/>
          <w:lang w:val="en-US"/>
        </w:rPr>
        <w:t xml:space="preserve">were effective to protect </w:t>
      </w:r>
      <w:r w:rsidR="00B43F84" w:rsidRPr="008A1DB4">
        <w:rPr>
          <w:spacing w:val="-2"/>
          <w:lang w:val="en-US"/>
        </w:rPr>
        <w:t>Wong</w:t>
      </w:r>
      <w:r w:rsidR="000811BD" w:rsidRPr="008A1DB4">
        <w:rPr>
          <w:spacing w:val="-2"/>
          <w:lang w:val="en-US"/>
        </w:rPr>
        <w:t xml:space="preserve"> Ho Wing.</w:t>
      </w:r>
      <w:r w:rsidRPr="008A1DB4">
        <w:rPr>
          <w:spacing w:val="-2"/>
          <w:lang w:val="en-US"/>
        </w:rPr>
        <w:t xml:space="preserve"> However, it would not be appropriate that, based on the information that the State had at the time of the second advisory decision, the Court determine that, at the present time, there is risk to the right to life of Wong Ho Wing if he is extradited, owing to the supposed possibility of the application of the death penalty, when subsequent </w:t>
      </w:r>
      <w:r w:rsidR="007229C8">
        <w:rPr>
          <w:spacing w:val="-2"/>
          <w:lang w:val="en-US"/>
        </w:rPr>
        <w:t>measures</w:t>
      </w:r>
      <w:r w:rsidRPr="008A1DB4">
        <w:rPr>
          <w:spacing w:val="-2"/>
          <w:lang w:val="en-US"/>
        </w:rPr>
        <w:t xml:space="preserve"> and information </w:t>
      </w:r>
      <w:r w:rsidR="007229C8">
        <w:rPr>
          <w:spacing w:val="-2"/>
          <w:lang w:val="en-US"/>
        </w:rPr>
        <w:t xml:space="preserve">have </w:t>
      </w:r>
      <w:r w:rsidRPr="008A1DB4">
        <w:rPr>
          <w:spacing w:val="-2"/>
          <w:lang w:val="en-US"/>
        </w:rPr>
        <w:t>eliminate</w:t>
      </w:r>
      <w:r w:rsidR="007229C8">
        <w:rPr>
          <w:spacing w:val="-2"/>
          <w:lang w:val="en-US"/>
        </w:rPr>
        <w:t>d</w:t>
      </w:r>
      <w:r w:rsidRPr="008A1DB4">
        <w:rPr>
          <w:spacing w:val="-2"/>
          <w:lang w:val="en-US"/>
        </w:rPr>
        <w:t xml:space="preserve"> that possibility, as previously determined</w:t>
      </w:r>
      <w:r w:rsidR="004F5656" w:rsidRPr="008A1DB4">
        <w:rPr>
          <w:spacing w:val="-2"/>
          <w:lang w:val="en-US"/>
        </w:rPr>
        <w:t xml:space="preserve"> (</w:t>
      </w:r>
      <w:r w:rsidR="004F5656" w:rsidRPr="008A1DB4">
        <w:rPr>
          <w:i/>
          <w:spacing w:val="-2"/>
          <w:lang w:val="en-US"/>
        </w:rPr>
        <w:t>supra</w:t>
      </w:r>
      <w:r w:rsidR="004F5656"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_Ref418863070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151</w:t>
      </w:r>
      <w:r w:rsidR="00BE2225" w:rsidRPr="008A1DB4">
        <w:rPr>
          <w:spacing w:val="-2"/>
          <w:lang w:val="en-US"/>
        </w:rPr>
        <w:fldChar w:fldCharType="end"/>
      </w:r>
      <w:r w:rsidR="004F5656" w:rsidRPr="008A1DB4">
        <w:rPr>
          <w:spacing w:val="-2"/>
          <w:lang w:val="en-US"/>
        </w:rPr>
        <w:t xml:space="preserve">). </w:t>
      </w:r>
    </w:p>
    <w:p w14:paraId="4488CAD2" w14:textId="77777777" w:rsidR="0079449B" w:rsidRPr="008A1DB4" w:rsidRDefault="0079449B" w:rsidP="00956E97">
      <w:pPr>
        <w:pStyle w:val="PrrafodeSentencia"/>
        <w:numPr>
          <w:ilvl w:val="0"/>
          <w:numId w:val="0"/>
        </w:numPr>
        <w:rPr>
          <w:spacing w:val="-2"/>
          <w:lang w:val="en-US"/>
        </w:rPr>
      </w:pPr>
    </w:p>
    <w:p w14:paraId="4ED9A91D" w14:textId="634B3D69" w:rsidR="0079449B" w:rsidRPr="008A1DB4" w:rsidRDefault="00A91C5F" w:rsidP="00956E97">
      <w:pPr>
        <w:pStyle w:val="PrrafodeSentencia"/>
        <w:rPr>
          <w:spacing w:val="-2"/>
          <w:lang w:val="en-US"/>
        </w:rPr>
      </w:pPr>
      <w:r w:rsidRPr="008A1DB4">
        <w:rPr>
          <w:spacing w:val="-2"/>
          <w:lang w:val="en-US"/>
        </w:rPr>
        <w:t xml:space="preserve">In addition, the Court notes that </w:t>
      </w:r>
      <w:r w:rsidR="00F36400" w:rsidRPr="008A1DB4">
        <w:rPr>
          <w:spacing w:val="-2"/>
          <w:lang w:val="en-US"/>
        </w:rPr>
        <w:t>the Commission</w:t>
      </w:r>
      <w:r w:rsidRPr="008A1DB4">
        <w:rPr>
          <w:spacing w:val="-2"/>
          <w:lang w:val="en-US"/>
        </w:rPr>
        <w:t xml:space="preserve"> also argued that there was “a risk of the clandestine or secret application</w:t>
      </w:r>
      <w:r w:rsidR="00BB44A4" w:rsidRPr="008A1DB4">
        <w:rPr>
          <w:spacing w:val="-2"/>
          <w:lang w:val="en-US"/>
        </w:rPr>
        <w:t xml:space="preserve"> of the </w:t>
      </w:r>
      <w:r w:rsidR="00A3310A" w:rsidRPr="008A1DB4">
        <w:rPr>
          <w:spacing w:val="-2"/>
          <w:lang w:val="en-US"/>
        </w:rPr>
        <w:t>death penalty</w:t>
      </w:r>
      <w:r w:rsidR="0079449B" w:rsidRPr="008A1DB4">
        <w:rPr>
          <w:spacing w:val="-2"/>
          <w:lang w:val="en-US"/>
        </w:rPr>
        <w:t>” (</w:t>
      </w:r>
      <w:r w:rsidR="0079449B" w:rsidRPr="008A1DB4">
        <w:rPr>
          <w:i/>
          <w:spacing w:val="-2"/>
          <w:lang w:val="en-US"/>
        </w:rPr>
        <w:t>supra</w:t>
      </w:r>
      <w:r w:rsidR="0079449B"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_Ref418071492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121</w:t>
      </w:r>
      <w:r w:rsidR="00BE2225" w:rsidRPr="008A1DB4">
        <w:rPr>
          <w:spacing w:val="-2"/>
          <w:lang w:val="en-US"/>
        </w:rPr>
        <w:fldChar w:fldCharType="end"/>
      </w:r>
      <w:r w:rsidR="0079449B" w:rsidRPr="008A1DB4">
        <w:rPr>
          <w:spacing w:val="-2"/>
          <w:lang w:val="en-US"/>
        </w:rPr>
        <w:t xml:space="preserve">). </w:t>
      </w:r>
      <w:r w:rsidRPr="008A1DB4">
        <w:rPr>
          <w:spacing w:val="-2"/>
          <w:lang w:val="en-US"/>
        </w:rPr>
        <w:t>In this regard</w:t>
      </w:r>
      <w:r w:rsidR="0079449B" w:rsidRPr="008A1DB4">
        <w:rPr>
          <w:spacing w:val="-2"/>
          <w:lang w:val="en-US"/>
        </w:rPr>
        <w:t xml:space="preserve">, </w:t>
      </w:r>
      <w:r w:rsidRPr="008A1DB4">
        <w:rPr>
          <w:spacing w:val="-2"/>
          <w:lang w:val="en-US"/>
        </w:rPr>
        <w:t>the</w:t>
      </w:r>
      <w:r w:rsidR="00F36400" w:rsidRPr="008A1DB4">
        <w:rPr>
          <w:spacing w:val="-2"/>
          <w:lang w:val="en-US"/>
        </w:rPr>
        <w:t xml:space="preserve"> Court</w:t>
      </w:r>
      <w:r w:rsidR="0079449B" w:rsidRPr="008A1DB4">
        <w:rPr>
          <w:spacing w:val="-2"/>
          <w:lang w:val="en-US"/>
        </w:rPr>
        <w:t xml:space="preserve"> </w:t>
      </w:r>
      <w:r w:rsidRPr="008A1DB4">
        <w:rPr>
          <w:spacing w:val="-2"/>
          <w:lang w:val="en-US"/>
        </w:rPr>
        <w:t xml:space="preserve">stresses that neither </w:t>
      </w:r>
      <w:r w:rsidR="00F36400" w:rsidRPr="008A1DB4">
        <w:rPr>
          <w:spacing w:val="-2"/>
          <w:lang w:val="en-US"/>
        </w:rPr>
        <w:t>the Commission</w:t>
      </w:r>
      <w:r w:rsidR="0079449B" w:rsidRPr="008A1DB4">
        <w:rPr>
          <w:spacing w:val="-2"/>
          <w:lang w:val="en-US"/>
        </w:rPr>
        <w:t xml:space="preserve"> n</w:t>
      </w:r>
      <w:r w:rsidRPr="008A1DB4">
        <w:rPr>
          <w:spacing w:val="-2"/>
          <w:lang w:val="en-US"/>
        </w:rPr>
        <w:t>or</w:t>
      </w:r>
      <w:r w:rsidR="0079449B" w:rsidRPr="008A1DB4">
        <w:rPr>
          <w:spacing w:val="-2"/>
          <w:lang w:val="en-US"/>
        </w:rPr>
        <w:t xml:space="preserve"> </w:t>
      </w:r>
      <w:r w:rsidR="00C45946" w:rsidRPr="008A1DB4">
        <w:rPr>
          <w:spacing w:val="-2"/>
          <w:lang w:val="en-US"/>
        </w:rPr>
        <w:t>the representative</w:t>
      </w:r>
      <w:r w:rsidRPr="008A1DB4">
        <w:rPr>
          <w:spacing w:val="-2"/>
          <w:lang w:val="en-US"/>
        </w:rPr>
        <w:t xml:space="preserve"> have provided specific information on the alleged risk. In general, and as part of the contextual elements in relation to the application </w:t>
      </w:r>
      <w:r w:rsidR="00BB44A4" w:rsidRPr="008A1DB4">
        <w:rPr>
          <w:rFonts w:cs="Callibri"/>
          <w:spacing w:val="-2"/>
          <w:lang w:val="en-US"/>
        </w:rPr>
        <w:t xml:space="preserve">of the </w:t>
      </w:r>
      <w:r w:rsidR="00A3310A" w:rsidRPr="008A1DB4">
        <w:rPr>
          <w:rFonts w:cs="Callibri"/>
          <w:spacing w:val="-2"/>
          <w:lang w:val="en-US"/>
        </w:rPr>
        <w:t>death penalty</w:t>
      </w:r>
      <w:r w:rsidRPr="008A1DB4">
        <w:rPr>
          <w:rFonts w:cs="Callibri"/>
          <w:spacing w:val="-2"/>
          <w:lang w:val="en-US"/>
        </w:rPr>
        <w:t xml:space="preserve"> i</w:t>
      </w:r>
      <w:r w:rsidR="0079449B" w:rsidRPr="008A1DB4">
        <w:rPr>
          <w:rFonts w:cs="Callibri"/>
          <w:spacing w:val="-2"/>
          <w:lang w:val="en-US"/>
        </w:rPr>
        <w:t xml:space="preserve">n </w:t>
      </w:r>
      <w:r w:rsidR="00653211" w:rsidRPr="008A1DB4">
        <w:rPr>
          <w:rFonts w:cs="Callibri"/>
          <w:spacing w:val="-2"/>
          <w:lang w:val="en-US"/>
        </w:rPr>
        <w:t>the requesting State</w:t>
      </w:r>
      <w:r w:rsidR="0079449B" w:rsidRPr="008A1DB4">
        <w:rPr>
          <w:rFonts w:cs="Callibri"/>
          <w:spacing w:val="-2"/>
          <w:lang w:val="en-US"/>
        </w:rPr>
        <w:t xml:space="preserve">, </w:t>
      </w:r>
      <w:r w:rsidR="00F36400" w:rsidRPr="008A1DB4">
        <w:rPr>
          <w:rFonts w:cs="Callibri"/>
          <w:spacing w:val="-2"/>
          <w:lang w:val="en-US"/>
        </w:rPr>
        <w:t xml:space="preserve">the Commission and </w:t>
      </w:r>
      <w:r w:rsidR="00C45946" w:rsidRPr="008A1DB4">
        <w:rPr>
          <w:rFonts w:cs="Callibri"/>
          <w:spacing w:val="-2"/>
          <w:lang w:val="en-US"/>
        </w:rPr>
        <w:t>the representative</w:t>
      </w:r>
      <w:r w:rsidR="00866344" w:rsidRPr="008A1DB4">
        <w:rPr>
          <w:rFonts w:cs="Callibri"/>
          <w:spacing w:val="-2"/>
          <w:lang w:val="en-US"/>
        </w:rPr>
        <w:t xml:space="preserve"> </w:t>
      </w:r>
      <w:r w:rsidRPr="008A1DB4">
        <w:rPr>
          <w:rFonts w:cs="Callibri"/>
          <w:spacing w:val="-2"/>
          <w:lang w:val="en-US"/>
        </w:rPr>
        <w:t xml:space="preserve">indicated that data and statistics on its application are not public, </w:t>
      </w:r>
      <w:r w:rsidR="00561394">
        <w:rPr>
          <w:rFonts w:cs="Callibri"/>
          <w:spacing w:val="-2"/>
          <w:lang w:val="en-US"/>
        </w:rPr>
        <w:t xml:space="preserve">they </w:t>
      </w:r>
      <w:r w:rsidRPr="008A1DB4">
        <w:rPr>
          <w:rFonts w:cs="Callibri"/>
          <w:spacing w:val="-2"/>
          <w:lang w:val="en-US"/>
        </w:rPr>
        <w:t xml:space="preserve">are presumable handled as State secrets, and there is no detailed information on the number of persons condemned to </w:t>
      </w:r>
      <w:r w:rsidRPr="008A1DB4">
        <w:rPr>
          <w:spacing w:val="-2"/>
          <w:lang w:val="en-US"/>
        </w:rPr>
        <w:t>death,</w:t>
      </w:r>
      <w:r w:rsidR="0079449B" w:rsidRPr="008A1DB4">
        <w:rPr>
          <w:rStyle w:val="FootnoteReference"/>
          <w:spacing w:val="-2"/>
          <w:lang w:val="en-US"/>
        </w:rPr>
        <w:footnoteReference w:id="210"/>
      </w:r>
      <w:r w:rsidRPr="008A1DB4">
        <w:rPr>
          <w:spacing w:val="-2"/>
          <w:lang w:val="en-US"/>
        </w:rPr>
        <w:t xml:space="preserve"> and this has been confirmed by the r</w:t>
      </w:r>
      <w:r w:rsidR="001E7113" w:rsidRPr="008A1DB4">
        <w:rPr>
          <w:spacing w:val="-2"/>
          <w:lang w:val="en-US"/>
        </w:rPr>
        <w:t>equesting State</w:t>
      </w:r>
      <w:r w:rsidRPr="008A1DB4">
        <w:rPr>
          <w:spacing w:val="-2"/>
          <w:lang w:val="en-US"/>
        </w:rPr>
        <w:t xml:space="preserve"> itself.</w:t>
      </w:r>
      <w:r w:rsidR="0079449B" w:rsidRPr="008A1DB4">
        <w:rPr>
          <w:rStyle w:val="FootnoteReference"/>
          <w:spacing w:val="-2"/>
          <w:lang w:val="en-US"/>
        </w:rPr>
        <w:footnoteReference w:id="211"/>
      </w:r>
      <w:r w:rsidRPr="008A1DB4">
        <w:rPr>
          <w:spacing w:val="-2"/>
          <w:lang w:val="en-US"/>
        </w:rPr>
        <w:t xml:space="preserve"> Nevertheless, this Court considers that a real, foreseeable and personal risk that Wong Ho Wing could be subjected to extrajudicial execution if he is extradited to China cannot be derived from this information</w:t>
      </w:r>
      <w:r w:rsidR="0079449B" w:rsidRPr="008A1DB4">
        <w:rPr>
          <w:spacing w:val="-2"/>
          <w:lang w:val="en-US"/>
        </w:rPr>
        <w:t>.</w:t>
      </w:r>
    </w:p>
    <w:p w14:paraId="0F399AAD" w14:textId="77777777" w:rsidR="0079449B" w:rsidRPr="008A1DB4" w:rsidRDefault="0079449B" w:rsidP="00956E97">
      <w:pPr>
        <w:pStyle w:val="PrrafodeSentencia"/>
        <w:numPr>
          <w:ilvl w:val="0"/>
          <w:numId w:val="0"/>
        </w:numPr>
        <w:rPr>
          <w:spacing w:val="-2"/>
          <w:lang w:val="en-US"/>
        </w:rPr>
      </w:pPr>
    </w:p>
    <w:p w14:paraId="2FEF89DC" w14:textId="273C104C" w:rsidR="008B1678" w:rsidRPr="008A1DB4" w:rsidRDefault="00A91C5F" w:rsidP="00A91C5F">
      <w:pPr>
        <w:pStyle w:val="PrrafodeSentencia"/>
        <w:rPr>
          <w:spacing w:val="-2"/>
          <w:lang w:val="en-US"/>
        </w:rPr>
      </w:pPr>
      <w:r w:rsidRPr="008A1DB4">
        <w:rPr>
          <w:spacing w:val="-2"/>
          <w:lang w:val="en-US"/>
        </w:rPr>
        <w:t xml:space="preserve">Furthermore, </w:t>
      </w:r>
      <w:r w:rsidR="00F36400" w:rsidRPr="008A1DB4">
        <w:rPr>
          <w:spacing w:val="-2"/>
          <w:lang w:val="en-US"/>
        </w:rPr>
        <w:t xml:space="preserve">the Commission and </w:t>
      </w:r>
      <w:r w:rsidR="00C45946" w:rsidRPr="008A1DB4">
        <w:rPr>
          <w:spacing w:val="-2"/>
          <w:lang w:val="en-US"/>
        </w:rPr>
        <w:t>the representative</w:t>
      </w:r>
      <w:r w:rsidR="008B1678" w:rsidRPr="008A1DB4">
        <w:rPr>
          <w:spacing w:val="-2"/>
          <w:lang w:val="en-US"/>
        </w:rPr>
        <w:t xml:space="preserve"> </w:t>
      </w:r>
      <w:r w:rsidRPr="008A1DB4">
        <w:rPr>
          <w:spacing w:val="-2"/>
          <w:lang w:val="en-US"/>
        </w:rPr>
        <w:t>referred to information on reports concerning due process in t</w:t>
      </w:r>
      <w:r w:rsidR="00852877">
        <w:rPr>
          <w:spacing w:val="-2"/>
          <w:lang w:val="en-US"/>
        </w:rPr>
        <w:t>rials for crimes punishable by</w:t>
      </w:r>
      <w:r w:rsidRPr="008A1DB4">
        <w:rPr>
          <w:spacing w:val="-2"/>
          <w:lang w:val="en-US"/>
        </w:rPr>
        <w:t xml:space="preserve"> the death penalty, and the number of </w:t>
      </w:r>
      <w:r w:rsidR="00852877">
        <w:rPr>
          <w:spacing w:val="-2"/>
          <w:lang w:val="en-US"/>
        </w:rPr>
        <w:lastRenderedPageBreak/>
        <w:t>crimes</w:t>
      </w:r>
      <w:r w:rsidRPr="008A1DB4">
        <w:rPr>
          <w:spacing w:val="-2"/>
          <w:lang w:val="en-US"/>
        </w:rPr>
        <w:t xml:space="preserve"> to which it is applicable</w:t>
      </w:r>
      <w:r w:rsidR="00852877">
        <w:rPr>
          <w:spacing w:val="-2"/>
          <w:lang w:val="en-US"/>
        </w:rPr>
        <w:t>,</w:t>
      </w:r>
      <w:r w:rsidRPr="008A1DB4">
        <w:rPr>
          <w:spacing w:val="-2"/>
          <w:lang w:val="en-US"/>
        </w:rPr>
        <w:t xml:space="preserve"> as grounds for the alleged risk to the right to life of Wong Ho Wing in the requesting State, while Peru </w:t>
      </w:r>
      <w:r w:rsidR="00852877">
        <w:rPr>
          <w:spacing w:val="-2"/>
          <w:lang w:val="en-US"/>
        </w:rPr>
        <w:t>underscored the progress and</w:t>
      </w:r>
      <w:r w:rsidRPr="008A1DB4">
        <w:rPr>
          <w:spacing w:val="-2"/>
          <w:lang w:val="en-US"/>
        </w:rPr>
        <w:t xml:space="preserve"> improvements made in </w:t>
      </w:r>
      <w:r w:rsidR="00653211" w:rsidRPr="008A1DB4">
        <w:rPr>
          <w:rStyle w:val="apple-converted-space"/>
          <w:spacing w:val="-2"/>
          <w:lang w:val="en-US"/>
        </w:rPr>
        <w:t>the requesting State</w:t>
      </w:r>
      <w:r w:rsidR="008B1678" w:rsidRPr="008A1DB4">
        <w:rPr>
          <w:rFonts w:cs="Arial"/>
          <w:color w:val="111111"/>
          <w:spacing w:val="-2"/>
          <w:shd w:val="clear" w:color="auto" w:fill="FFFFFF"/>
          <w:lang w:val="en-US"/>
        </w:rPr>
        <w:t xml:space="preserve">. </w:t>
      </w:r>
      <w:r w:rsidRPr="008A1DB4">
        <w:rPr>
          <w:rFonts w:cs="Arial"/>
          <w:color w:val="111111"/>
          <w:spacing w:val="-2"/>
          <w:shd w:val="clear" w:color="auto" w:fill="FFFFFF"/>
          <w:lang w:val="en-US"/>
        </w:rPr>
        <w:t xml:space="preserve">However, the Court considers that, inasmuch as, currently, the death penalty would not be legally applicable to the offense of </w:t>
      </w:r>
      <w:r w:rsidR="00127339" w:rsidRPr="008A1DB4">
        <w:rPr>
          <w:rFonts w:cs="Arial"/>
          <w:color w:val="111111"/>
          <w:spacing w:val="-2"/>
          <w:shd w:val="clear" w:color="auto" w:fill="FFFFFF"/>
          <w:lang w:val="en-US"/>
        </w:rPr>
        <w:t>smuggling ordinary merchandise</w:t>
      </w:r>
      <w:r w:rsidRPr="008A1DB4">
        <w:rPr>
          <w:rFonts w:cs="Arial"/>
          <w:color w:val="111111"/>
          <w:spacing w:val="-2"/>
          <w:shd w:val="clear" w:color="auto" w:fill="FFFFFF"/>
          <w:lang w:val="en-US"/>
        </w:rPr>
        <w:t xml:space="preserve"> i</w:t>
      </w:r>
      <w:r w:rsidR="008B1678" w:rsidRPr="008A1DB4">
        <w:rPr>
          <w:rFonts w:cs="Arial"/>
          <w:color w:val="111111"/>
          <w:spacing w:val="-2"/>
          <w:shd w:val="clear" w:color="auto" w:fill="FFFFFF"/>
          <w:lang w:val="en-US"/>
        </w:rPr>
        <w:t xml:space="preserve">n China, </w:t>
      </w:r>
      <w:r w:rsidRPr="008A1DB4">
        <w:rPr>
          <w:rFonts w:cs="Arial"/>
          <w:color w:val="111111"/>
          <w:spacing w:val="-2"/>
          <w:shd w:val="clear" w:color="auto" w:fill="FFFFFF"/>
          <w:lang w:val="en-US"/>
        </w:rPr>
        <w:t xml:space="preserve">this information is not relevant or pertinent, and it is not incumbent on the Court to assess it in this case. </w:t>
      </w:r>
    </w:p>
    <w:p w14:paraId="13887A71" w14:textId="77777777" w:rsidR="0079449B" w:rsidRPr="008A1DB4" w:rsidRDefault="0079449B" w:rsidP="00956E97">
      <w:pPr>
        <w:pStyle w:val="ListParagraph"/>
        <w:tabs>
          <w:tab w:val="left" w:pos="284"/>
          <w:tab w:val="left" w:pos="567"/>
        </w:tabs>
        <w:ind w:left="0"/>
        <w:rPr>
          <w:spacing w:val="-2"/>
          <w:lang w:val="en-US"/>
        </w:rPr>
      </w:pPr>
    </w:p>
    <w:p w14:paraId="75CDF965" w14:textId="6D0ABE1A" w:rsidR="00B16E52" w:rsidRPr="008A1DB4" w:rsidRDefault="00B16E52" w:rsidP="00956E97">
      <w:pPr>
        <w:pStyle w:val="Heading2"/>
        <w:ind w:left="1440" w:firstLine="0"/>
        <w:rPr>
          <w:spacing w:val="-2"/>
          <w:lang w:val="en-US"/>
        </w:rPr>
      </w:pPr>
      <w:bookmarkStart w:id="705" w:name="_Toc418912619"/>
      <w:bookmarkStart w:id="706" w:name="_Toc419394405"/>
      <w:bookmarkStart w:id="707" w:name="_Toc429490270"/>
      <w:bookmarkStart w:id="708" w:name="_Toc429503782"/>
      <w:bookmarkStart w:id="709" w:name="_Toc429504288"/>
      <w:bookmarkStart w:id="710" w:name="_Toc429678001"/>
      <w:bookmarkStart w:id="711" w:name="_Toc430017164"/>
      <w:bookmarkStart w:id="712" w:name="_Toc430017393"/>
      <w:bookmarkStart w:id="713" w:name="_Toc430018675"/>
      <w:bookmarkStart w:id="714" w:name="_Toc430125273"/>
      <w:bookmarkStart w:id="715" w:name="_Toc430125381"/>
      <w:r w:rsidRPr="008A1DB4">
        <w:rPr>
          <w:spacing w:val="-2"/>
          <w:lang w:val="en-US"/>
        </w:rPr>
        <w:t>B.</w:t>
      </w:r>
      <w:r w:rsidR="009A628B" w:rsidRPr="008A1DB4">
        <w:rPr>
          <w:spacing w:val="-2"/>
          <w:lang w:val="en-US"/>
        </w:rPr>
        <w:t>4</w:t>
      </w:r>
      <w:r w:rsidRPr="008A1DB4">
        <w:rPr>
          <w:spacing w:val="-2"/>
          <w:lang w:val="en-US"/>
        </w:rPr>
        <w:t xml:space="preserve">) </w:t>
      </w:r>
      <w:r w:rsidR="00127339" w:rsidRPr="008A1DB4">
        <w:rPr>
          <w:spacing w:val="-2"/>
          <w:lang w:val="en-US"/>
        </w:rPr>
        <w:t>Alleged risk of torture and other forms of cruel, inhuman or degrading treatment</w:t>
      </w:r>
      <w:bookmarkEnd w:id="705"/>
      <w:bookmarkEnd w:id="706"/>
      <w:bookmarkEnd w:id="707"/>
      <w:bookmarkEnd w:id="708"/>
      <w:bookmarkEnd w:id="709"/>
      <w:bookmarkEnd w:id="710"/>
      <w:bookmarkEnd w:id="711"/>
      <w:bookmarkEnd w:id="712"/>
      <w:bookmarkEnd w:id="713"/>
      <w:bookmarkEnd w:id="714"/>
      <w:bookmarkEnd w:id="715"/>
      <w:r w:rsidR="007F787D" w:rsidRPr="008A1DB4">
        <w:rPr>
          <w:spacing w:val="-2"/>
          <w:lang w:val="en-US"/>
        </w:rPr>
        <w:t xml:space="preserve"> </w:t>
      </w:r>
    </w:p>
    <w:p w14:paraId="79E5884E" w14:textId="77777777" w:rsidR="00790B67" w:rsidRPr="008A1DB4" w:rsidRDefault="00790B67" w:rsidP="00956E97">
      <w:pPr>
        <w:pStyle w:val="PrrafodeSentencia"/>
        <w:numPr>
          <w:ilvl w:val="0"/>
          <w:numId w:val="0"/>
        </w:numPr>
        <w:rPr>
          <w:spacing w:val="-2"/>
          <w:lang w:val="en-US"/>
        </w:rPr>
      </w:pPr>
    </w:p>
    <w:p w14:paraId="75AB18D6" w14:textId="639EFD11" w:rsidR="001C4601" w:rsidRPr="008A1DB4" w:rsidRDefault="0041751B" w:rsidP="0041751B">
      <w:pPr>
        <w:pStyle w:val="PrrafodeSentencia"/>
        <w:rPr>
          <w:spacing w:val="-2"/>
          <w:lang w:val="en-US"/>
        </w:rPr>
      </w:pPr>
      <w:r w:rsidRPr="008A1DB4">
        <w:rPr>
          <w:spacing w:val="-2"/>
          <w:lang w:val="en-US"/>
        </w:rPr>
        <w:t>When examining</w:t>
      </w:r>
      <w:r w:rsidR="001C4601" w:rsidRPr="008A1DB4">
        <w:rPr>
          <w:spacing w:val="-2"/>
          <w:lang w:val="en-US"/>
        </w:rPr>
        <w:t xml:space="preserve"> </w:t>
      </w:r>
      <w:r w:rsidR="00071662" w:rsidRPr="008A1DB4">
        <w:rPr>
          <w:spacing w:val="-2"/>
          <w:lang w:val="en-US"/>
        </w:rPr>
        <w:t>the principle of non-</w:t>
      </w:r>
      <w:proofErr w:type="spellStart"/>
      <w:r w:rsidR="00071662" w:rsidRPr="008A1DB4">
        <w:rPr>
          <w:spacing w:val="-2"/>
          <w:lang w:val="en-US"/>
        </w:rPr>
        <w:t>refoulement</w:t>
      </w:r>
      <w:proofErr w:type="spellEnd"/>
      <w:r w:rsidR="001C4601" w:rsidRPr="008A1DB4">
        <w:rPr>
          <w:spacing w:val="-2"/>
          <w:lang w:val="en-US"/>
        </w:rPr>
        <w:t xml:space="preserve"> </w:t>
      </w:r>
      <w:r w:rsidRPr="008A1DB4">
        <w:rPr>
          <w:spacing w:val="-2"/>
          <w:lang w:val="en-US"/>
        </w:rPr>
        <w:t xml:space="preserve">in relation to </w:t>
      </w:r>
      <w:r w:rsidR="00947926" w:rsidRPr="008A1DB4">
        <w:rPr>
          <w:spacing w:val="-2"/>
          <w:lang w:val="en-US"/>
        </w:rPr>
        <w:t>possible</w:t>
      </w:r>
      <w:r w:rsidRPr="008A1DB4">
        <w:rPr>
          <w:spacing w:val="-2"/>
          <w:lang w:val="en-US"/>
        </w:rPr>
        <w:t xml:space="preserve"> risks to the rights to life or liberty of an individual, this Court has </w:t>
      </w:r>
      <w:r w:rsidR="00852877">
        <w:rPr>
          <w:spacing w:val="-2"/>
          <w:lang w:val="en-US"/>
        </w:rPr>
        <w:t>affirmed</w:t>
      </w:r>
      <w:r w:rsidRPr="008A1DB4">
        <w:rPr>
          <w:spacing w:val="-2"/>
          <w:lang w:val="en-US"/>
        </w:rPr>
        <w:t xml:space="preserve"> that the risk “must be real; in other words, it must be a foreseeable consequence. Thus, the State must make an individualized analysis in order to verify and evaluate the circumstances cited by the individual which reveal that he may suffer harm to his life or liberty in the country </w:t>
      </w:r>
      <w:r w:rsidR="00852877">
        <w:rPr>
          <w:spacing w:val="-2"/>
          <w:lang w:val="en-US"/>
        </w:rPr>
        <w:t xml:space="preserve">to </w:t>
      </w:r>
      <w:r w:rsidRPr="008A1DB4">
        <w:rPr>
          <w:spacing w:val="-2"/>
          <w:lang w:val="en-US"/>
        </w:rPr>
        <w:t xml:space="preserve">which it is sought to return him (that is, his country of origin), or that, if he is expelled to a third country, he runs the risk of the being sent to the place where he </w:t>
      </w:r>
      <w:r w:rsidR="00852877">
        <w:rPr>
          <w:spacing w:val="-2"/>
          <w:lang w:val="en-US"/>
        </w:rPr>
        <w:t>runs</w:t>
      </w:r>
      <w:r w:rsidRPr="008A1DB4">
        <w:rPr>
          <w:spacing w:val="-2"/>
          <w:lang w:val="en-US"/>
        </w:rPr>
        <w:t xml:space="preserve"> this risk. If his </w:t>
      </w:r>
      <w:r w:rsidR="00852877">
        <w:rPr>
          <w:spacing w:val="-2"/>
          <w:lang w:val="en-US"/>
        </w:rPr>
        <w:t>explanation</w:t>
      </w:r>
      <w:r w:rsidRPr="008A1DB4">
        <w:rPr>
          <w:spacing w:val="-2"/>
          <w:lang w:val="en-US"/>
        </w:rPr>
        <w:t xml:space="preserve"> that he could face a situation of risk is credible, convincing and coherent, the</w:t>
      </w:r>
      <w:r w:rsidR="00071662" w:rsidRPr="008A1DB4">
        <w:rPr>
          <w:spacing w:val="-2"/>
          <w:lang w:val="en-US"/>
        </w:rPr>
        <w:t xml:space="preserve"> principle of non-</w:t>
      </w:r>
      <w:proofErr w:type="spellStart"/>
      <w:r w:rsidR="00071662" w:rsidRPr="008A1DB4">
        <w:rPr>
          <w:spacing w:val="-2"/>
          <w:lang w:val="en-US"/>
        </w:rPr>
        <w:t>refoulement</w:t>
      </w:r>
      <w:proofErr w:type="spellEnd"/>
      <w:r w:rsidRPr="008A1DB4">
        <w:rPr>
          <w:spacing w:val="-2"/>
          <w:lang w:val="en-US"/>
        </w:rPr>
        <w:t xml:space="preserve"> should be observed.</w:t>
      </w:r>
      <w:r w:rsidR="001C4601" w:rsidRPr="008A1DB4">
        <w:rPr>
          <w:spacing w:val="-2"/>
          <w:lang w:val="en-US"/>
        </w:rPr>
        <w:t>”</w:t>
      </w:r>
      <w:r w:rsidR="001C4601" w:rsidRPr="008A1DB4">
        <w:rPr>
          <w:rStyle w:val="FootnoteReference"/>
          <w:spacing w:val="-2"/>
          <w:lang w:val="en-US"/>
        </w:rPr>
        <w:footnoteReference w:id="212"/>
      </w:r>
    </w:p>
    <w:p w14:paraId="3FE4B75D" w14:textId="77777777" w:rsidR="001C4601" w:rsidRPr="008A1DB4" w:rsidRDefault="001C4601" w:rsidP="00956E97">
      <w:pPr>
        <w:pStyle w:val="ListParagraph"/>
        <w:tabs>
          <w:tab w:val="left" w:pos="284"/>
          <w:tab w:val="left" w:pos="567"/>
        </w:tabs>
        <w:ind w:left="0"/>
        <w:rPr>
          <w:spacing w:val="-2"/>
          <w:szCs w:val="20"/>
          <w:lang w:val="en-US"/>
        </w:rPr>
      </w:pPr>
    </w:p>
    <w:p w14:paraId="445B3ABC" w14:textId="58BA0676" w:rsidR="001C4601" w:rsidRPr="008A1DB4" w:rsidRDefault="0041751B" w:rsidP="0041751B">
      <w:pPr>
        <w:pStyle w:val="PrrafodeSentencia"/>
        <w:rPr>
          <w:spacing w:val="-2"/>
          <w:lang w:val="en-US"/>
        </w:rPr>
      </w:pPr>
      <w:r w:rsidRPr="008A1DB4">
        <w:rPr>
          <w:spacing w:val="-2"/>
          <w:lang w:val="en-US"/>
        </w:rPr>
        <w:t>Furthermore, the Court reiterates that when a</w:t>
      </w:r>
      <w:r w:rsidR="00852877">
        <w:rPr>
          <w:spacing w:val="-2"/>
          <w:lang w:val="en-US"/>
        </w:rPr>
        <w:t>n individual</w:t>
      </w:r>
      <w:r w:rsidRPr="008A1DB4">
        <w:rPr>
          <w:spacing w:val="-2"/>
          <w:lang w:val="en-US"/>
        </w:rPr>
        <w:t xml:space="preserve"> alleges before a State Party that there is a risk if he is returned, the competent authorities of that State</w:t>
      </w:r>
      <w:r w:rsidR="00852877">
        <w:rPr>
          <w:spacing w:val="-2"/>
          <w:lang w:val="en-US"/>
        </w:rPr>
        <w:t xml:space="preserve"> should, at least, interview him</w:t>
      </w:r>
      <w:r w:rsidRPr="008A1DB4">
        <w:rPr>
          <w:spacing w:val="-2"/>
          <w:lang w:val="en-US"/>
        </w:rPr>
        <w:t>, giving him the opportunity to explain the reasons why he contests the return</w:t>
      </w:r>
      <w:r w:rsidR="00852877">
        <w:rPr>
          <w:spacing w:val="-2"/>
          <w:lang w:val="en-US"/>
        </w:rPr>
        <w:t>,</w:t>
      </w:r>
      <w:r w:rsidRPr="008A1DB4">
        <w:rPr>
          <w:spacing w:val="-2"/>
          <w:lang w:val="en-US"/>
        </w:rPr>
        <w:t xml:space="preserve"> and make a prior or preliminary assessment in order </w:t>
      </w:r>
      <w:r w:rsidR="00852877">
        <w:rPr>
          <w:spacing w:val="-2"/>
          <w:lang w:val="en-US"/>
        </w:rPr>
        <w:t>to determine whether or not that</w:t>
      </w:r>
      <w:r w:rsidRPr="008A1DB4">
        <w:rPr>
          <w:spacing w:val="-2"/>
          <w:lang w:val="en-US"/>
        </w:rPr>
        <w:t xml:space="preserve"> risk exists and, if it is verified, the individual should not be deported to the country where the risk exists</w:t>
      </w:r>
      <w:r w:rsidR="00BB44BD" w:rsidRPr="008A1DB4">
        <w:rPr>
          <w:spacing w:val="-2"/>
          <w:lang w:val="en-US"/>
        </w:rPr>
        <w:t xml:space="preserve"> (</w:t>
      </w:r>
      <w:r w:rsidR="00BB44BD" w:rsidRPr="008A1DB4">
        <w:rPr>
          <w:i/>
          <w:spacing w:val="-2"/>
          <w:lang w:val="en-US"/>
        </w:rPr>
        <w:t xml:space="preserve">supra </w:t>
      </w:r>
      <w:r w:rsidR="00C45946" w:rsidRPr="008A1DB4">
        <w:rPr>
          <w:spacing w:val="-2"/>
          <w:lang w:val="en-US"/>
        </w:rPr>
        <w:t xml:space="preserve">para. </w:t>
      </w:r>
      <w:r w:rsidR="00BB44BD" w:rsidRPr="008A1DB4">
        <w:rPr>
          <w:spacing w:val="-2"/>
          <w:lang w:val="en-US"/>
        </w:rPr>
        <w:fldChar w:fldCharType="begin"/>
      </w:r>
      <w:r w:rsidR="00BB44BD" w:rsidRPr="008A1DB4">
        <w:rPr>
          <w:spacing w:val="-2"/>
          <w:lang w:val="en-US"/>
        </w:rPr>
        <w:instrText xml:space="preserve"> REF _Ref426129496 \r \h </w:instrText>
      </w:r>
      <w:r w:rsidR="00DC41F4" w:rsidRPr="008A1DB4">
        <w:rPr>
          <w:spacing w:val="-2"/>
          <w:lang w:val="en-US"/>
        </w:rPr>
        <w:instrText xml:space="preserve"> \* MERGEFORMAT </w:instrText>
      </w:r>
      <w:r w:rsidR="00BB44BD" w:rsidRPr="008A1DB4">
        <w:rPr>
          <w:spacing w:val="-2"/>
          <w:lang w:val="en-US"/>
        </w:rPr>
      </w:r>
      <w:r w:rsidR="00BB44BD" w:rsidRPr="008A1DB4">
        <w:rPr>
          <w:spacing w:val="-2"/>
          <w:lang w:val="en-US"/>
        </w:rPr>
        <w:fldChar w:fldCharType="separate"/>
      </w:r>
      <w:r w:rsidR="00E961FA" w:rsidRPr="008A1DB4">
        <w:rPr>
          <w:spacing w:val="-2"/>
          <w:lang w:val="en-US"/>
        </w:rPr>
        <w:t>129</w:t>
      </w:r>
      <w:r w:rsidR="00BB44BD" w:rsidRPr="008A1DB4">
        <w:rPr>
          <w:spacing w:val="-2"/>
          <w:lang w:val="en-US"/>
        </w:rPr>
        <w:fldChar w:fldCharType="end"/>
      </w:r>
      <w:r w:rsidR="00BB44BD" w:rsidRPr="008A1DB4">
        <w:rPr>
          <w:spacing w:val="-2"/>
          <w:lang w:val="en-US"/>
        </w:rPr>
        <w:t>)</w:t>
      </w:r>
      <w:r w:rsidR="001C4601" w:rsidRPr="008A1DB4">
        <w:rPr>
          <w:spacing w:val="-2"/>
          <w:lang w:val="en-US"/>
        </w:rPr>
        <w:t xml:space="preserve">. </w:t>
      </w:r>
    </w:p>
    <w:p w14:paraId="7AE910DD" w14:textId="77777777" w:rsidR="001C4601" w:rsidRPr="008A1DB4" w:rsidRDefault="001C4601" w:rsidP="00956E97">
      <w:pPr>
        <w:pStyle w:val="ListParagraph"/>
        <w:tabs>
          <w:tab w:val="left" w:pos="284"/>
          <w:tab w:val="left" w:pos="567"/>
        </w:tabs>
        <w:ind w:left="0"/>
        <w:rPr>
          <w:spacing w:val="-2"/>
          <w:szCs w:val="20"/>
          <w:lang w:val="en-US"/>
        </w:rPr>
      </w:pPr>
    </w:p>
    <w:p w14:paraId="5A38F4EE" w14:textId="3C22E4FC" w:rsidR="001C4601" w:rsidRPr="008A1DB4" w:rsidRDefault="0041751B" w:rsidP="00956E97">
      <w:pPr>
        <w:pStyle w:val="PrrafodeSentencia"/>
        <w:rPr>
          <w:rStyle w:val="apple-converted-space"/>
          <w:b/>
          <w:color w:val="000000"/>
          <w:spacing w:val="-2"/>
          <w:sz w:val="18"/>
          <w:szCs w:val="18"/>
          <w:lang w:val="en-US"/>
        </w:rPr>
      </w:pPr>
      <w:r w:rsidRPr="008A1DB4">
        <w:rPr>
          <w:spacing w:val="-2"/>
          <w:lang w:val="en-US"/>
        </w:rPr>
        <w:t xml:space="preserve">In this type of situation, </w:t>
      </w:r>
      <w:r w:rsidR="00922262" w:rsidRPr="008A1DB4">
        <w:rPr>
          <w:spacing w:val="-2"/>
          <w:lang w:val="en-US"/>
        </w:rPr>
        <w:t>the Human Rights Committee</w:t>
      </w:r>
      <w:r w:rsidR="001C4601" w:rsidRPr="008A1DB4">
        <w:rPr>
          <w:spacing w:val="-2"/>
          <w:lang w:val="en-US"/>
        </w:rPr>
        <w:t xml:space="preserve"> h</w:t>
      </w:r>
      <w:r w:rsidRPr="008A1DB4">
        <w:rPr>
          <w:spacing w:val="-2"/>
          <w:lang w:val="en-US"/>
        </w:rPr>
        <w:t xml:space="preserve">as applied the standard of real risk, according to which any treatment contrary to the Covenant must be a necessary and foreseeable consequence of the </w:t>
      </w:r>
      <w:r w:rsidR="002D1CFC" w:rsidRPr="008A1DB4">
        <w:rPr>
          <w:spacing w:val="-2"/>
          <w:lang w:val="en-US"/>
        </w:rPr>
        <w:t>extradition</w:t>
      </w:r>
      <w:r w:rsidRPr="008A1DB4">
        <w:rPr>
          <w:spacing w:val="-2"/>
          <w:lang w:val="en-US"/>
        </w:rPr>
        <w:t>,</w:t>
      </w:r>
      <w:r w:rsidR="001C4601" w:rsidRPr="008A1DB4">
        <w:rPr>
          <w:rStyle w:val="FootnoteReference"/>
          <w:spacing w:val="-2"/>
          <w:lang w:val="en-US"/>
        </w:rPr>
        <w:footnoteReference w:id="213"/>
      </w:r>
      <w:r w:rsidRPr="008A1DB4">
        <w:rPr>
          <w:spacing w:val="-2"/>
          <w:lang w:val="en-US"/>
        </w:rPr>
        <w:t xml:space="preserve"> while the </w:t>
      </w:r>
      <w:r w:rsidR="00922262" w:rsidRPr="008A1DB4">
        <w:rPr>
          <w:spacing w:val="-2"/>
          <w:lang w:val="en-US"/>
        </w:rPr>
        <w:t>Committee against Torture</w:t>
      </w:r>
      <w:r w:rsidR="001C4601" w:rsidRPr="008A1DB4">
        <w:rPr>
          <w:spacing w:val="-2"/>
          <w:lang w:val="en-US"/>
        </w:rPr>
        <w:t xml:space="preserve"> ha</w:t>
      </w:r>
      <w:r w:rsidRPr="008A1DB4">
        <w:rPr>
          <w:spacing w:val="-2"/>
          <w:lang w:val="en-US"/>
        </w:rPr>
        <w:t>s indicated that the ri</w:t>
      </w:r>
      <w:r w:rsidR="00947926">
        <w:rPr>
          <w:spacing w:val="-2"/>
          <w:lang w:val="en-US"/>
        </w:rPr>
        <w:t>sk must be foreseeable,</w:t>
      </w:r>
      <w:r w:rsidRPr="008A1DB4">
        <w:rPr>
          <w:spacing w:val="-2"/>
          <w:lang w:val="en-US"/>
        </w:rPr>
        <w:t xml:space="preserve"> real and personal.</w:t>
      </w:r>
      <w:r w:rsidR="001C4601" w:rsidRPr="008A1DB4">
        <w:rPr>
          <w:rStyle w:val="FootnoteReference"/>
          <w:spacing w:val="-2"/>
          <w:lang w:val="en-US"/>
        </w:rPr>
        <w:footnoteReference w:id="214"/>
      </w:r>
      <w:r w:rsidR="001C4601" w:rsidRPr="008A1DB4">
        <w:rPr>
          <w:spacing w:val="-2"/>
          <w:lang w:val="en-US"/>
        </w:rPr>
        <w:t xml:space="preserve"> </w:t>
      </w:r>
      <w:r w:rsidR="00F36400" w:rsidRPr="008A1DB4">
        <w:rPr>
          <w:spacing w:val="-2"/>
          <w:lang w:val="en-US"/>
        </w:rPr>
        <w:t xml:space="preserve">The </w:t>
      </w:r>
      <w:r w:rsidR="00631F9C" w:rsidRPr="008A1DB4">
        <w:rPr>
          <w:spacing w:val="-2"/>
          <w:lang w:val="en-US"/>
        </w:rPr>
        <w:t>European Court</w:t>
      </w:r>
      <w:r w:rsidR="001C4601" w:rsidRPr="008A1DB4">
        <w:rPr>
          <w:spacing w:val="-2"/>
          <w:lang w:val="en-US"/>
        </w:rPr>
        <w:t xml:space="preserve"> ha</w:t>
      </w:r>
      <w:r w:rsidRPr="008A1DB4">
        <w:rPr>
          <w:spacing w:val="-2"/>
          <w:lang w:val="en-US"/>
        </w:rPr>
        <w:t xml:space="preserve">s affirmed this standard indicating </w:t>
      </w:r>
      <w:r w:rsidR="00196CB7">
        <w:rPr>
          <w:spacing w:val="-2"/>
          <w:lang w:val="en-US"/>
        </w:rPr>
        <w:t>that substantial</w:t>
      </w:r>
      <w:r w:rsidRPr="008A1DB4">
        <w:rPr>
          <w:spacing w:val="-2"/>
          <w:lang w:val="en-US"/>
        </w:rPr>
        <w:t xml:space="preserve"> grounds must be shown for believing that there is a real risk of suffering treatment contrary to the prohibition of torture and cruel treatment. This Court agrees with these criteria and considers that “to determin</w:t>
      </w:r>
      <w:r w:rsidR="00773CA5" w:rsidRPr="008A1DB4">
        <w:rPr>
          <w:spacing w:val="-2"/>
          <w:lang w:val="en-US"/>
        </w:rPr>
        <w:t>e the existence of a risk of ill-</w:t>
      </w:r>
      <w:r w:rsidRPr="008A1DB4">
        <w:rPr>
          <w:spacing w:val="-2"/>
          <w:lang w:val="en-US"/>
        </w:rPr>
        <w:t>treatment, the Court must examine the foreseeable consequences of sending the petitioner to the receiving State, bearing in mind the general situation of that State as well as the personal circumstances of the petitioner.</w:t>
      </w:r>
      <w:r w:rsidR="001C4601" w:rsidRPr="008A1DB4">
        <w:rPr>
          <w:spacing w:val="-2"/>
          <w:lang w:val="en-US"/>
        </w:rPr>
        <w:t>”</w:t>
      </w:r>
      <w:r w:rsidR="001C4601" w:rsidRPr="008A1DB4">
        <w:rPr>
          <w:rStyle w:val="FootnoteReference"/>
          <w:spacing w:val="-2"/>
          <w:lang w:val="en-US"/>
        </w:rPr>
        <w:footnoteReference w:id="215"/>
      </w:r>
      <w:r w:rsidR="001C4601" w:rsidRPr="008A1DB4">
        <w:rPr>
          <w:rStyle w:val="apple-converted-space"/>
          <w:rFonts w:cs="Arial"/>
          <w:color w:val="000000"/>
          <w:spacing w:val="-2"/>
          <w:shd w:val="clear" w:color="auto" w:fill="FFFFFF"/>
          <w:lang w:val="en-US"/>
        </w:rPr>
        <w:t> </w:t>
      </w:r>
    </w:p>
    <w:p w14:paraId="56193809" w14:textId="77777777" w:rsidR="001C4601" w:rsidRPr="008A1DB4" w:rsidRDefault="001C4601" w:rsidP="00956E97">
      <w:pPr>
        <w:pStyle w:val="PrrafodeSentencia"/>
        <w:numPr>
          <w:ilvl w:val="0"/>
          <w:numId w:val="0"/>
        </w:numPr>
        <w:rPr>
          <w:rStyle w:val="apple-converted-space"/>
          <w:b/>
          <w:color w:val="000000"/>
          <w:spacing w:val="-2"/>
          <w:sz w:val="18"/>
          <w:szCs w:val="18"/>
          <w:lang w:val="en-US"/>
        </w:rPr>
      </w:pPr>
    </w:p>
    <w:p w14:paraId="2087887D" w14:textId="463960DD" w:rsidR="001C4601" w:rsidRPr="008A1DB4" w:rsidRDefault="0041751B" w:rsidP="00956E97">
      <w:pPr>
        <w:pStyle w:val="PrrafodeSentencia"/>
        <w:rPr>
          <w:spacing w:val="-2"/>
          <w:lang w:val="en-US"/>
        </w:rPr>
      </w:pPr>
      <w:bookmarkStart w:id="716" w:name="_Ref418901996"/>
      <w:r w:rsidRPr="008A1DB4">
        <w:rPr>
          <w:spacing w:val="-2"/>
          <w:lang w:val="en-US"/>
        </w:rPr>
        <w:t>Both</w:t>
      </w:r>
      <w:r w:rsidR="00B16E52" w:rsidRPr="008A1DB4">
        <w:rPr>
          <w:spacing w:val="-2"/>
          <w:lang w:val="en-US"/>
        </w:rPr>
        <w:t xml:space="preserve"> </w:t>
      </w:r>
      <w:r w:rsidR="00F36400" w:rsidRPr="008A1DB4">
        <w:rPr>
          <w:spacing w:val="-2"/>
          <w:lang w:val="en-US"/>
        </w:rPr>
        <w:t>the Commission</w:t>
      </w:r>
      <w:r w:rsidR="00B16E52" w:rsidRPr="008A1DB4">
        <w:rPr>
          <w:spacing w:val="-2"/>
          <w:lang w:val="en-US"/>
        </w:rPr>
        <w:t xml:space="preserve"> </w:t>
      </w:r>
      <w:r w:rsidRPr="008A1DB4">
        <w:rPr>
          <w:spacing w:val="-2"/>
          <w:lang w:val="en-US"/>
        </w:rPr>
        <w:t>and</w:t>
      </w:r>
      <w:r w:rsidR="00B16E52" w:rsidRPr="008A1DB4">
        <w:rPr>
          <w:spacing w:val="-2"/>
          <w:lang w:val="en-US"/>
        </w:rPr>
        <w:t xml:space="preserve"> </w:t>
      </w:r>
      <w:r w:rsidR="00C45946" w:rsidRPr="008A1DB4">
        <w:rPr>
          <w:spacing w:val="-2"/>
          <w:lang w:val="en-US"/>
        </w:rPr>
        <w:t>the representative</w:t>
      </w:r>
      <w:r w:rsidR="00B16E52" w:rsidRPr="008A1DB4">
        <w:rPr>
          <w:spacing w:val="-2"/>
          <w:lang w:val="en-US"/>
        </w:rPr>
        <w:t xml:space="preserve"> </w:t>
      </w:r>
      <w:r w:rsidRPr="008A1DB4">
        <w:rPr>
          <w:spacing w:val="-2"/>
          <w:lang w:val="en-US"/>
        </w:rPr>
        <w:t xml:space="preserve">argue that the </w:t>
      </w:r>
      <w:r w:rsidR="002D1CFC" w:rsidRPr="008A1DB4">
        <w:rPr>
          <w:spacing w:val="-2"/>
          <w:lang w:val="en-US"/>
        </w:rPr>
        <w:t>extradition</w:t>
      </w:r>
      <w:r w:rsidR="00B16E52" w:rsidRPr="008A1DB4">
        <w:rPr>
          <w:spacing w:val="-2"/>
          <w:lang w:val="en-US"/>
        </w:rPr>
        <w:t xml:space="preserve"> </w:t>
      </w:r>
      <w:r w:rsidR="00B43F84" w:rsidRPr="008A1DB4">
        <w:rPr>
          <w:spacing w:val="-2"/>
          <w:lang w:val="en-US"/>
        </w:rPr>
        <w:t>of Wong</w:t>
      </w:r>
      <w:r w:rsidRPr="008A1DB4">
        <w:rPr>
          <w:spacing w:val="-2"/>
          <w:lang w:val="en-US"/>
        </w:rPr>
        <w:t xml:space="preserve"> Ho Wing to</w:t>
      </w:r>
      <w:r w:rsidR="00B16E52" w:rsidRPr="008A1DB4">
        <w:rPr>
          <w:spacing w:val="-2"/>
          <w:lang w:val="en-US"/>
        </w:rPr>
        <w:t xml:space="preserve"> China </w:t>
      </w:r>
      <w:r w:rsidRPr="008A1DB4">
        <w:rPr>
          <w:spacing w:val="-2"/>
          <w:lang w:val="en-US"/>
        </w:rPr>
        <w:t>would expose him to treatment contrary to the prohibition of torture or</w:t>
      </w:r>
      <w:r w:rsidR="00B16E52" w:rsidRPr="008A1DB4">
        <w:rPr>
          <w:spacing w:val="-2"/>
          <w:lang w:val="en-US"/>
        </w:rPr>
        <w:t xml:space="preserve"> </w:t>
      </w:r>
      <w:r w:rsidR="00B87470" w:rsidRPr="008A1DB4">
        <w:rPr>
          <w:spacing w:val="-2"/>
          <w:lang w:val="en-US"/>
        </w:rPr>
        <w:t>other forms of</w:t>
      </w:r>
      <w:r w:rsidR="00B16E52" w:rsidRPr="008A1DB4">
        <w:rPr>
          <w:spacing w:val="-2"/>
          <w:lang w:val="en-US"/>
        </w:rPr>
        <w:t xml:space="preserve"> </w:t>
      </w:r>
      <w:r w:rsidR="00CC6F1B" w:rsidRPr="008A1DB4">
        <w:rPr>
          <w:spacing w:val="-2"/>
          <w:lang w:val="en-US"/>
        </w:rPr>
        <w:t xml:space="preserve">cruel, </w:t>
      </w:r>
      <w:r w:rsidR="00CC6F1B" w:rsidRPr="008A1DB4">
        <w:rPr>
          <w:spacing w:val="-2"/>
          <w:lang w:val="en-US"/>
        </w:rPr>
        <w:lastRenderedPageBreak/>
        <w:t>inhuman or degrading treatment</w:t>
      </w:r>
      <w:r w:rsidR="00B16E52" w:rsidRPr="008A1DB4">
        <w:rPr>
          <w:spacing w:val="-2"/>
          <w:lang w:val="en-US"/>
        </w:rPr>
        <w:t>.</w:t>
      </w:r>
      <w:r w:rsidR="00790B67" w:rsidRPr="008A1DB4">
        <w:rPr>
          <w:spacing w:val="-2"/>
          <w:lang w:val="en-US"/>
        </w:rPr>
        <w:t xml:space="preserve"> </w:t>
      </w:r>
      <w:r w:rsidRPr="008A1DB4">
        <w:rPr>
          <w:spacing w:val="-2"/>
          <w:lang w:val="en-US"/>
        </w:rPr>
        <w:t>However, in this case, the judicial authorities who intervened did not analyze this risk.</w:t>
      </w:r>
      <w:bookmarkEnd w:id="716"/>
      <w:r w:rsidR="001C4601" w:rsidRPr="008A1DB4">
        <w:rPr>
          <w:spacing w:val="-2"/>
          <w:lang w:val="en-US"/>
        </w:rPr>
        <w:t xml:space="preserve"> </w:t>
      </w:r>
    </w:p>
    <w:p w14:paraId="0A8BE760" w14:textId="77777777" w:rsidR="001C4601" w:rsidRPr="008A1DB4" w:rsidRDefault="001C4601" w:rsidP="00956E97">
      <w:pPr>
        <w:pStyle w:val="PrrafodeSentencia"/>
        <w:numPr>
          <w:ilvl w:val="0"/>
          <w:numId w:val="0"/>
        </w:numPr>
        <w:rPr>
          <w:spacing w:val="-2"/>
          <w:lang w:val="en-US"/>
        </w:rPr>
      </w:pPr>
    </w:p>
    <w:p w14:paraId="3437F7B0" w14:textId="77C2959F" w:rsidR="00B16E52" w:rsidRPr="008A1DB4" w:rsidRDefault="0041751B" w:rsidP="00956E97">
      <w:pPr>
        <w:pStyle w:val="PrrafodeSentencia"/>
        <w:rPr>
          <w:spacing w:val="-2"/>
          <w:lang w:val="en-US"/>
        </w:rPr>
      </w:pPr>
      <w:r w:rsidRPr="008A1DB4">
        <w:rPr>
          <w:spacing w:val="-2"/>
          <w:lang w:val="en-US"/>
        </w:rPr>
        <w:t xml:space="preserve">Based on the above, the Court will now examine: </w:t>
      </w:r>
      <w:r w:rsidR="00B16E52" w:rsidRPr="008A1DB4">
        <w:rPr>
          <w:spacing w:val="-2"/>
          <w:lang w:val="en-US"/>
        </w:rPr>
        <w:t xml:space="preserve">(a) </w:t>
      </w:r>
      <w:r w:rsidRPr="008A1DB4">
        <w:rPr>
          <w:spacing w:val="-2"/>
          <w:lang w:val="en-US"/>
        </w:rPr>
        <w:t xml:space="preserve">the State’s obligation to consider the argument concerning the risk of a violation of </w:t>
      </w:r>
      <w:r w:rsidR="00776D24" w:rsidRPr="008A1DB4">
        <w:rPr>
          <w:spacing w:val="-2"/>
          <w:lang w:val="en-US"/>
        </w:rPr>
        <w:t>personal integrity</w:t>
      </w:r>
      <w:r w:rsidR="00B16E52" w:rsidRPr="008A1DB4">
        <w:rPr>
          <w:spacing w:val="-2"/>
          <w:lang w:val="en-US"/>
        </w:rPr>
        <w:t>,</w:t>
      </w:r>
      <w:r w:rsidR="00F36400" w:rsidRPr="008A1DB4">
        <w:rPr>
          <w:spacing w:val="-2"/>
          <w:lang w:val="en-US"/>
        </w:rPr>
        <w:t xml:space="preserve"> and </w:t>
      </w:r>
      <w:r w:rsidR="00B16E52" w:rsidRPr="008A1DB4">
        <w:rPr>
          <w:spacing w:val="-2"/>
          <w:lang w:val="en-US"/>
        </w:rPr>
        <w:t xml:space="preserve">(b) </w:t>
      </w:r>
      <w:r w:rsidRPr="008A1DB4">
        <w:rPr>
          <w:spacing w:val="-2"/>
          <w:lang w:val="en-US"/>
        </w:rPr>
        <w:t>the existence of the alleged risk of treatment contrary to the prohibition of torture or</w:t>
      </w:r>
      <w:r w:rsidR="00B16E52" w:rsidRPr="008A1DB4">
        <w:rPr>
          <w:spacing w:val="-2"/>
          <w:lang w:val="en-US"/>
        </w:rPr>
        <w:t xml:space="preserve"> </w:t>
      </w:r>
      <w:r w:rsidR="00B87470" w:rsidRPr="008A1DB4">
        <w:rPr>
          <w:spacing w:val="-2"/>
          <w:lang w:val="en-US"/>
        </w:rPr>
        <w:t>other forms of</w:t>
      </w:r>
      <w:r w:rsidR="00B16E52" w:rsidRPr="008A1DB4">
        <w:rPr>
          <w:spacing w:val="-2"/>
          <w:lang w:val="en-US"/>
        </w:rPr>
        <w:t xml:space="preserve"> </w:t>
      </w:r>
      <w:r w:rsidRPr="008A1DB4">
        <w:rPr>
          <w:spacing w:val="-2"/>
          <w:lang w:val="en-US"/>
        </w:rPr>
        <w:t>cruel, inhuman</w:t>
      </w:r>
      <w:r w:rsidR="00B16E52" w:rsidRPr="008A1DB4">
        <w:rPr>
          <w:spacing w:val="-2"/>
          <w:lang w:val="en-US"/>
        </w:rPr>
        <w:t xml:space="preserve"> </w:t>
      </w:r>
      <w:r w:rsidR="00947926" w:rsidRPr="008A1DB4">
        <w:rPr>
          <w:spacing w:val="-2"/>
          <w:lang w:val="en-US"/>
        </w:rPr>
        <w:t>or</w:t>
      </w:r>
      <w:r w:rsidR="00B16E52" w:rsidRPr="008A1DB4">
        <w:rPr>
          <w:spacing w:val="-2"/>
          <w:lang w:val="en-US"/>
        </w:rPr>
        <w:t xml:space="preserve"> degrad</w:t>
      </w:r>
      <w:r w:rsidRPr="008A1DB4">
        <w:rPr>
          <w:spacing w:val="-2"/>
          <w:lang w:val="en-US"/>
        </w:rPr>
        <w:t>ing treatment in the case</w:t>
      </w:r>
      <w:r w:rsidR="00B16E52" w:rsidRPr="008A1DB4">
        <w:rPr>
          <w:spacing w:val="-2"/>
          <w:lang w:val="en-US"/>
        </w:rPr>
        <w:t xml:space="preserve"> </w:t>
      </w:r>
      <w:r w:rsidR="00B43F84" w:rsidRPr="008A1DB4">
        <w:rPr>
          <w:spacing w:val="-2"/>
          <w:lang w:val="en-US"/>
        </w:rPr>
        <w:t>of Wong</w:t>
      </w:r>
      <w:r w:rsidR="00B16E52" w:rsidRPr="008A1DB4">
        <w:rPr>
          <w:spacing w:val="-2"/>
          <w:lang w:val="en-US"/>
        </w:rPr>
        <w:t xml:space="preserve"> Ho Wing, </w:t>
      </w:r>
      <w:r w:rsidRPr="008A1DB4">
        <w:rPr>
          <w:spacing w:val="-2"/>
          <w:lang w:val="en-US"/>
        </w:rPr>
        <w:t>taking into account:</w:t>
      </w:r>
      <w:r w:rsidR="00B16E52" w:rsidRPr="008A1DB4">
        <w:rPr>
          <w:spacing w:val="-2"/>
          <w:lang w:val="en-US"/>
        </w:rPr>
        <w:t xml:space="preserve"> (</w:t>
      </w:r>
      <w:proofErr w:type="spellStart"/>
      <w:r w:rsidR="00B16E52" w:rsidRPr="008A1DB4">
        <w:rPr>
          <w:spacing w:val="-2"/>
          <w:lang w:val="en-US"/>
        </w:rPr>
        <w:t>i</w:t>
      </w:r>
      <w:proofErr w:type="spellEnd"/>
      <w:r w:rsidR="00B16E52" w:rsidRPr="008A1DB4">
        <w:rPr>
          <w:spacing w:val="-2"/>
          <w:lang w:val="en-US"/>
        </w:rPr>
        <w:t xml:space="preserve">) </w:t>
      </w:r>
      <w:r w:rsidRPr="008A1DB4">
        <w:rPr>
          <w:spacing w:val="-2"/>
          <w:lang w:val="en-US"/>
        </w:rPr>
        <w:t xml:space="preserve">the alleged situation of risk in </w:t>
      </w:r>
      <w:r w:rsidR="00653211" w:rsidRPr="008A1DB4">
        <w:rPr>
          <w:spacing w:val="-2"/>
          <w:lang w:val="en-US"/>
        </w:rPr>
        <w:t>the requesting State</w:t>
      </w:r>
      <w:r w:rsidRPr="008A1DB4">
        <w:rPr>
          <w:spacing w:val="-2"/>
          <w:lang w:val="en-US"/>
        </w:rPr>
        <w:t>,</w:t>
      </w:r>
      <w:r w:rsidR="00F36400" w:rsidRPr="008A1DB4">
        <w:rPr>
          <w:spacing w:val="-2"/>
          <w:lang w:val="en-US"/>
        </w:rPr>
        <w:t xml:space="preserve"> and </w:t>
      </w:r>
      <w:r w:rsidRPr="008A1DB4">
        <w:rPr>
          <w:spacing w:val="-2"/>
          <w:lang w:val="en-US"/>
        </w:rPr>
        <w:t>(ii) the</w:t>
      </w:r>
      <w:r w:rsidR="00B16E52" w:rsidRPr="008A1DB4">
        <w:rPr>
          <w:spacing w:val="-2"/>
          <w:lang w:val="en-US"/>
        </w:rPr>
        <w:t xml:space="preserve"> </w:t>
      </w:r>
      <w:r w:rsidR="00945E57" w:rsidRPr="008A1DB4">
        <w:rPr>
          <w:spacing w:val="-2"/>
          <w:lang w:val="en-US"/>
        </w:rPr>
        <w:t xml:space="preserve">diplomatic </w:t>
      </w:r>
      <w:r w:rsidR="00030FA9" w:rsidRPr="008A1DB4">
        <w:rPr>
          <w:spacing w:val="-2"/>
          <w:lang w:val="en-US"/>
        </w:rPr>
        <w:t>assurances provided</w:t>
      </w:r>
      <w:r w:rsidR="00860B3A" w:rsidRPr="008A1DB4">
        <w:rPr>
          <w:spacing w:val="-2"/>
          <w:lang w:val="en-US"/>
        </w:rPr>
        <w:t xml:space="preserve"> by</w:t>
      </w:r>
      <w:r w:rsidR="00B16E52" w:rsidRPr="008A1DB4">
        <w:rPr>
          <w:spacing w:val="-2"/>
          <w:lang w:val="en-US"/>
        </w:rPr>
        <w:t xml:space="preserve"> </w:t>
      </w:r>
      <w:r w:rsidR="00FE5E87" w:rsidRPr="008A1DB4">
        <w:rPr>
          <w:spacing w:val="-2"/>
          <w:lang w:val="en-US"/>
        </w:rPr>
        <w:t>the People’s Republic of China</w:t>
      </w:r>
      <w:r w:rsidR="0024198F" w:rsidRPr="008A1DB4">
        <w:rPr>
          <w:spacing w:val="-2"/>
          <w:lang w:val="en-US"/>
        </w:rPr>
        <w:t xml:space="preserve"> </w:t>
      </w:r>
      <w:r w:rsidRPr="008A1DB4">
        <w:rPr>
          <w:spacing w:val="-2"/>
          <w:lang w:val="en-US"/>
        </w:rPr>
        <w:t>in this regard</w:t>
      </w:r>
      <w:r w:rsidR="00B16E52" w:rsidRPr="008A1DB4">
        <w:rPr>
          <w:spacing w:val="-2"/>
          <w:lang w:val="en-US"/>
        </w:rPr>
        <w:t xml:space="preserve">.  </w:t>
      </w:r>
    </w:p>
    <w:p w14:paraId="6225DC0C" w14:textId="77777777" w:rsidR="00F76429" w:rsidRPr="008A1DB4" w:rsidRDefault="00F76429" w:rsidP="00956E97">
      <w:pPr>
        <w:pStyle w:val="PrrafodeSentencia"/>
        <w:numPr>
          <w:ilvl w:val="0"/>
          <w:numId w:val="0"/>
        </w:numPr>
        <w:rPr>
          <w:spacing w:val="-2"/>
          <w:lang w:val="en-US"/>
        </w:rPr>
      </w:pPr>
    </w:p>
    <w:p w14:paraId="6177B2A4" w14:textId="5A954AE1" w:rsidR="00B16E52" w:rsidRPr="008A1DB4" w:rsidRDefault="00B16E52" w:rsidP="00956E97">
      <w:pPr>
        <w:pStyle w:val="Heading3"/>
        <w:ind w:firstLine="0"/>
        <w:rPr>
          <w:spacing w:val="-2"/>
          <w:lang w:val="en-US"/>
        </w:rPr>
      </w:pPr>
      <w:bookmarkStart w:id="717" w:name="_Toc419394406"/>
      <w:bookmarkStart w:id="718" w:name="_Toc429490271"/>
      <w:bookmarkStart w:id="719" w:name="_Toc429503783"/>
      <w:bookmarkStart w:id="720" w:name="_Toc429504289"/>
      <w:bookmarkStart w:id="721" w:name="_Toc429678002"/>
      <w:bookmarkStart w:id="722" w:name="_Toc430017165"/>
      <w:bookmarkStart w:id="723" w:name="_Toc430017394"/>
      <w:bookmarkStart w:id="724" w:name="_Toc430018676"/>
      <w:bookmarkStart w:id="725" w:name="_Toc430125274"/>
      <w:bookmarkStart w:id="726" w:name="_Toc430125382"/>
      <w:r w:rsidRPr="008A1DB4">
        <w:rPr>
          <w:spacing w:val="-2"/>
          <w:lang w:val="en-US"/>
        </w:rPr>
        <w:t>B.</w:t>
      </w:r>
      <w:r w:rsidR="00967766" w:rsidRPr="008A1DB4">
        <w:rPr>
          <w:spacing w:val="-2"/>
          <w:lang w:val="en-US"/>
        </w:rPr>
        <w:t>4</w:t>
      </w:r>
      <w:r w:rsidRPr="008A1DB4">
        <w:rPr>
          <w:spacing w:val="-2"/>
          <w:lang w:val="en-US"/>
        </w:rPr>
        <w:t xml:space="preserve">.a) </w:t>
      </w:r>
      <w:r w:rsidR="00127339" w:rsidRPr="008A1DB4">
        <w:rPr>
          <w:spacing w:val="-2"/>
          <w:lang w:val="en-US"/>
        </w:rPr>
        <w:t xml:space="preserve">Obligation to consider the arguments concerning the risk of </w:t>
      </w:r>
      <w:r w:rsidR="0041751B" w:rsidRPr="008A1DB4">
        <w:rPr>
          <w:spacing w:val="-2"/>
          <w:lang w:val="en-US"/>
        </w:rPr>
        <w:t xml:space="preserve">a </w:t>
      </w:r>
      <w:r w:rsidR="00127339" w:rsidRPr="008A1DB4">
        <w:rPr>
          <w:spacing w:val="-2"/>
          <w:lang w:val="en-US"/>
        </w:rPr>
        <w:t>violation of</w:t>
      </w:r>
      <w:r w:rsidRPr="008A1DB4">
        <w:rPr>
          <w:spacing w:val="-2"/>
          <w:lang w:val="en-US"/>
        </w:rPr>
        <w:t xml:space="preserve"> </w:t>
      </w:r>
      <w:r w:rsidR="00776D24" w:rsidRPr="008A1DB4">
        <w:rPr>
          <w:spacing w:val="-2"/>
          <w:lang w:val="en-US"/>
        </w:rPr>
        <w:t>personal integrity</w:t>
      </w:r>
      <w:bookmarkEnd w:id="717"/>
      <w:bookmarkEnd w:id="718"/>
      <w:bookmarkEnd w:id="719"/>
      <w:bookmarkEnd w:id="720"/>
      <w:bookmarkEnd w:id="721"/>
      <w:bookmarkEnd w:id="722"/>
      <w:bookmarkEnd w:id="723"/>
      <w:bookmarkEnd w:id="724"/>
      <w:bookmarkEnd w:id="725"/>
      <w:bookmarkEnd w:id="726"/>
      <w:r w:rsidRPr="008A1DB4">
        <w:rPr>
          <w:spacing w:val="-2"/>
          <w:lang w:val="en-US"/>
        </w:rPr>
        <w:t xml:space="preserve"> </w:t>
      </w:r>
    </w:p>
    <w:p w14:paraId="480D2833" w14:textId="77777777" w:rsidR="00B16E52" w:rsidRPr="008A1DB4" w:rsidRDefault="00B16E52" w:rsidP="00956E97">
      <w:pPr>
        <w:pStyle w:val="ListParagraph"/>
        <w:tabs>
          <w:tab w:val="left" w:pos="567"/>
        </w:tabs>
        <w:ind w:left="0"/>
        <w:rPr>
          <w:b/>
          <w:color w:val="000000"/>
          <w:spacing w:val="-2"/>
          <w:sz w:val="18"/>
          <w:szCs w:val="18"/>
          <w:lang w:val="en-US"/>
        </w:rPr>
      </w:pPr>
    </w:p>
    <w:p w14:paraId="3BCC1893" w14:textId="596038DD" w:rsidR="00B16E52" w:rsidRPr="008A1DB4" w:rsidRDefault="001C4601" w:rsidP="0041751B">
      <w:pPr>
        <w:pStyle w:val="PrrafodeSentencia"/>
        <w:rPr>
          <w:spacing w:val="-2"/>
          <w:lang w:val="en-US"/>
        </w:rPr>
      </w:pPr>
      <w:r w:rsidRPr="008A1DB4">
        <w:rPr>
          <w:spacing w:val="-2"/>
          <w:lang w:val="en-US"/>
        </w:rPr>
        <w:t>R</w:t>
      </w:r>
      <w:r w:rsidR="00B16E52" w:rsidRPr="008A1DB4">
        <w:rPr>
          <w:spacing w:val="-2"/>
          <w:lang w:val="en-US"/>
        </w:rPr>
        <w:t>e</w:t>
      </w:r>
      <w:r w:rsidR="0041751B" w:rsidRPr="008A1DB4">
        <w:rPr>
          <w:spacing w:val="-2"/>
          <w:lang w:val="en-US"/>
        </w:rPr>
        <w:t xml:space="preserve">garding a </w:t>
      </w:r>
      <w:r w:rsidR="00947926" w:rsidRPr="008A1DB4">
        <w:rPr>
          <w:spacing w:val="-2"/>
          <w:lang w:val="en-US"/>
        </w:rPr>
        <w:t>possible</w:t>
      </w:r>
      <w:r w:rsidR="0041751B" w:rsidRPr="008A1DB4">
        <w:rPr>
          <w:spacing w:val="-2"/>
          <w:lang w:val="en-US"/>
        </w:rPr>
        <w:t xml:space="preserve"> risk of torture in case of return, the </w:t>
      </w:r>
      <w:r w:rsidR="00922262" w:rsidRPr="008A1DB4">
        <w:rPr>
          <w:spacing w:val="-2"/>
          <w:lang w:val="en-US"/>
        </w:rPr>
        <w:t>Committee against Torture</w:t>
      </w:r>
      <w:r w:rsidR="00B16E52" w:rsidRPr="008A1DB4">
        <w:rPr>
          <w:spacing w:val="-2"/>
          <w:lang w:val="en-US"/>
        </w:rPr>
        <w:t xml:space="preserve"> ha</w:t>
      </w:r>
      <w:r w:rsidR="0041751B" w:rsidRPr="008A1DB4">
        <w:rPr>
          <w:spacing w:val="-2"/>
          <w:lang w:val="en-US"/>
        </w:rPr>
        <w:t xml:space="preserve">s indicated that </w:t>
      </w:r>
      <w:r w:rsidR="00B16E52" w:rsidRPr="001B16AA">
        <w:rPr>
          <w:spacing w:val="-2"/>
          <w:lang w:val="en-US"/>
        </w:rPr>
        <w:t>“</w:t>
      </w:r>
      <w:r w:rsidR="00F36400" w:rsidRPr="001B16AA">
        <w:rPr>
          <w:spacing w:val="-2"/>
          <w:lang w:val="en-US"/>
        </w:rPr>
        <w:t>the State</w:t>
      </w:r>
      <w:r w:rsidR="00B16E52" w:rsidRPr="001B16AA">
        <w:rPr>
          <w:spacing w:val="-2"/>
          <w:lang w:val="en-US"/>
        </w:rPr>
        <w:t xml:space="preserve"> </w:t>
      </w:r>
      <w:r w:rsidR="0041751B" w:rsidRPr="001B16AA">
        <w:rPr>
          <w:lang w:val="en-US"/>
        </w:rPr>
        <w:t>party and the Committee are obliged to assess whether there are substantial grounds for believing that the author would be in danger of being subjected to torture were he/she to be expelled, returned or extradited, [thus,] the risk of torture must be assessed on grounds that go beyond mere theory or suspicion[, although] the risk does not have to meet the test of being highly probable.” It also indicated that the petitioner “must establish that he/she would be in danger of being tortured and that the grounds for so believing are substantial […], and that such danger is personal and present.</w:t>
      </w:r>
      <w:r w:rsidR="00366E52" w:rsidRPr="001B16AA">
        <w:rPr>
          <w:spacing w:val="-2"/>
          <w:lang w:val="en-US"/>
        </w:rPr>
        <w:t>”</w:t>
      </w:r>
      <w:r w:rsidR="00B16E52" w:rsidRPr="001B16AA">
        <w:rPr>
          <w:rStyle w:val="FootnoteReference"/>
          <w:rFonts w:cs="Times"/>
          <w:spacing w:val="-2"/>
          <w:lang w:val="en-US"/>
        </w:rPr>
        <w:footnoteReference w:id="216"/>
      </w:r>
    </w:p>
    <w:p w14:paraId="1FD79665" w14:textId="77777777" w:rsidR="00B16E52" w:rsidRPr="008A1DB4" w:rsidRDefault="00B16E52" w:rsidP="00956E97">
      <w:pPr>
        <w:pStyle w:val="ListParagraph"/>
        <w:tabs>
          <w:tab w:val="left" w:pos="567"/>
        </w:tabs>
        <w:autoSpaceDE w:val="0"/>
        <w:autoSpaceDN w:val="0"/>
        <w:rPr>
          <w:spacing w:val="-2"/>
          <w:sz w:val="18"/>
          <w:szCs w:val="18"/>
          <w:lang w:val="en-US"/>
        </w:rPr>
      </w:pPr>
    </w:p>
    <w:p w14:paraId="2CB1761C" w14:textId="726A04EA" w:rsidR="00B16E52" w:rsidRPr="008A1DB4" w:rsidRDefault="00947926" w:rsidP="00956E97">
      <w:pPr>
        <w:pStyle w:val="PrrafodeSentencia"/>
        <w:rPr>
          <w:spacing w:val="-2"/>
          <w:sz w:val="18"/>
          <w:szCs w:val="18"/>
          <w:lang w:val="en-US"/>
        </w:rPr>
      </w:pPr>
      <w:r w:rsidRPr="008A1DB4">
        <w:rPr>
          <w:spacing w:val="-2"/>
          <w:lang w:val="en-US"/>
        </w:rPr>
        <w:t>Although</w:t>
      </w:r>
      <w:r w:rsidR="0041751B" w:rsidRPr="008A1DB4">
        <w:rPr>
          <w:spacing w:val="-2"/>
          <w:lang w:val="en-US"/>
        </w:rPr>
        <w:t xml:space="preserve"> it is true that the main allegation of risk by </w:t>
      </w:r>
      <w:r w:rsidR="00C45946" w:rsidRPr="008A1DB4">
        <w:rPr>
          <w:spacing w:val="-2"/>
          <w:lang w:val="en-US"/>
        </w:rPr>
        <w:t xml:space="preserve">the </w:t>
      </w:r>
      <w:r w:rsidR="00F36400" w:rsidRPr="008A1DB4">
        <w:rPr>
          <w:spacing w:val="-2"/>
          <w:lang w:val="en-US"/>
        </w:rPr>
        <w:t xml:space="preserve">presumed victim and </w:t>
      </w:r>
      <w:r w:rsidR="008601B6" w:rsidRPr="008A1DB4">
        <w:rPr>
          <w:spacing w:val="-2"/>
          <w:lang w:val="en-US"/>
        </w:rPr>
        <w:t>his representative</w:t>
      </w:r>
      <w:r w:rsidR="00B16E52" w:rsidRPr="008A1DB4">
        <w:rPr>
          <w:spacing w:val="-2"/>
          <w:lang w:val="en-US"/>
        </w:rPr>
        <w:t xml:space="preserve"> </w:t>
      </w:r>
      <w:r w:rsidR="0041751B" w:rsidRPr="008A1DB4">
        <w:rPr>
          <w:spacing w:val="-2"/>
          <w:lang w:val="en-US"/>
        </w:rPr>
        <w:t xml:space="preserve">throughout </w:t>
      </w:r>
      <w:r w:rsidR="00671326" w:rsidRPr="008A1DB4">
        <w:rPr>
          <w:spacing w:val="-2"/>
          <w:lang w:val="en-US"/>
        </w:rPr>
        <w:t xml:space="preserve">the </w:t>
      </w:r>
      <w:r w:rsidR="00FC5891" w:rsidRPr="008A1DB4">
        <w:rPr>
          <w:spacing w:val="-2"/>
          <w:lang w:val="en-US"/>
        </w:rPr>
        <w:t>extradition process</w:t>
      </w:r>
      <w:r w:rsidR="00B16E52" w:rsidRPr="008A1DB4">
        <w:rPr>
          <w:spacing w:val="-2"/>
          <w:lang w:val="en-US"/>
        </w:rPr>
        <w:t xml:space="preserve"> ha</w:t>
      </w:r>
      <w:r w:rsidR="0041751B" w:rsidRPr="008A1DB4">
        <w:rPr>
          <w:spacing w:val="-2"/>
          <w:lang w:val="en-US"/>
        </w:rPr>
        <w:t>s been the possible</w:t>
      </w:r>
      <w:r w:rsidR="00B16E52" w:rsidRPr="008A1DB4">
        <w:rPr>
          <w:spacing w:val="-2"/>
          <w:lang w:val="en-US"/>
        </w:rPr>
        <w:t xml:space="preserve"> </w:t>
      </w:r>
      <w:r w:rsidR="001B16AA">
        <w:rPr>
          <w:spacing w:val="-2"/>
          <w:lang w:val="en-US"/>
        </w:rPr>
        <w:t>a</w:t>
      </w:r>
      <w:r w:rsidR="001168D7" w:rsidRPr="008A1DB4">
        <w:rPr>
          <w:spacing w:val="-2"/>
          <w:lang w:val="en-US"/>
        </w:rPr>
        <w:t>pplication of</w:t>
      </w:r>
      <w:r w:rsidR="00BB44A4" w:rsidRPr="008A1DB4">
        <w:rPr>
          <w:spacing w:val="-2"/>
          <w:lang w:val="en-US"/>
        </w:rPr>
        <w:t xml:space="preserve"> the </w:t>
      </w:r>
      <w:r w:rsidR="00A3310A" w:rsidRPr="008A1DB4">
        <w:rPr>
          <w:spacing w:val="-2"/>
          <w:lang w:val="en-US"/>
        </w:rPr>
        <w:t>death penalty</w:t>
      </w:r>
      <w:r w:rsidR="00B16E52" w:rsidRPr="008A1DB4">
        <w:rPr>
          <w:spacing w:val="-2"/>
          <w:lang w:val="en-US"/>
        </w:rPr>
        <w:t xml:space="preserve">, </w:t>
      </w:r>
      <w:r w:rsidR="00F36400" w:rsidRPr="008A1DB4">
        <w:rPr>
          <w:spacing w:val="-2"/>
          <w:lang w:val="en-US"/>
        </w:rPr>
        <w:t>the Court</w:t>
      </w:r>
      <w:r w:rsidR="00B16E52" w:rsidRPr="008A1DB4">
        <w:rPr>
          <w:spacing w:val="-2"/>
          <w:lang w:val="en-US"/>
        </w:rPr>
        <w:t xml:space="preserve"> </w:t>
      </w:r>
      <w:r w:rsidR="0041751B" w:rsidRPr="008A1DB4">
        <w:rPr>
          <w:spacing w:val="-2"/>
          <w:lang w:val="en-US"/>
        </w:rPr>
        <w:t xml:space="preserve">notes that at different times during </w:t>
      </w:r>
      <w:r w:rsidR="00FC5891" w:rsidRPr="008A1DB4">
        <w:rPr>
          <w:spacing w:val="-2"/>
          <w:lang w:val="en-US"/>
        </w:rPr>
        <w:t>the extradition process</w:t>
      </w:r>
      <w:r w:rsidR="00032060" w:rsidRPr="008A1DB4">
        <w:rPr>
          <w:spacing w:val="-2"/>
          <w:lang w:val="en-US"/>
        </w:rPr>
        <w:t>,</w:t>
      </w:r>
      <w:r w:rsidR="00B16E52" w:rsidRPr="008A1DB4">
        <w:rPr>
          <w:spacing w:val="-2"/>
          <w:lang w:val="en-US"/>
        </w:rPr>
        <w:t xml:space="preserve"> </w:t>
      </w:r>
      <w:r w:rsidR="0041751B" w:rsidRPr="008A1DB4">
        <w:rPr>
          <w:spacing w:val="-2"/>
          <w:lang w:val="en-US"/>
        </w:rPr>
        <w:t>both</w:t>
      </w:r>
      <w:r w:rsidR="00B16E52" w:rsidRPr="008A1DB4">
        <w:rPr>
          <w:spacing w:val="-2"/>
          <w:lang w:val="en-US"/>
        </w:rPr>
        <w:t xml:space="preserve"> </w:t>
      </w:r>
      <w:r w:rsidR="00F36400" w:rsidRPr="008A1DB4">
        <w:rPr>
          <w:spacing w:val="-2"/>
          <w:lang w:val="en-US"/>
        </w:rPr>
        <w:t>the presumed victim</w:t>
      </w:r>
      <w:r w:rsidR="0041751B" w:rsidRPr="008A1DB4">
        <w:rPr>
          <w:spacing w:val="-2"/>
          <w:lang w:val="en-US"/>
        </w:rPr>
        <w:t xml:space="preserve"> and</w:t>
      </w:r>
      <w:r w:rsidR="00B16E52" w:rsidRPr="008A1DB4">
        <w:rPr>
          <w:spacing w:val="-2"/>
          <w:lang w:val="en-US"/>
        </w:rPr>
        <w:t xml:space="preserve"> </w:t>
      </w:r>
      <w:r w:rsidR="008601B6" w:rsidRPr="008A1DB4">
        <w:rPr>
          <w:spacing w:val="-2"/>
          <w:lang w:val="en-US"/>
        </w:rPr>
        <w:t>his representative</w:t>
      </w:r>
      <w:r w:rsidR="0041751B" w:rsidRPr="008A1DB4">
        <w:rPr>
          <w:spacing w:val="-2"/>
          <w:lang w:val="en-US"/>
        </w:rPr>
        <w:t xml:space="preserve"> have mentioned the possible violation of his </w:t>
      </w:r>
      <w:r w:rsidR="00775124" w:rsidRPr="008A1DB4">
        <w:rPr>
          <w:spacing w:val="-2"/>
          <w:lang w:val="en-US"/>
        </w:rPr>
        <w:t>right to personal</w:t>
      </w:r>
      <w:r w:rsidR="00776D24" w:rsidRPr="008A1DB4">
        <w:rPr>
          <w:spacing w:val="-2"/>
          <w:lang w:val="en-US"/>
        </w:rPr>
        <w:t xml:space="preserve"> integrity</w:t>
      </w:r>
      <w:r w:rsidR="00B16E52" w:rsidRPr="008A1DB4">
        <w:rPr>
          <w:spacing w:val="-2"/>
          <w:lang w:val="en-US"/>
        </w:rPr>
        <w:t xml:space="preserve"> </w:t>
      </w:r>
      <w:r w:rsidR="0041751B" w:rsidRPr="008A1DB4">
        <w:rPr>
          <w:spacing w:val="-2"/>
          <w:lang w:val="en-US"/>
        </w:rPr>
        <w:t xml:space="preserve">if he is extradited to China and, on one occasion, they even referred to </w:t>
      </w:r>
      <w:r w:rsidR="00F36400" w:rsidRPr="008A1DB4">
        <w:rPr>
          <w:spacing w:val="-2"/>
          <w:lang w:val="en-US"/>
        </w:rPr>
        <w:t>Article</w:t>
      </w:r>
      <w:r w:rsidR="00B87470" w:rsidRPr="008A1DB4">
        <w:rPr>
          <w:spacing w:val="-2"/>
          <w:lang w:val="en-US"/>
        </w:rPr>
        <w:t xml:space="preserve"> 13</w:t>
      </w:r>
      <w:r w:rsidR="00FB7955" w:rsidRPr="008A1DB4">
        <w:rPr>
          <w:spacing w:val="-2"/>
          <w:lang w:val="en-US"/>
        </w:rPr>
        <w:t>(</w:t>
      </w:r>
      <w:r w:rsidR="00B16E52" w:rsidRPr="008A1DB4">
        <w:rPr>
          <w:spacing w:val="-2"/>
          <w:lang w:val="en-US"/>
        </w:rPr>
        <w:t>4</w:t>
      </w:r>
      <w:r w:rsidR="00FB7955" w:rsidRPr="008A1DB4">
        <w:rPr>
          <w:spacing w:val="-2"/>
          <w:lang w:val="en-US"/>
        </w:rPr>
        <w:t>)</w:t>
      </w:r>
      <w:r w:rsidR="00B16E52" w:rsidRPr="008A1DB4">
        <w:rPr>
          <w:spacing w:val="-2"/>
          <w:lang w:val="en-US"/>
        </w:rPr>
        <w:t xml:space="preserve"> </w:t>
      </w:r>
      <w:r w:rsidR="00B87470" w:rsidRPr="008A1DB4">
        <w:rPr>
          <w:spacing w:val="-2"/>
          <w:lang w:val="en-US"/>
        </w:rPr>
        <w:t>of the ICPPT.</w:t>
      </w:r>
      <w:r w:rsidR="00B16E52" w:rsidRPr="008A1DB4">
        <w:rPr>
          <w:spacing w:val="-2"/>
          <w:vertAlign w:val="superscript"/>
          <w:lang w:val="en-US"/>
        </w:rPr>
        <w:footnoteReference w:id="217"/>
      </w:r>
      <w:r w:rsidR="00B16E52" w:rsidRPr="008A1DB4">
        <w:rPr>
          <w:spacing w:val="-2"/>
          <w:lang w:val="en-US"/>
        </w:rPr>
        <w:t xml:space="preserve"> </w:t>
      </w:r>
      <w:r w:rsidR="0041751B" w:rsidRPr="008A1DB4">
        <w:rPr>
          <w:spacing w:val="-2"/>
          <w:lang w:val="en-US"/>
        </w:rPr>
        <w:t xml:space="preserve">In addition, the file </w:t>
      </w:r>
      <w:r w:rsidR="00671326" w:rsidRPr="008A1DB4">
        <w:rPr>
          <w:spacing w:val="-2"/>
          <w:lang w:val="en-US"/>
        </w:rPr>
        <w:t xml:space="preserve">of the </w:t>
      </w:r>
      <w:r w:rsidR="00FC5891" w:rsidRPr="008A1DB4">
        <w:rPr>
          <w:spacing w:val="-2"/>
          <w:lang w:val="en-US"/>
        </w:rPr>
        <w:t>extradition process</w:t>
      </w:r>
      <w:r w:rsidR="00B16E52" w:rsidRPr="008A1DB4">
        <w:rPr>
          <w:spacing w:val="-2"/>
          <w:lang w:val="en-US"/>
        </w:rPr>
        <w:t xml:space="preserve"> </w:t>
      </w:r>
      <w:r w:rsidR="0041751B" w:rsidRPr="008A1DB4">
        <w:rPr>
          <w:spacing w:val="-2"/>
          <w:lang w:val="en-US"/>
        </w:rPr>
        <w:t xml:space="preserve">contains news and reports of </w:t>
      </w:r>
      <w:r w:rsidR="0041751B" w:rsidRPr="008A1DB4">
        <w:rPr>
          <w:spacing w:val="-2"/>
          <w:lang w:val="en-US"/>
        </w:rPr>
        <w:lastRenderedPageBreak/>
        <w:t xml:space="preserve">international and non-governmental organizations indicating and describing practices contrary to the </w:t>
      </w:r>
      <w:r w:rsidRPr="008A1DB4">
        <w:rPr>
          <w:spacing w:val="-2"/>
          <w:lang w:val="en-US"/>
        </w:rPr>
        <w:t>prohibition</w:t>
      </w:r>
      <w:r w:rsidR="0041751B" w:rsidRPr="008A1DB4">
        <w:rPr>
          <w:spacing w:val="-2"/>
          <w:lang w:val="en-US"/>
        </w:rPr>
        <w:t xml:space="preserve"> of torture </w:t>
      </w:r>
      <w:r w:rsidR="00F36400" w:rsidRPr="008A1DB4">
        <w:rPr>
          <w:spacing w:val="-2"/>
          <w:lang w:val="en-US"/>
        </w:rPr>
        <w:t xml:space="preserve">and </w:t>
      </w:r>
      <w:r w:rsidR="00B87470" w:rsidRPr="008A1DB4">
        <w:rPr>
          <w:spacing w:val="-2"/>
          <w:lang w:val="en-US"/>
        </w:rPr>
        <w:t>other forms of</w:t>
      </w:r>
      <w:r w:rsidR="00B16E52" w:rsidRPr="008A1DB4">
        <w:rPr>
          <w:spacing w:val="-2"/>
          <w:lang w:val="en-US"/>
        </w:rPr>
        <w:t xml:space="preserve"> </w:t>
      </w:r>
      <w:r w:rsidR="00CC6F1B" w:rsidRPr="008A1DB4">
        <w:rPr>
          <w:spacing w:val="-2"/>
          <w:lang w:val="en-US"/>
        </w:rPr>
        <w:t>cruel, inhuman or degrading treatment</w:t>
      </w:r>
      <w:r w:rsidR="00B87470" w:rsidRPr="008A1DB4">
        <w:rPr>
          <w:spacing w:val="-2"/>
          <w:lang w:val="en-US"/>
        </w:rPr>
        <w:t xml:space="preserve"> in China.</w:t>
      </w:r>
      <w:r w:rsidR="00B16E52" w:rsidRPr="008A1DB4">
        <w:rPr>
          <w:rStyle w:val="FootnoteReference"/>
          <w:spacing w:val="-2"/>
          <w:lang w:val="en-US"/>
        </w:rPr>
        <w:footnoteReference w:id="218"/>
      </w:r>
      <w:r w:rsidR="00B16E52" w:rsidRPr="008A1DB4">
        <w:rPr>
          <w:spacing w:val="-2"/>
          <w:lang w:val="en-US"/>
        </w:rPr>
        <w:t xml:space="preserve"> </w:t>
      </w:r>
    </w:p>
    <w:p w14:paraId="2F0CECB6" w14:textId="77777777" w:rsidR="00B16E52" w:rsidRPr="008A1DB4" w:rsidRDefault="00B16E52" w:rsidP="00956E97">
      <w:pPr>
        <w:tabs>
          <w:tab w:val="left" w:pos="567"/>
        </w:tabs>
        <w:autoSpaceDE w:val="0"/>
        <w:autoSpaceDN w:val="0"/>
        <w:adjustRightInd w:val="0"/>
        <w:ind w:right="571"/>
        <w:rPr>
          <w:rFonts w:cs="Times New Roman"/>
          <w:spacing w:val="-2"/>
          <w:sz w:val="18"/>
          <w:szCs w:val="18"/>
          <w:lang w:val="en-US"/>
        </w:rPr>
      </w:pPr>
    </w:p>
    <w:p w14:paraId="1DE1C21C" w14:textId="717B7D67" w:rsidR="00B16E52" w:rsidRPr="008A1DB4" w:rsidRDefault="00B87470" w:rsidP="00956E97">
      <w:pPr>
        <w:pStyle w:val="PrrafodeSentencia"/>
        <w:rPr>
          <w:spacing w:val="-2"/>
          <w:lang w:val="en-US"/>
        </w:rPr>
      </w:pPr>
      <w:bookmarkStart w:id="727" w:name="_Ref417862990"/>
      <w:r w:rsidRPr="00196CB7">
        <w:rPr>
          <w:spacing w:val="-2"/>
          <w:lang w:val="en-US"/>
        </w:rPr>
        <w:t>In this regard</w:t>
      </w:r>
      <w:r w:rsidR="00B16E52" w:rsidRPr="00196CB7">
        <w:rPr>
          <w:spacing w:val="-2"/>
          <w:lang w:val="en-US"/>
        </w:rPr>
        <w:t xml:space="preserve">, </w:t>
      </w:r>
      <w:r w:rsidR="00F36400" w:rsidRPr="00196CB7">
        <w:rPr>
          <w:spacing w:val="-2"/>
          <w:lang w:val="en-US"/>
        </w:rPr>
        <w:t>the Court</w:t>
      </w:r>
      <w:r w:rsidR="00B16E52" w:rsidRPr="00196CB7">
        <w:rPr>
          <w:spacing w:val="-2"/>
          <w:lang w:val="en-US"/>
        </w:rPr>
        <w:t xml:space="preserve"> </w:t>
      </w:r>
      <w:r w:rsidR="00196CB7" w:rsidRPr="00196CB7">
        <w:rPr>
          <w:spacing w:val="-2"/>
          <w:lang w:val="en-US"/>
        </w:rPr>
        <w:t>takes</w:t>
      </w:r>
      <w:r w:rsidR="00196CB7">
        <w:rPr>
          <w:spacing w:val="-2"/>
          <w:lang w:val="en-US"/>
        </w:rPr>
        <w:t xml:space="preserve"> note of the</w:t>
      </w:r>
      <w:r w:rsidR="00C45946" w:rsidRPr="00196CB7">
        <w:rPr>
          <w:spacing w:val="-2"/>
          <w:lang w:val="en-US"/>
        </w:rPr>
        <w:t xml:space="preserve"> </w:t>
      </w:r>
      <w:r w:rsidR="00631F9C" w:rsidRPr="00196CB7">
        <w:rPr>
          <w:spacing w:val="-2"/>
          <w:lang w:val="en-US"/>
        </w:rPr>
        <w:t>European Court</w:t>
      </w:r>
      <w:r w:rsidR="00196CB7">
        <w:rPr>
          <w:spacing w:val="-2"/>
          <w:lang w:val="en-US"/>
        </w:rPr>
        <w:t>’s case law</w:t>
      </w:r>
      <w:r w:rsidR="00B16E52" w:rsidRPr="00196CB7">
        <w:rPr>
          <w:spacing w:val="-2"/>
          <w:lang w:val="en-US"/>
        </w:rPr>
        <w:t xml:space="preserve">, </w:t>
      </w:r>
      <w:r w:rsidRPr="00196CB7">
        <w:rPr>
          <w:spacing w:val="-2"/>
          <w:lang w:val="en-US"/>
        </w:rPr>
        <w:t>according to which,</w:t>
      </w:r>
      <w:r w:rsidRPr="008A1DB4">
        <w:rPr>
          <w:spacing w:val="-2"/>
          <w:lang w:val="en-US"/>
        </w:rPr>
        <w:t xml:space="preserve"> although, “in principle,</w:t>
      </w:r>
      <w:r w:rsidR="00433AB8" w:rsidRPr="008A1DB4">
        <w:rPr>
          <w:spacing w:val="-2"/>
          <w:lang w:val="en-US"/>
        </w:rPr>
        <w:t xml:space="preserve"> the petitioner must provide the evidence that proves the existence of substantial grounds for believing that, [if he is extradited] he would </w:t>
      </w:r>
      <w:r w:rsidR="00196CB7">
        <w:rPr>
          <w:spacing w:val="-2"/>
          <w:lang w:val="en-US"/>
        </w:rPr>
        <w:t xml:space="preserve">be </w:t>
      </w:r>
      <w:r w:rsidR="00433AB8" w:rsidRPr="008A1DB4">
        <w:rPr>
          <w:spacing w:val="-2"/>
          <w:lang w:val="en-US"/>
        </w:rPr>
        <w:t xml:space="preserve">exposed </w:t>
      </w:r>
      <w:r w:rsidR="00196CB7">
        <w:rPr>
          <w:spacing w:val="-2"/>
          <w:lang w:val="en-US"/>
        </w:rPr>
        <w:t xml:space="preserve">to </w:t>
      </w:r>
      <w:r w:rsidR="00433AB8" w:rsidRPr="008A1DB4">
        <w:rPr>
          <w:spacing w:val="-2"/>
          <w:lang w:val="en-US"/>
        </w:rPr>
        <w:t xml:space="preserve">a real risk of being subject to treatment contrary to </w:t>
      </w:r>
      <w:r w:rsidR="00F36400" w:rsidRPr="008A1DB4">
        <w:rPr>
          <w:spacing w:val="-2"/>
          <w:lang w:val="en-US"/>
        </w:rPr>
        <w:t>Article</w:t>
      </w:r>
      <w:r w:rsidR="00B16E52" w:rsidRPr="008A1DB4">
        <w:rPr>
          <w:spacing w:val="-2"/>
          <w:lang w:val="en-US"/>
        </w:rPr>
        <w:t xml:space="preserve"> 3</w:t>
      </w:r>
      <w:r w:rsidR="00433AB8" w:rsidRPr="008A1DB4">
        <w:rPr>
          <w:spacing w:val="-2"/>
          <w:lang w:val="en-US"/>
        </w:rPr>
        <w:t>,” it is for the requested State “to dispel any concerns” when evidence has been presented in this regard.</w:t>
      </w:r>
      <w:r w:rsidR="00B16E52" w:rsidRPr="008A1DB4">
        <w:rPr>
          <w:spacing w:val="-2"/>
          <w:lang w:val="en-US"/>
        </w:rPr>
        <w:t xml:space="preserve"> </w:t>
      </w:r>
      <w:r w:rsidRPr="008A1DB4">
        <w:rPr>
          <w:spacing w:val="-2"/>
          <w:lang w:val="en-US"/>
        </w:rPr>
        <w:t>The</w:t>
      </w:r>
      <w:r w:rsidR="00F36400" w:rsidRPr="008A1DB4">
        <w:rPr>
          <w:spacing w:val="-2"/>
          <w:lang w:val="en-US"/>
        </w:rPr>
        <w:t xml:space="preserve"> </w:t>
      </w:r>
      <w:r w:rsidR="00631F9C" w:rsidRPr="00196CB7">
        <w:rPr>
          <w:spacing w:val="-2"/>
          <w:lang w:val="en-US"/>
        </w:rPr>
        <w:t>European Court</w:t>
      </w:r>
      <w:r w:rsidR="00B16E52" w:rsidRPr="00196CB7">
        <w:rPr>
          <w:spacing w:val="-2"/>
          <w:lang w:val="en-US"/>
        </w:rPr>
        <w:t xml:space="preserve"> ha</w:t>
      </w:r>
      <w:r w:rsidRPr="00196CB7">
        <w:rPr>
          <w:spacing w:val="-2"/>
          <w:lang w:val="en-US"/>
        </w:rPr>
        <w:t>s also affirmed that</w:t>
      </w:r>
      <w:r w:rsidR="00433AB8" w:rsidRPr="00196CB7">
        <w:rPr>
          <w:spacing w:val="-2"/>
          <w:lang w:val="en-US"/>
        </w:rPr>
        <w:t xml:space="preserve"> “[</w:t>
      </w:r>
      <w:proofErr w:type="spellStart"/>
      <w:r w:rsidR="00433AB8" w:rsidRPr="00196CB7">
        <w:rPr>
          <w:spacing w:val="-2"/>
          <w:lang w:val="en-US"/>
        </w:rPr>
        <w:t>i</w:t>
      </w:r>
      <w:proofErr w:type="spellEnd"/>
      <w:r w:rsidR="00B16E52" w:rsidRPr="00196CB7">
        <w:rPr>
          <w:spacing w:val="-2"/>
          <w:lang w:val="en-US"/>
        </w:rPr>
        <w:t>]</w:t>
      </w:r>
      <w:r w:rsidR="00433AB8" w:rsidRPr="00196CB7">
        <w:rPr>
          <w:spacing w:val="-2"/>
          <w:lang w:val="en-US"/>
        </w:rPr>
        <w:t>n determining whether substantial grounds have been shown for believing that a real risk of treatment contrary to</w:t>
      </w:r>
      <w:r w:rsidR="00B16E52" w:rsidRPr="00196CB7">
        <w:rPr>
          <w:spacing w:val="-2"/>
          <w:lang w:val="en-US"/>
        </w:rPr>
        <w:t xml:space="preserve"> </w:t>
      </w:r>
      <w:r w:rsidR="00F36400" w:rsidRPr="00196CB7">
        <w:rPr>
          <w:spacing w:val="-2"/>
          <w:lang w:val="en-US"/>
        </w:rPr>
        <w:t>Article</w:t>
      </w:r>
      <w:r w:rsidR="00B16E52" w:rsidRPr="00196CB7">
        <w:rPr>
          <w:spacing w:val="-2"/>
          <w:lang w:val="en-US"/>
        </w:rPr>
        <w:t xml:space="preserve"> 3</w:t>
      </w:r>
      <w:r w:rsidR="00433AB8" w:rsidRPr="00196CB7">
        <w:rPr>
          <w:spacing w:val="-2"/>
          <w:lang w:val="en-US"/>
        </w:rPr>
        <w:t xml:space="preserve"> exists</w:t>
      </w:r>
      <w:r w:rsidR="00B16E52" w:rsidRPr="00196CB7">
        <w:rPr>
          <w:spacing w:val="-2"/>
          <w:lang w:val="en-US"/>
        </w:rPr>
        <w:t xml:space="preserve">, </w:t>
      </w:r>
      <w:r w:rsidR="00433AB8" w:rsidRPr="00196CB7">
        <w:rPr>
          <w:spacing w:val="-2"/>
          <w:lang w:val="en-US"/>
        </w:rPr>
        <w:t>if he is extradited, the Court will assess the issue in the light of all the material placed before it and, if necessary, material obtained on its own motion.</w:t>
      </w:r>
      <w:r w:rsidR="00B16E52" w:rsidRPr="00196CB7">
        <w:rPr>
          <w:spacing w:val="-2"/>
          <w:lang w:val="en-US"/>
        </w:rPr>
        <w:t>”</w:t>
      </w:r>
      <w:r w:rsidR="00B16E52" w:rsidRPr="00196CB7">
        <w:rPr>
          <w:rStyle w:val="FootnoteReference"/>
          <w:color w:val="000000"/>
          <w:spacing w:val="-2"/>
          <w:lang w:val="en-US"/>
        </w:rPr>
        <w:footnoteReference w:id="219"/>
      </w:r>
      <w:bookmarkEnd w:id="727"/>
    </w:p>
    <w:p w14:paraId="78E0644A" w14:textId="77777777" w:rsidR="00B16E52" w:rsidRPr="008A1DB4" w:rsidRDefault="00B16E52" w:rsidP="00956E97">
      <w:pPr>
        <w:pStyle w:val="ListParagraph"/>
        <w:tabs>
          <w:tab w:val="left" w:pos="284"/>
          <w:tab w:val="left" w:pos="567"/>
        </w:tabs>
        <w:ind w:left="0"/>
        <w:rPr>
          <w:spacing w:val="-2"/>
          <w:lang w:val="en-US"/>
        </w:rPr>
      </w:pPr>
    </w:p>
    <w:p w14:paraId="53746CF5" w14:textId="75FA9255" w:rsidR="00B16E52" w:rsidRPr="008A1DB4" w:rsidRDefault="00F36400" w:rsidP="00956E97">
      <w:pPr>
        <w:pStyle w:val="PrrafodeSentencia"/>
        <w:rPr>
          <w:spacing w:val="-2"/>
          <w:lang w:val="en-US"/>
        </w:rPr>
      </w:pPr>
      <w:r w:rsidRPr="008A1DB4">
        <w:rPr>
          <w:spacing w:val="-2"/>
          <w:lang w:val="en-US"/>
        </w:rPr>
        <w:t>The Court</w:t>
      </w:r>
      <w:r w:rsidR="00433AB8" w:rsidRPr="008A1DB4">
        <w:rPr>
          <w:spacing w:val="-2"/>
          <w:lang w:val="en-US"/>
        </w:rPr>
        <w:t xml:space="preserve"> considers that, owing to the absolute nature of the prohibition of torture, the specific obligation not to extradite when there is a risk of </w:t>
      </w:r>
      <w:r w:rsidR="00947926" w:rsidRPr="008A1DB4">
        <w:rPr>
          <w:spacing w:val="-2"/>
          <w:lang w:val="en-US"/>
        </w:rPr>
        <w:t>treatment</w:t>
      </w:r>
      <w:r w:rsidR="00433AB8" w:rsidRPr="008A1DB4">
        <w:rPr>
          <w:spacing w:val="-2"/>
          <w:lang w:val="en-US"/>
        </w:rPr>
        <w:t xml:space="preserve"> contrary to </w:t>
      </w:r>
      <w:r w:rsidR="00776D24" w:rsidRPr="008A1DB4">
        <w:rPr>
          <w:spacing w:val="-2"/>
          <w:lang w:val="en-US"/>
        </w:rPr>
        <w:t>personal integrity</w:t>
      </w:r>
      <w:r w:rsidR="00433AB8" w:rsidRPr="008A1DB4">
        <w:rPr>
          <w:spacing w:val="-2"/>
          <w:lang w:val="en-US"/>
        </w:rPr>
        <w:t xml:space="preserve"> established in</w:t>
      </w:r>
      <w:r w:rsidR="00B16E52" w:rsidRPr="008A1DB4">
        <w:rPr>
          <w:spacing w:val="-2"/>
          <w:lang w:val="en-US"/>
        </w:rPr>
        <w:t xml:space="preserve"> </w:t>
      </w:r>
      <w:r w:rsidRPr="008A1DB4">
        <w:rPr>
          <w:spacing w:val="-2"/>
          <w:lang w:val="en-US"/>
        </w:rPr>
        <w:t>Article</w:t>
      </w:r>
      <w:r w:rsidR="00433AB8" w:rsidRPr="008A1DB4">
        <w:rPr>
          <w:spacing w:val="-2"/>
          <w:lang w:val="en-US"/>
        </w:rPr>
        <w:t xml:space="preserve"> 13</w:t>
      </w:r>
      <w:r w:rsidR="00B16E52" w:rsidRPr="008A1DB4">
        <w:rPr>
          <w:spacing w:val="-2"/>
          <w:lang w:val="en-US"/>
        </w:rPr>
        <w:t xml:space="preserve">(4) </w:t>
      </w:r>
      <w:r w:rsidR="00B87470" w:rsidRPr="008A1DB4">
        <w:rPr>
          <w:spacing w:val="-2"/>
          <w:lang w:val="en-US"/>
        </w:rPr>
        <w:t>of the ICPPT</w:t>
      </w:r>
      <w:r w:rsidRPr="008A1DB4">
        <w:rPr>
          <w:spacing w:val="-2"/>
          <w:lang w:val="en-US"/>
        </w:rPr>
        <w:t xml:space="preserve"> and </w:t>
      </w:r>
      <w:r w:rsidR="00433AB8" w:rsidRPr="008A1DB4">
        <w:rPr>
          <w:spacing w:val="-2"/>
          <w:lang w:val="en-US"/>
        </w:rPr>
        <w:t xml:space="preserve">the obligation of all </w:t>
      </w:r>
      <w:r w:rsidR="00922262" w:rsidRPr="008A1DB4">
        <w:rPr>
          <w:spacing w:val="-2"/>
          <w:lang w:val="en-US"/>
        </w:rPr>
        <w:t>States Parties to the</w:t>
      </w:r>
      <w:r w:rsidRPr="008A1DB4">
        <w:rPr>
          <w:spacing w:val="-2"/>
          <w:lang w:val="en-US"/>
        </w:rPr>
        <w:t xml:space="preserve"> American Convention</w:t>
      </w:r>
      <w:r w:rsidR="00B16E52" w:rsidRPr="008A1DB4">
        <w:rPr>
          <w:spacing w:val="-2"/>
          <w:lang w:val="en-US"/>
        </w:rPr>
        <w:t xml:space="preserve"> </w:t>
      </w:r>
      <w:r w:rsidR="00433AB8" w:rsidRPr="008A1DB4">
        <w:rPr>
          <w:spacing w:val="-2"/>
          <w:lang w:val="en-US"/>
        </w:rPr>
        <w:t xml:space="preserve">to take all necessary measures to prevent torture or other </w:t>
      </w:r>
      <w:r w:rsidR="00CC6F1B" w:rsidRPr="008A1DB4">
        <w:rPr>
          <w:spacing w:val="-2"/>
          <w:lang w:val="en-US"/>
        </w:rPr>
        <w:t>cruel, inhuman or degrading treatment</w:t>
      </w:r>
      <w:r w:rsidR="00FB7955" w:rsidRPr="008A1DB4">
        <w:rPr>
          <w:spacing w:val="-2"/>
          <w:lang w:val="en-US"/>
        </w:rPr>
        <w:t xml:space="preserve">, </w:t>
      </w:r>
      <w:r w:rsidR="00922262" w:rsidRPr="008A1DB4">
        <w:rPr>
          <w:spacing w:val="-2"/>
          <w:lang w:val="en-US"/>
        </w:rPr>
        <w:t>the States Parties to the</w:t>
      </w:r>
      <w:r w:rsidRPr="008A1DB4">
        <w:rPr>
          <w:spacing w:val="-2"/>
          <w:lang w:val="en-US"/>
        </w:rPr>
        <w:t xml:space="preserve"> Convention</w:t>
      </w:r>
      <w:r w:rsidR="00B16E52" w:rsidRPr="008A1DB4">
        <w:rPr>
          <w:spacing w:val="-2"/>
          <w:lang w:val="en-US"/>
        </w:rPr>
        <w:t xml:space="preserve"> </w:t>
      </w:r>
      <w:r w:rsidR="00433AB8" w:rsidRPr="008A1DB4">
        <w:rPr>
          <w:spacing w:val="-2"/>
          <w:lang w:val="en-US"/>
        </w:rPr>
        <w:t>must assess this possibility effectively</w:t>
      </w:r>
      <w:r w:rsidR="00780693">
        <w:rPr>
          <w:spacing w:val="-2"/>
          <w:lang w:val="en-US"/>
        </w:rPr>
        <w:t xml:space="preserve"> during their extradition proceedings</w:t>
      </w:r>
      <w:r w:rsidR="00433AB8" w:rsidRPr="008A1DB4">
        <w:rPr>
          <w:spacing w:val="-2"/>
          <w:lang w:val="en-US"/>
        </w:rPr>
        <w:t xml:space="preserve"> when this risk is alleged by </w:t>
      </w:r>
      <w:r w:rsidR="00780693">
        <w:rPr>
          <w:spacing w:val="-2"/>
          <w:lang w:val="en-US"/>
        </w:rPr>
        <w:t>those</w:t>
      </w:r>
      <w:r w:rsidR="00433AB8" w:rsidRPr="008A1DB4">
        <w:rPr>
          <w:spacing w:val="-2"/>
          <w:lang w:val="en-US"/>
        </w:rPr>
        <w:t xml:space="preserve"> subject to extradition.</w:t>
      </w:r>
      <w:r w:rsidR="00B16E52" w:rsidRPr="008A1DB4">
        <w:rPr>
          <w:rStyle w:val="FootnoteReference"/>
          <w:spacing w:val="-2"/>
          <w:lang w:val="en-US"/>
        </w:rPr>
        <w:footnoteReference w:id="220"/>
      </w:r>
      <w:r w:rsidR="00433AB8" w:rsidRPr="008A1DB4">
        <w:rPr>
          <w:spacing w:val="-2"/>
          <w:lang w:val="en-US"/>
        </w:rPr>
        <w:t xml:space="preserve"> The same </w:t>
      </w:r>
      <w:r w:rsidR="00433AB8" w:rsidRPr="008A1DB4">
        <w:rPr>
          <w:spacing w:val="-2"/>
          <w:lang w:val="en-US"/>
        </w:rPr>
        <w:lastRenderedPageBreak/>
        <w:t xml:space="preserve">reasons require this Court to examine the said arguments in this case with reference to current circumstances in </w:t>
      </w:r>
      <w:r w:rsidR="00653211" w:rsidRPr="008A1DB4">
        <w:rPr>
          <w:spacing w:val="-2"/>
          <w:lang w:val="en-US"/>
        </w:rPr>
        <w:t>the requesting State</w:t>
      </w:r>
      <w:r w:rsidR="00B16E52" w:rsidRPr="008A1DB4">
        <w:rPr>
          <w:spacing w:val="-2"/>
          <w:lang w:val="en-US"/>
        </w:rPr>
        <w:t xml:space="preserve">. </w:t>
      </w:r>
    </w:p>
    <w:p w14:paraId="3484D96F" w14:textId="77777777" w:rsidR="00B16E52" w:rsidRPr="008A1DB4" w:rsidRDefault="00B16E52" w:rsidP="00956E97">
      <w:pPr>
        <w:pStyle w:val="ListParagraph"/>
        <w:tabs>
          <w:tab w:val="left" w:pos="567"/>
        </w:tabs>
        <w:ind w:left="0"/>
        <w:rPr>
          <w:b/>
          <w:spacing w:val="-2"/>
          <w:szCs w:val="20"/>
          <w:lang w:val="en-US"/>
        </w:rPr>
      </w:pPr>
    </w:p>
    <w:p w14:paraId="67963669" w14:textId="16AC5A91" w:rsidR="00B16E52" w:rsidRPr="008A1DB4" w:rsidRDefault="00433AB8" w:rsidP="00433AB8">
      <w:pPr>
        <w:pStyle w:val="PrrafodeSentencia"/>
        <w:rPr>
          <w:spacing w:val="-2"/>
          <w:lang w:val="en-US"/>
        </w:rPr>
      </w:pPr>
      <w:bookmarkStart w:id="728" w:name="_Ref418902024"/>
      <w:r w:rsidRPr="008A1DB4">
        <w:rPr>
          <w:spacing w:val="-2"/>
          <w:lang w:val="en-US"/>
        </w:rPr>
        <w:t xml:space="preserve">In the instant case, none of the judicial authorities that have intervened to date </w:t>
      </w:r>
      <w:r w:rsidR="00780693">
        <w:rPr>
          <w:spacing w:val="-2"/>
          <w:lang w:val="en-US"/>
        </w:rPr>
        <w:t xml:space="preserve">gave any consideration to </w:t>
      </w:r>
      <w:r w:rsidRPr="008A1DB4">
        <w:rPr>
          <w:spacing w:val="-2"/>
          <w:lang w:val="en-US"/>
        </w:rPr>
        <w:t xml:space="preserve">the </w:t>
      </w:r>
      <w:r w:rsidR="00C45946" w:rsidRPr="008A1DB4">
        <w:rPr>
          <w:spacing w:val="-2"/>
          <w:lang w:val="en-US"/>
        </w:rPr>
        <w:t>representative</w:t>
      </w:r>
      <w:r w:rsidR="00780693">
        <w:rPr>
          <w:spacing w:val="-2"/>
          <w:lang w:val="en-US"/>
        </w:rPr>
        <w:t>’s arguments</w:t>
      </w:r>
      <w:r w:rsidR="00B16E52" w:rsidRPr="008A1DB4">
        <w:rPr>
          <w:spacing w:val="-2"/>
          <w:lang w:val="en-US"/>
        </w:rPr>
        <w:t xml:space="preserve"> </w:t>
      </w:r>
      <w:r w:rsidRPr="008A1DB4">
        <w:rPr>
          <w:spacing w:val="-2"/>
          <w:lang w:val="en-US"/>
        </w:rPr>
        <w:t xml:space="preserve">concerning a possible risk to the </w:t>
      </w:r>
      <w:r w:rsidR="00776D24" w:rsidRPr="008A1DB4">
        <w:rPr>
          <w:spacing w:val="-2"/>
          <w:lang w:val="en-US"/>
        </w:rPr>
        <w:t>personal integrity</w:t>
      </w:r>
      <w:r w:rsidR="00C45946" w:rsidRPr="008A1DB4">
        <w:rPr>
          <w:spacing w:val="-2"/>
          <w:lang w:val="en-US"/>
        </w:rPr>
        <w:t xml:space="preserve"> of the </w:t>
      </w:r>
      <w:r w:rsidR="00F36400" w:rsidRPr="008A1DB4">
        <w:rPr>
          <w:spacing w:val="-2"/>
          <w:lang w:val="en-US"/>
        </w:rPr>
        <w:t>presumed victim</w:t>
      </w:r>
      <w:r w:rsidR="00B16E52" w:rsidRPr="008A1DB4">
        <w:rPr>
          <w:spacing w:val="-2"/>
          <w:lang w:val="en-US"/>
        </w:rPr>
        <w:t xml:space="preserve">. </w:t>
      </w:r>
      <w:r w:rsidRPr="008A1DB4">
        <w:rPr>
          <w:spacing w:val="-2"/>
          <w:lang w:val="en-US"/>
        </w:rPr>
        <w:t xml:space="preserve">As previously determined, States have the obligation to examine all the available information in order to determine the possible situation of risk of the person who may be extradited. If, having examined the information provided, the State determines that the arguments lack adequate grounds or the necessary evidence, </w:t>
      </w:r>
      <w:proofErr w:type="gramStart"/>
      <w:r w:rsidRPr="008A1DB4">
        <w:rPr>
          <w:spacing w:val="-2"/>
          <w:lang w:val="en-US"/>
        </w:rPr>
        <w:t>then</w:t>
      </w:r>
      <w:proofErr w:type="gramEnd"/>
      <w:r w:rsidRPr="008A1DB4">
        <w:rPr>
          <w:spacing w:val="-2"/>
          <w:lang w:val="en-US"/>
        </w:rPr>
        <w:t xml:space="preserve"> it may reject the situation of risk alleged by </w:t>
      </w:r>
      <w:r w:rsidR="00F36400" w:rsidRPr="008A1DB4">
        <w:rPr>
          <w:spacing w:val="-2"/>
          <w:lang w:val="en-US"/>
        </w:rPr>
        <w:t>the presumed victim</w:t>
      </w:r>
      <w:r w:rsidR="00B16E52" w:rsidRPr="008A1DB4">
        <w:rPr>
          <w:spacing w:val="-2"/>
          <w:lang w:val="en-US"/>
        </w:rPr>
        <w:t xml:space="preserve">. </w:t>
      </w:r>
      <w:r w:rsidR="00780693">
        <w:rPr>
          <w:spacing w:val="-2"/>
          <w:lang w:val="en-US"/>
        </w:rPr>
        <w:t>This is the second step that requires</w:t>
      </w:r>
      <w:r w:rsidRPr="008A1DB4">
        <w:rPr>
          <w:spacing w:val="-2"/>
          <w:lang w:val="en-US"/>
        </w:rPr>
        <w:t xml:space="preserve"> or would have required the State, and </w:t>
      </w:r>
      <w:r w:rsidR="00780693">
        <w:rPr>
          <w:spacing w:val="-2"/>
          <w:lang w:val="en-US"/>
        </w:rPr>
        <w:t>now this</w:t>
      </w:r>
      <w:r w:rsidRPr="008A1DB4">
        <w:rPr>
          <w:spacing w:val="-2"/>
          <w:lang w:val="en-US"/>
        </w:rPr>
        <w:t xml:space="preserve"> Court, to </w:t>
      </w:r>
      <w:r w:rsidR="00780693">
        <w:rPr>
          <w:spacing w:val="-2"/>
          <w:lang w:val="en-US"/>
        </w:rPr>
        <w:t>assess</w:t>
      </w:r>
      <w:r w:rsidRPr="008A1DB4">
        <w:rPr>
          <w:spacing w:val="-2"/>
          <w:lang w:val="en-US"/>
        </w:rPr>
        <w:t xml:space="preserve"> the risks alleged by </w:t>
      </w:r>
      <w:r w:rsidR="00F36400" w:rsidRPr="008A1DB4">
        <w:rPr>
          <w:spacing w:val="-2"/>
          <w:lang w:val="en-US"/>
        </w:rPr>
        <w:t>the presumed victim</w:t>
      </w:r>
      <w:r w:rsidR="00B16E52" w:rsidRPr="008A1DB4">
        <w:rPr>
          <w:spacing w:val="-2"/>
          <w:lang w:val="en-US"/>
        </w:rPr>
        <w:t xml:space="preserve"> </w:t>
      </w:r>
      <w:r w:rsidRPr="008A1DB4">
        <w:rPr>
          <w:spacing w:val="-2"/>
          <w:lang w:val="en-US"/>
        </w:rPr>
        <w:t>at that time, and then, if appropriate, reject them owing to lack of adequate grounds</w:t>
      </w:r>
      <w:bookmarkEnd w:id="728"/>
      <w:r w:rsidRPr="008A1DB4">
        <w:rPr>
          <w:spacing w:val="-2"/>
          <w:lang w:val="en-US"/>
        </w:rPr>
        <w:t>.</w:t>
      </w:r>
      <w:r w:rsidR="00B16E52" w:rsidRPr="008A1DB4">
        <w:rPr>
          <w:spacing w:val="-2"/>
          <w:lang w:val="en-US"/>
        </w:rPr>
        <w:t xml:space="preserve"> </w:t>
      </w:r>
    </w:p>
    <w:p w14:paraId="08B2581A" w14:textId="77777777" w:rsidR="00B16E52" w:rsidRPr="008A1DB4" w:rsidRDefault="00B16E52" w:rsidP="00956E97">
      <w:pPr>
        <w:pStyle w:val="ListParagraph"/>
        <w:tabs>
          <w:tab w:val="left" w:pos="567"/>
        </w:tabs>
        <w:ind w:left="0"/>
        <w:rPr>
          <w:spacing w:val="-2"/>
          <w:szCs w:val="20"/>
          <w:lang w:val="en-US"/>
        </w:rPr>
      </w:pPr>
    </w:p>
    <w:p w14:paraId="3CEA9DE2" w14:textId="2DE042C6" w:rsidR="00B16E52" w:rsidRPr="008A1DB4" w:rsidRDefault="00433AB8" w:rsidP="00BC0345">
      <w:pPr>
        <w:pStyle w:val="PrrafodeSentencia"/>
        <w:rPr>
          <w:spacing w:val="-2"/>
          <w:lang w:val="en-US"/>
        </w:rPr>
      </w:pPr>
      <w:r w:rsidRPr="008A1DB4">
        <w:rPr>
          <w:spacing w:val="-2"/>
          <w:lang w:val="en-US"/>
        </w:rPr>
        <w:t>In response to the Supreme Court’s failure to consider the human rights situation in</w:t>
      </w:r>
      <w:r w:rsidR="00B16E52" w:rsidRPr="008A1DB4">
        <w:rPr>
          <w:spacing w:val="-2"/>
          <w:lang w:val="en-US"/>
        </w:rPr>
        <w:t xml:space="preserve"> </w:t>
      </w:r>
      <w:r w:rsidR="00653211" w:rsidRPr="008A1DB4">
        <w:rPr>
          <w:spacing w:val="-2"/>
          <w:lang w:val="en-US"/>
        </w:rPr>
        <w:t>the requesting State</w:t>
      </w:r>
      <w:r w:rsidRPr="008A1DB4">
        <w:rPr>
          <w:spacing w:val="-2"/>
          <w:lang w:val="en-US"/>
        </w:rPr>
        <w:t>, the State argued that there was no law that required the judicial organ to assess this</w:t>
      </w:r>
      <w:r w:rsidR="00780693">
        <w:rPr>
          <w:spacing w:val="-2"/>
          <w:lang w:val="en-US"/>
        </w:rPr>
        <w:t>,</w:t>
      </w:r>
      <w:r w:rsidRPr="008A1DB4">
        <w:rPr>
          <w:spacing w:val="-2"/>
          <w:lang w:val="en-US"/>
        </w:rPr>
        <w:t xml:space="preserve"> and that the alleged context could be taken into account at the political stage </w:t>
      </w:r>
      <w:r w:rsidR="00671326" w:rsidRPr="008A1DB4">
        <w:rPr>
          <w:spacing w:val="-2"/>
          <w:lang w:val="en-US"/>
        </w:rPr>
        <w:t xml:space="preserve">of the </w:t>
      </w:r>
      <w:r w:rsidR="00FC5891" w:rsidRPr="008A1DB4">
        <w:rPr>
          <w:spacing w:val="-2"/>
          <w:lang w:val="en-US"/>
        </w:rPr>
        <w:t>extradition process</w:t>
      </w:r>
      <w:r w:rsidR="00B16E52" w:rsidRPr="008A1DB4">
        <w:rPr>
          <w:spacing w:val="-2"/>
          <w:lang w:val="en-US"/>
        </w:rPr>
        <w:t xml:space="preserve">. </w:t>
      </w:r>
      <w:r w:rsidRPr="008A1DB4">
        <w:rPr>
          <w:spacing w:val="-2"/>
          <w:lang w:val="en-US"/>
        </w:rPr>
        <w:t>In this regard</w:t>
      </w:r>
      <w:r w:rsidR="00B16E52" w:rsidRPr="008A1DB4">
        <w:rPr>
          <w:spacing w:val="-2"/>
          <w:lang w:val="en-US"/>
        </w:rPr>
        <w:t xml:space="preserve">, </w:t>
      </w:r>
      <w:r w:rsidR="00F36400" w:rsidRPr="008A1DB4">
        <w:rPr>
          <w:spacing w:val="-2"/>
          <w:lang w:val="en-US"/>
        </w:rPr>
        <w:t>the Court</w:t>
      </w:r>
      <w:r w:rsidR="00B16E52" w:rsidRPr="008A1DB4">
        <w:rPr>
          <w:spacing w:val="-2"/>
          <w:lang w:val="en-US"/>
        </w:rPr>
        <w:t xml:space="preserve"> </w:t>
      </w:r>
      <w:r w:rsidRPr="008A1DB4">
        <w:rPr>
          <w:spacing w:val="-2"/>
          <w:lang w:val="en-US"/>
        </w:rPr>
        <w:t>notes that</w:t>
      </w:r>
      <w:r w:rsidR="00B16E52" w:rsidRPr="008A1DB4">
        <w:rPr>
          <w:spacing w:val="-2"/>
          <w:lang w:val="en-US"/>
        </w:rPr>
        <w:t xml:space="preserve"> </w:t>
      </w:r>
      <w:r w:rsidR="00F36400" w:rsidRPr="008A1DB4">
        <w:rPr>
          <w:spacing w:val="-2"/>
          <w:lang w:val="en-US"/>
        </w:rPr>
        <w:t>the State</w:t>
      </w:r>
      <w:r w:rsidR="00B16E52" w:rsidRPr="008A1DB4">
        <w:rPr>
          <w:spacing w:val="-2"/>
          <w:lang w:val="en-US"/>
        </w:rPr>
        <w:t xml:space="preserve"> </w:t>
      </w:r>
      <w:r w:rsidRPr="008A1DB4">
        <w:rPr>
          <w:spacing w:val="-2"/>
          <w:lang w:val="en-US"/>
        </w:rPr>
        <w:t>has presented contradictory arguments beca</w:t>
      </w:r>
      <w:r w:rsidR="00780693">
        <w:rPr>
          <w:spacing w:val="-2"/>
          <w:lang w:val="en-US"/>
        </w:rPr>
        <w:t>use, on the one hand, it has affirmed</w:t>
      </w:r>
      <w:r w:rsidRPr="008A1DB4">
        <w:rPr>
          <w:spacing w:val="-2"/>
          <w:lang w:val="en-US"/>
        </w:rPr>
        <w:t xml:space="preserve"> that the individual subject to extradition does not have the right to be heard at the political stage (</w:t>
      </w:r>
      <w:r w:rsidRPr="008A1DB4">
        <w:rPr>
          <w:i/>
          <w:spacing w:val="-2"/>
          <w:lang w:val="en-US"/>
        </w:rPr>
        <w:t>infra</w:t>
      </w:r>
      <w:r w:rsidRPr="008A1DB4">
        <w:rPr>
          <w:spacing w:val="-2"/>
          <w:lang w:val="en-US"/>
        </w:rPr>
        <w:t xml:space="preserve"> paras. </w:t>
      </w:r>
      <w:r w:rsidRPr="008A1DB4">
        <w:rPr>
          <w:spacing w:val="-2"/>
          <w:lang w:val="en-US"/>
        </w:rPr>
        <w:fldChar w:fldCharType="begin"/>
      </w:r>
      <w:r w:rsidRPr="008A1DB4">
        <w:rPr>
          <w:spacing w:val="-2"/>
          <w:lang w:val="en-US"/>
        </w:rPr>
        <w:instrText xml:space="preserve"> REF _Ref429471833 \r \h  \* MERGEFORMAT </w:instrText>
      </w:r>
      <w:r w:rsidRPr="008A1DB4">
        <w:rPr>
          <w:spacing w:val="-2"/>
          <w:lang w:val="en-US"/>
        </w:rPr>
      </w:r>
      <w:r w:rsidRPr="008A1DB4">
        <w:rPr>
          <w:spacing w:val="-2"/>
          <w:lang w:val="en-US"/>
        </w:rPr>
        <w:fldChar w:fldCharType="separate"/>
      </w:r>
      <w:r w:rsidRPr="008A1DB4">
        <w:rPr>
          <w:spacing w:val="-2"/>
          <w:lang w:val="en-US"/>
        </w:rPr>
        <w:t>226</w:t>
      </w:r>
      <w:r w:rsidRPr="008A1DB4">
        <w:rPr>
          <w:spacing w:val="-2"/>
          <w:lang w:val="en-US"/>
        </w:rPr>
        <w:fldChar w:fldCharType="end"/>
      </w:r>
      <w:r w:rsidRPr="008A1DB4">
        <w:rPr>
          <w:spacing w:val="-2"/>
          <w:lang w:val="en-US"/>
        </w:rPr>
        <w:t xml:space="preserve"> to </w:t>
      </w:r>
      <w:r w:rsidRPr="008A1DB4">
        <w:rPr>
          <w:spacing w:val="-2"/>
          <w:lang w:val="en-US"/>
        </w:rPr>
        <w:fldChar w:fldCharType="begin"/>
      </w:r>
      <w:r w:rsidRPr="008A1DB4">
        <w:rPr>
          <w:spacing w:val="-2"/>
          <w:lang w:val="en-US"/>
        </w:rPr>
        <w:instrText xml:space="preserve"> REF _Ref419392084 \r \h  \* MERGEFORMAT </w:instrText>
      </w:r>
      <w:r w:rsidRPr="008A1DB4">
        <w:rPr>
          <w:spacing w:val="-2"/>
          <w:lang w:val="en-US"/>
        </w:rPr>
      </w:r>
      <w:r w:rsidRPr="008A1DB4">
        <w:rPr>
          <w:spacing w:val="-2"/>
          <w:lang w:val="en-US"/>
        </w:rPr>
        <w:fldChar w:fldCharType="separate"/>
      </w:r>
      <w:r w:rsidRPr="008A1DB4">
        <w:rPr>
          <w:spacing w:val="-2"/>
          <w:lang w:val="en-US"/>
        </w:rPr>
        <w:t>234</w:t>
      </w:r>
      <w:r w:rsidRPr="008A1DB4">
        <w:rPr>
          <w:spacing w:val="-2"/>
          <w:lang w:val="en-US"/>
        </w:rPr>
        <w:fldChar w:fldCharType="end"/>
      </w:r>
      <w:r w:rsidRPr="008A1DB4">
        <w:rPr>
          <w:spacing w:val="-2"/>
          <w:lang w:val="en-US"/>
        </w:rPr>
        <w:t>) and, on the other hand, it alleges that it is at that stage that any objections to the extradition request raised by the said individual or his representative could be decided. If the right to be heard</w:t>
      </w:r>
      <w:r w:rsidR="00BC0345" w:rsidRPr="008A1DB4">
        <w:rPr>
          <w:spacing w:val="-2"/>
          <w:lang w:val="en-US"/>
        </w:rPr>
        <w:t xml:space="preserve"> of the individual whose extradition is sought is ensured by his participation at the judicial stage of the process, then it is at that stage where any objections to his extradition </w:t>
      </w:r>
      <w:r w:rsidR="002462CC">
        <w:rPr>
          <w:spacing w:val="-2"/>
          <w:lang w:val="en-US"/>
        </w:rPr>
        <w:t>based on</w:t>
      </w:r>
      <w:r w:rsidR="00BC0345" w:rsidRPr="008A1DB4">
        <w:rPr>
          <w:spacing w:val="-2"/>
          <w:lang w:val="en-US"/>
        </w:rPr>
        <w:t xml:space="preserve"> the contextual situation of possible human rights violations in the requesting State</w:t>
      </w:r>
      <w:r w:rsidR="002462CC" w:rsidRPr="002462CC">
        <w:rPr>
          <w:spacing w:val="-2"/>
          <w:lang w:val="en-US"/>
        </w:rPr>
        <w:t xml:space="preserve"> </w:t>
      </w:r>
      <w:r w:rsidR="002462CC" w:rsidRPr="008A1DB4">
        <w:rPr>
          <w:spacing w:val="-2"/>
          <w:lang w:val="en-US"/>
        </w:rPr>
        <w:t>should be decided</w:t>
      </w:r>
      <w:r w:rsidR="00BC0345" w:rsidRPr="008A1DB4">
        <w:rPr>
          <w:spacing w:val="-2"/>
          <w:lang w:val="en-US"/>
        </w:rPr>
        <w:t xml:space="preserve">. In this case, at the judicial stage, Wong Ho Wing raised objections concerning the human rights situation in the requesting State and the possible risk to his life or personal integrity. Consequently, the Judiciary, in this case </w:t>
      </w:r>
      <w:r w:rsidR="002462CC">
        <w:rPr>
          <w:spacing w:val="-2"/>
          <w:lang w:val="en-US"/>
        </w:rPr>
        <w:t>through</w:t>
      </w:r>
      <w:r w:rsidR="00BC0345" w:rsidRPr="008A1DB4">
        <w:rPr>
          <w:spacing w:val="-2"/>
          <w:lang w:val="en-US"/>
        </w:rPr>
        <w:t xml:space="preserve"> the Supreme Court, should have responded to these allegations, especially bearing in mind that the </w:t>
      </w:r>
      <w:r w:rsidR="002462CC">
        <w:rPr>
          <w:spacing w:val="-2"/>
          <w:lang w:val="en-US"/>
        </w:rPr>
        <w:t>Supreme Court</w:t>
      </w:r>
      <w:r w:rsidR="00BC0345" w:rsidRPr="008A1DB4">
        <w:rPr>
          <w:spacing w:val="-2"/>
          <w:lang w:val="en-US"/>
        </w:rPr>
        <w:t xml:space="preserve"> found that the extradition was in order. The Court also underlines that, according to </w:t>
      </w:r>
      <w:r w:rsidR="00127339" w:rsidRPr="008A1DB4">
        <w:rPr>
          <w:spacing w:val="-2"/>
          <w:lang w:val="en-US"/>
        </w:rPr>
        <w:t>expert witness</w:t>
      </w:r>
      <w:r w:rsidR="00B16E52" w:rsidRPr="008A1DB4">
        <w:rPr>
          <w:spacing w:val="-2"/>
          <w:lang w:val="en-US"/>
        </w:rPr>
        <w:t xml:space="preserve"> </w:t>
      </w:r>
      <w:proofErr w:type="spellStart"/>
      <w:r w:rsidR="00BE2D64" w:rsidRPr="008A1DB4">
        <w:rPr>
          <w:spacing w:val="-2"/>
          <w:lang w:val="en-US"/>
        </w:rPr>
        <w:t>García</w:t>
      </w:r>
      <w:proofErr w:type="spellEnd"/>
      <w:r w:rsidR="00BE2D64" w:rsidRPr="008A1DB4">
        <w:rPr>
          <w:spacing w:val="-2"/>
          <w:lang w:val="en-US"/>
        </w:rPr>
        <w:t xml:space="preserve"> </w:t>
      </w:r>
      <w:proofErr w:type="spellStart"/>
      <w:r w:rsidR="00BE2D64" w:rsidRPr="008A1DB4">
        <w:rPr>
          <w:spacing w:val="-2"/>
          <w:lang w:val="en-US"/>
        </w:rPr>
        <w:t>Toma</w:t>
      </w:r>
      <w:proofErr w:type="spellEnd"/>
      <w:r w:rsidR="00BE2D64" w:rsidRPr="008A1DB4">
        <w:rPr>
          <w:spacing w:val="-2"/>
          <w:lang w:val="en-US"/>
        </w:rPr>
        <w:t xml:space="preserve">, </w:t>
      </w:r>
      <w:r w:rsidR="00BC0345" w:rsidRPr="008A1DB4">
        <w:rPr>
          <w:spacing w:val="-2"/>
          <w:lang w:val="en-US"/>
        </w:rPr>
        <w:t>offered by</w:t>
      </w:r>
      <w:r w:rsidR="00BE2D64" w:rsidRPr="008A1DB4">
        <w:rPr>
          <w:spacing w:val="-2"/>
          <w:lang w:val="en-US"/>
        </w:rPr>
        <w:t xml:space="preserve"> </w:t>
      </w:r>
      <w:r w:rsidR="00F36400" w:rsidRPr="008A1DB4">
        <w:rPr>
          <w:spacing w:val="-2"/>
          <w:lang w:val="en-US"/>
        </w:rPr>
        <w:t>the State</w:t>
      </w:r>
      <w:r w:rsidR="00B16E52" w:rsidRPr="008A1DB4">
        <w:rPr>
          <w:spacing w:val="-2"/>
          <w:lang w:val="en-US"/>
        </w:rPr>
        <w:t>, “</w:t>
      </w:r>
      <w:r w:rsidR="002D1CFC" w:rsidRPr="008A1DB4">
        <w:rPr>
          <w:spacing w:val="-2"/>
          <w:lang w:val="en-US"/>
        </w:rPr>
        <w:t>the Council of Ministers</w:t>
      </w:r>
      <w:r w:rsidR="00BC0345" w:rsidRPr="008A1DB4">
        <w:rPr>
          <w:spacing w:val="-2"/>
          <w:lang w:val="en-US"/>
        </w:rPr>
        <w:t xml:space="preserve"> </w:t>
      </w:r>
      <w:r w:rsidR="002462CC">
        <w:rPr>
          <w:spacing w:val="-2"/>
          <w:lang w:val="en-US"/>
        </w:rPr>
        <w:t xml:space="preserve">evaluates </w:t>
      </w:r>
      <w:r w:rsidR="00BC0345" w:rsidRPr="008A1DB4">
        <w:rPr>
          <w:spacing w:val="-2"/>
          <w:lang w:val="en-US"/>
        </w:rPr>
        <w:t>aspects relating to</w:t>
      </w:r>
      <w:r w:rsidR="002462CC">
        <w:rPr>
          <w:spacing w:val="-2"/>
          <w:lang w:val="en-US"/>
        </w:rPr>
        <w:t xml:space="preserve"> the political advisability of denying the extradition</w:t>
      </w:r>
      <w:r w:rsidR="00BC0345" w:rsidRPr="008A1DB4">
        <w:rPr>
          <w:spacing w:val="-2"/>
          <w:lang w:val="en-US"/>
        </w:rPr>
        <w:t xml:space="preserve">,” and “if </w:t>
      </w:r>
      <w:r w:rsidR="002462CC">
        <w:rPr>
          <w:spacing w:val="-2"/>
          <w:lang w:val="en-US"/>
        </w:rPr>
        <w:t>such</w:t>
      </w:r>
      <w:r w:rsidR="00BC0345" w:rsidRPr="008A1DB4">
        <w:rPr>
          <w:spacing w:val="-2"/>
          <w:lang w:val="en-US"/>
        </w:rPr>
        <w:t xml:space="preserve"> political considerations against the extradition are </w:t>
      </w:r>
      <w:r w:rsidR="002462CC">
        <w:rPr>
          <w:spacing w:val="-2"/>
          <w:lang w:val="en-US"/>
        </w:rPr>
        <w:t>uncertain</w:t>
      </w:r>
      <w:r w:rsidR="00BC0345" w:rsidRPr="008A1DB4">
        <w:rPr>
          <w:spacing w:val="-2"/>
          <w:lang w:val="en-US"/>
        </w:rPr>
        <w:t xml:space="preserve"> </w:t>
      </w:r>
      <w:r w:rsidR="00B16E52" w:rsidRPr="008A1DB4">
        <w:rPr>
          <w:spacing w:val="-2"/>
          <w:lang w:val="en-US"/>
        </w:rPr>
        <w:t xml:space="preserve">[…], </w:t>
      </w:r>
      <w:r w:rsidR="00BC0345" w:rsidRPr="008A1DB4">
        <w:rPr>
          <w:spacing w:val="-2"/>
          <w:lang w:val="en-US"/>
        </w:rPr>
        <w:t>the extradition goes forward.</w:t>
      </w:r>
      <w:r w:rsidR="00B16E52" w:rsidRPr="008A1DB4">
        <w:rPr>
          <w:spacing w:val="-2"/>
          <w:lang w:val="en-US"/>
        </w:rPr>
        <w:t>”</w:t>
      </w:r>
      <w:r w:rsidR="00B16E52" w:rsidRPr="008A1DB4">
        <w:rPr>
          <w:rStyle w:val="FootnoteReference"/>
          <w:spacing w:val="-2"/>
          <w:lang w:val="en-US" w:eastAsia="es-CR"/>
        </w:rPr>
        <w:footnoteReference w:id="221"/>
      </w:r>
      <w:r w:rsidR="00BC0345" w:rsidRPr="008A1DB4">
        <w:rPr>
          <w:spacing w:val="-2"/>
          <w:lang w:val="en-US"/>
        </w:rPr>
        <w:t xml:space="preserve"> Therefore, despite the arguments put forward by the State, it is unclear whether the alleged situation of risk to the human rights of </w:t>
      </w:r>
      <w:r w:rsidR="00B43F84" w:rsidRPr="008A1DB4">
        <w:rPr>
          <w:spacing w:val="-2"/>
          <w:lang w:val="en-US"/>
        </w:rPr>
        <w:t>Wong</w:t>
      </w:r>
      <w:r w:rsidR="00BE2D64" w:rsidRPr="008A1DB4">
        <w:rPr>
          <w:spacing w:val="-2"/>
          <w:lang w:val="en-US"/>
        </w:rPr>
        <w:t xml:space="preserve"> Ho Wing </w:t>
      </w:r>
      <w:r w:rsidR="00BC0345" w:rsidRPr="008A1DB4">
        <w:rPr>
          <w:spacing w:val="-2"/>
          <w:lang w:val="en-US"/>
        </w:rPr>
        <w:t>i</w:t>
      </w:r>
      <w:r w:rsidR="00B16E52" w:rsidRPr="008A1DB4">
        <w:rPr>
          <w:spacing w:val="-2"/>
          <w:lang w:val="en-US"/>
        </w:rPr>
        <w:t xml:space="preserve">n </w:t>
      </w:r>
      <w:r w:rsidR="00653211" w:rsidRPr="008A1DB4">
        <w:rPr>
          <w:spacing w:val="-2"/>
          <w:lang w:val="en-US"/>
        </w:rPr>
        <w:t>the requesting State</w:t>
      </w:r>
      <w:r w:rsidR="00B16E52" w:rsidRPr="008A1DB4">
        <w:rPr>
          <w:spacing w:val="-2"/>
          <w:lang w:val="en-US"/>
        </w:rPr>
        <w:t xml:space="preserve"> </w:t>
      </w:r>
      <w:r w:rsidR="00BC0345" w:rsidRPr="008A1DB4">
        <w:rPr>
          <w:spacing w:val="-2"/>
          <w:lang w:val="en-US"/>
        </w:rPr>
        <w:t xml:space="preserve">could be examined during the political stage </w:t>
      </w:r>
      <w:r w:rsidR="00671326" w:rsidRPr="008A1DB4">
        <w:rPr>
          <w:spacing w:val="-2"/>
          <w:lang w:val="en-US"/>
        </w:rPr>
        <w:t xml:space="preserve">of the </w:t>
      </w:r>
      <w:r w:rsidR="00FC5891" w:rsidRPr="008A1DB4">
        <w:rPr>
          <w:spacing w:val="-2"/>
          <w:lang w:val="en-US"/>
        </w:rPr>
        <w:t>extradition process</w:t>
      </w:r>
      <w:r w:rsidR="00B16E52" w:rsidRPr="008A1DB4">
        <w:rPr>
          <w:spacing w:val="-2"/>
          <w:lang w:val="en-US"/>
        </w:rPr>
        <w:t xml:space="preserve">. </w:t>
      </w:r>
    </w:p>
    <w:p w14:paraId="0FB7C909" w14:textId="77777777" w:rsidR="00B16E52" w:rsidRPr="008A1DB4" w:rsidRDefault="00B16E52" w:rsidP="00956E97">
      <w:pPr>
        <w:pStyle w:val="ListParagraph"/>
        <w:tabs>
          <w:tab w:val="left" w:pos="567"/>
        </w:tabs>
        <w:ind w:left="0"/>
        <w:rPr>
          <w:spacing w:val="-2"/>
          <w:szCs w:val="20"/>
          <w:lang w:val="en-US"/>
        </w:rPr>
      </w:pPr>
    </w:p>
    <w:p w14:paraId="18A82142" w14:textId="593D70F4" w:rsidR="00E238C5" w:rsidRPr="008A1DB4" w:rsidRDefault="00BC0345" w:rsidP="00956E97">
      <w:pPr>
        <w:pStyle w:val="PrrafodeSentencia"/>
        <w:rPr>
          <w:spacing w:val="-2"/>
          <w:lang w:val="en-US"/>
        </w:rPr>
      </w:pPr>
      <w:r w:rsidRPr="008A1DB4">
        <w:rPr>
          <w:spacing w:val="-2"/>
          <w:lang w:val="en-US"/>
        </w:rPr>
        <w:t xml:space="preserve">Nevertheless, the Court notes that the mere failure to consider these allegations would not lead to a violation of the </w:t>
      </w:r>
      <w:r w:rsidR="00775124" w:rsidRPr="008A1DB4">
        <w:rPr>
          <w:spacing w:val="-2"/>
          <w:lang w:val="en-US"/>
        </w:rPr>
        <w:t>right to personal</w:t>
      </w:r>
      <w:r w:rsidR="00776D24" w:rsidRPr="008A1DB4">
        <w:rPr>
          <w:spacing w:val="-2"/>
          <w:lang w:val="en-US"/>
        </w:rPr>
        <w:t xml:space="preserve"> integrity</w:t>
      </w:r>
      <w:r w:rsidR="00E238C5" w:rsidRPr="008A1DB4">
        <w:rPr>
          <w:spacing w:val="-2"/>
          <w:lang w:val="en-US"/>
        </w:rPr>
        <w:t xml:space="preserve"> </w:t>
      </w:r>
      <w:r w:rsidR="00B43F84" w:rsidRPr="008A1DB4">
        <w:rPr>
          <w:spacing w:val="-2"/>
          <w:lang w:val="en-US"/>
        </w:rPr>
        <w:t>of Wong</w:t>
      </w:r>
      <w:r w:rsidR="00E238C5" w:rsidRPr="008A1DB4">
        <w:rPr>
          <w:spacing w:val="-2"/>
          <w:lang w:val="en-US"/>
        </w:rPr>
        <w:t xml:space="preserve"> Ho Wing</w:t>
      </w:r>
      <w:r w:rsidR="002462CC">
        <w:rPr>
          <w:spacing w:val="-2"/>
          <w:lang w:val="en-US"/>
        </w:rPr>
        <w:t>, in</w:t>
      </w:r>
      <w:r w:rsidRPr="008A1DB4">
        <w:rPr>
          <w:spacing w:val="-2"/>
          <w:lang w:val="en-US"/>
        </w:rPr>
        <w:t xml:space="preserve"> the specific circumstances of this case. As mentioned previously, insofar as the </w:t>
      </w:r>
      <w:r w:rsidR="002D1CFC" w:rsidRPr="008A1DB4">
        <w:rPr>
          <w:spacing w:val="-2"/>
          <w:lang w:val="en-US"/>
        </w:rPr>
        <w:t>extradition</w:t>
      </w:r>
      <w:r w:rsidR="00E238C5" w:rsidRPr="008A1DB4">
        <w:rPr>
          <w:spacing w:val="-2"/>
          <w:lang w:val="en-US"/>
        </w:rPr>
        <w:t xml:space="preserve"> </w:t>
      </w:r>
      <w:r w:rsidRPr="008A1DB4">
        <w:rPr>
          <w:spacing w:val="-2"/>
          <w:lang w:val="en-US"/>
        </w:rPr>
        <w:t>and, thus, the exposure to the alleged risk, has not happened, the Court must determine whether, in the actual circumstances, the</w:t>
      </w:r>
      <w:r w:rsidR="00E238C5" w:rsidRPr="008A1DB4">
        <w:rPr>
          <w:spacing w:val="-2"/>
          <w:lang w:val="en-US"/>
        </w:rPr>
        <w:t xml:space="preserve"> </w:t>
      </w:r>
      <w:r w:rsidR="002D1CFC" w:rsidRPr="008A1DB4">
        <w:rPr>
          <w:spacing w:val="-2"/>
          <w:lang w:val="en-US"/>
        </w:rPr>
        <w:t>extradition</w:t>
      </w:r>
      <w:r w:rsidR="00E238C5" w:rsidRPr="008A1DB4">
        <w:rPr>
          <w:spacing w:val="-2"/>
          <w:lang w:val="en-US"/>
        </w:rPr>
        <w:t xml:space="preserve"> </w:t>
      </w:r>
      <w:r w:rsidR="00B43F84" w:rsidRPr="008A1DB4">
        <w:rPr>
          <w:spacing w:val="-2"/>
          <w:lang w:val="en-US"/>
        </w:rPr>
        <w:t>of Wong</w:t>
      </w:r>
      <w:r w:rsidR="00E238C5" w:rsidRPr="008A1DB4">
        <w:rPr>
          <w:spacing w:val="-2"/>
          <w:lang w:val="en-US"/>
        </w:rPr>
        <w:t xml:space="preserve"> Ho Wing </w:t>
      </w:r>
      <w:r w:rsidRPr="008A1DB4">
        <w:rPr>
          <w:spacing w:val="-2"/>
          <w:lang w:val="en-US"/>
        </w:rPr>
        <w:t xml:space="preserve">would result in a violation of the prohibition of torture or </w:t>
      </w:r>
      <w:r w:rsidR="0006115A" w:rsidRPr="008A1DB4">
        <w:rPr>
          <w:spacing w:val="-2"/>
          <w:lang w:val="en-US"/>
        </w:rPr>
        <w:t>other cruel, inhuman or degrading treatment or punishment</w:t>
      </w:r>
      <w:r w:rsidRPr="008A1DB4">
        <w:rPr>
          <w:spacing w:val="-2"/>
          <w:lang w:val="en-US"/>
        </w:rPr>
        <w:t xml:space="preserve"> established in</w:t>
      </w:r>
      <w:r w:rsidR="00790B67" w:rsidRPr="008A1DB4">
        <w:rPr>
          <w:spacing w:val="-2"/>
          <w:lang w:val="en-US"/>
        </w:rPr>
        <w:t xml:space="preserve"> </w:t>
      </w:r>
      <w:r w:rsidR="00F36400" w:rsidRPr="008A1DB4">
        <w:rPr>
          <w:spacing w:val="-2"/>
          <w:lang w:val="en-US"/>
        </w:rPr>
        <w:t>Article</w:t>
      </w:r>
      <w:r w:rsidR="00790B67" w:rsidRPr="008A1DB4">
        <w:rPr>
          <w:spacing w:val="-2"/>
          <w:lang w:val="en-US"/>
        </w:rPr>
        <w:t xml:space="preserve"> </w:t>
      </w:r>
      <w:r w:rsidR="00E238C5" w:rsidRPr="008A1DB4">
        <w:rPr>
          <w:spacing w:val="-2"/>
          <w:lang w:val="en-US"/>
        </w:rPr>
        <w:t>5</w:t>
      </w:r>
      <w:r w:rsidR="00F36400" w:rsidRPr="008A1DB4">
        <w:rPr>
          <w:spacing w:val="-2"/>
          <w:lang w:val="en-US"/>
        </w:rPr>
        <w:t xml:space="preserve"> of the American Convention and </w:t>
      </w:r>
      <w:r w:rsidR="00071662" w:rsidRPr="008A1DB4">
        <w:rPr>
          <w:spacing w:val="-2"/>
          <w:lang w:val="en-US"/>
        </w:rPr>
        <w:t>the principle of non-</w:t>
      </w:r>
      <w:proofErr w:type="spellStart"/>
      <w:r w:rsidR="00071662" w:rsidRPr="008A1DB4">
        <w:rPr>
          <w:spacing w:val="-2"/>
          <w:lang w:val="en-US"/>
        </w:rPr>
        <w:t>refoulement</w:t>
      </w:r>
      <w:proofErr w:type="spellEnd"/>
      <w:r w:rsidR="00BE2D64" w:rsidRPr="008A1DB4">
        <w:rPr>
          <w:spacing w:val="-2"/>
          <w:lang w:val="en-US"/>
        </w:rPr>
        <w:t xml:space="preserve"> </w:t>
      </w:r>
      <w:r w:rsidRPr="008A1DB4">
        <w:rPr>
          <w:spacing w:val="-2"/>
          <w:lang w:val="en-US"/>
        </w:rPr>
        <w:t>recognized in</w:t>
      </w:r>
      <w:r w:rsidR="00BE2D64" w:rsidRPr="008A1DB4">
        <w:rPr>
          <w:spacing w:val="-2"/>
          <w:lang w:val="en-US"/>
        </w:rPr>
        <w:t xml:space="preserve"> </w:t>
      </w:r>
      <w:r w:rsidR="00F36400" w:rsidRPr="008A1DB4">
        <w:rPr>
          <w:spacing w:val="-2"/>
          <w:lang w:val="en-US"/>
        </w:rPr>
        <w:t>Article</w:t>
      </w:r>
      <w:r w:rsidRPr="008A1DB4">
        <w:rPr>
          <w:spacing w:val="-2"/>
          <w:lang w:val="en-US"/>
        </w:rPr>
        <w:t xml:space="preserve"> 13</w:t>
      </w:r>
      <w:r w:rsidR="00790B67" w:rsidRPr="008A1DB4">
        <w:rPr>
          <w:spacing w:val="-2"/>
          <w:lang w:val="en-US"/>
        </w:rPr>
        <w:t xml:space="preserve">(4) </w:t>
      </w:r>
      <w:r w:rsidR="00B87470" w:rsidRPr="008A1DB4">
        <w:rPr>
          <w:spacing w:val="-2"/>
          <w:lang w:val="en-US"/>
        </w:rPr>
        <w:t>of the ICPPT</w:t>
      </w:r>
      <w:r w:rsidR="00E238C5" w:rsidRPr="008A1DB4">
        <w:rPr>
          <w:spacing w:val="-2"/>
          <w:lang w:val="en-US"/>
        </w:rPr>
        <w:t xml:space="preserve">. </w:t>
      </w:r>
    </w:p>
    <w:p w14:paraId="0510A34B" w14:textId="77777777" w:rsidR="00E238C5" w:rsidRPr="008A1DB4" w:rsidRDefault="00E238C5" w:rsidP="00956E97">
      <w:pPr>
        <w:pStyle w:val="PrrafodeSentencia"/>
        <w:numPr>
          <w:ilvl w:val="0"/>
          <w:numId w:val="0"/>
        </w:numPr>
        <w:rPr>
          <w:spacing w:val="-2"/>
          <w:lang w:val="en-US"/>
        </w:rPr>
      </w:pPr>
    </w:p>
    <w:p w14:paraId="6A551E34" w14:textId="7E220F11" w:rsidR="00C43AC0" w:rsidRPr="008A1DB4" w:rsidRDefault="00C43AC0" w:rsidP="00956E97">
      <w:pPr>
        <w:pStyle w:val="Heading3"/>
        <w:ind w:left="1440" w:firstLine="0"/>
        <w:rPr>
          <w:spacing w:val="-2"/>
          <w:lang w:val="en-US"/>
        </w:rPr>
      </w:pPr>
      <w:bookmarkStart w:id="729" w:name="_Toc419394407"/>
      <w:bookmarkStart w:id="730" w:name="_Toc429490272"/>
      <w:bookmarkStart w:id="731" w:name="_Toc429503784"/>
      <w:bookmarkStart w:id="732" w:name="_Toc429504290"/>
      <w:bookmarkStart w:id="733" w:name="_Toc429678003"/>
      <w:bookmarkStart w:id="734" w:name="_Toc430017166"/>
      <w:bookmarkStart w:id="735" w:name="_Toc430017395"/>
      <w:bookmarkStart w:id="736" w:name="_Toc430018677"/>
      <w:bookmarkStart w:id="737" w:name="_Toc430125275"/>
      <w:bookmarkStart w:id="738" w:name="_Toc430125383"/>
      <w:r w:rsidRPr="008A1DB4">
        <w:rPr>
          <w:spacing w:val="-2"/>
          <w:lang w:val="en-US"/>
        </w:rPr>
        <w:t>B.</w:t>
      </w:r>
      <w:r w:rsidR="00967766" w:rsidRPr="008A1DB4">
        <w:rPr>
          <w:spacing w:val="-2"/>
          <w:lang w:val="en-US"/>
        </w:rPr>
        <w:t>4</w:t>
      </w:r>
      <w:r w:rsidRPr="008A1DB4">
        <w:rPr>
          <w:spacing w:val="-2"/>
          <w:lang w:val="en-US"/>
        </w:rPr>
        <w:t xml:space="preserve">.b) </w:t>
      </w:r>
      <w:r w:rsidR="00BC0345" w:rsidRPr="008A1DB4">
        <w:rPr>
          <w:spacing w:val="-2"/>
          <w:lang w:val="en-US"/>
        </w:rPr>
        <w:t>Alleged risk to Wong Ho Wing in the requesting</w:t>
      </w:r>
      <w:r w:rsidR="00653211" w:rsidRPr="008A1DB4">
        <w:rPr>
          <w:spacing w:val="-2"/>
          <w:lang w:val="en-US"/>
        </w:rPr>
        <w:t xml:space="preserve"> State</w:t>
      </w:r>
      <w:bookmarkEnd w:id="729"/>
      <w:bookmarkEnd w:id="730"/>
      <w:bookmarkEnd w:id="731"/>
      <w:bookmarkEnd w:id="732"/>
      <w:bookmarkEnd w:id="733"/>
      <w:bookmarkEnd w:id="734"/>
      <w:bookmarkEnd w:id="735"/>
      <w:bookmarkEnd w:id="736"/>
      <w:bookmarkEnd w:id="737"/>
      <w:bookmarkEnd w:id="738"/>
    </w:p>
    <w:p w14:paraId="5E74A64D" w14:textId="77777777" w:rsidR="00C43AC0" w:rsidRPr="008A1DB4" w:rsidRDefault="00C43AC0" w:rsidP="00956E97">
      <w:pPr>
        <w:rPr>
          <w:spacing w:val="-2"/>
          <w:lang w:val="en-US"/>
        </w:rPr>
      </w:pPr>
      <w:r w:rsidRPr="008A1DB4">
        <w:rPr>
          <w:spacing w:val="-2"/>
          <w:lang w:val="en-US"/>
        </w:rPr>
        <w:lastRenderedPageBreak/>
        <w:t xml:space="preserve"> </w:t>
      </w:r>
    </w:p>
    <w:p w14:paraId="3C1CCA04" w14:textId="679E669E" w:rsidR="00B16E52" w:rsidRPr="008A1DB4" w:rsidRDefault="00945E57" w:rsidP="00956E97">
      <w:pPr>
        <w:pStyle w:val="PrrafodeSentencia"/>
        <w:rPr>
          <w:spacing w:val="-2"/>
          <w:lang w:val="en-US"/>
        </w:rPr>
      </w:pPr>
      <w:bookmarkStart w:id="739" w:name="_Ref429487172"/>
      <w:r w:rsidRPr="008A1DB4">
        <w:rPr>
          <w:spacing w:val="-2"/>
          <w:lang w:val="en-US"/>
        </w:rPr>
        <w:t xml:space="preserve">In order to determine whether </w:t>
      </w:r>
      <w:r w:rsidR="00F36400" w:rsidRPr="008A1DB4">
        <w:rPr>
          <w:spacing w:val="-2"/>
          <w:lang w:val="en-US"/>
        </w:rPr>
        <w:t>the presumed victim</w:t>
      </w:r>
      <w:r w:rsidR="00B16E52" w:rsidRPr="008A1DB4">
        <w:rPr>
          <w:spacing w:val="-2"/>
          <w:lang w:val="en-US"/>
        </w:rPr>
        <w:t xml:space="preserve"> </w:t>
      </w:r>
      <w:r w:rsidRPr="008A1DB4">
        <w:rPr>
          <w:spacing w:val="-2"/>
          <w:lang w:val="en-US"/>
        </w:rPr>
        <w:t>would face a real, foreseeable and personal risk if he is extradited, the Court must examine all the information available and consider</w:t>
      </w:r>
      <w:r w:rsidR="00947926">
        <w:rPr>
          <w:spacing w:val="-2"/>
          <w:lang w:val="en-US"/>
        </w:rPr>
        <w:t xml:space="preserve"> a</w:t>
      </w:r>
      <w:r w:rsidRPr="008A1DB4">
        <w:rPr>
          <w:spacing w:val="-2"/>
          <w:lang w:val="en-US"/>
        </w:rPr>
        <w:t xml:space="preserve">ll relevant circumstances. To determine whether there is a risk of torture of </w:t>
      </w:r>
      <w:r w:rsidR="00B87470" w:rsidRPr="008A1DB4">
        <w:rPr>
          <w:spacing w:val="-2"/>
          <w:lang w:val="en-US"/>
        </w:rPr>
        <w:t>other forms of</w:t>
      </w:r>
      <w:r w:rsidR="00B16E52" w:rsidRPr="008A1DB4">
        <w:rPr>
          <w:spacing w:val="-2"/>
          <w:lang w:val="en-US"/>
        </w:rPr>
        <w:t xml:space="preserve"> </w:t>
      </w:r>
      <w:r w:rsidRPr="008A1DB4">
        <w:rPr>
          <w:spacing w:val="-2"/>
          <w:lang w:val="en-US"/>
        </w:rPr>
        <w:t>cruel, inhuman or degrading treatment</w:t>
      </w:r>
      <w:r w:rsidR="00B16E52" w:rsidRPr="008A1DB4">
        <w:rPr>
          <w:spacing w:val="-2"/>
          <w:lang w:val="en-US"/>
        </w:rPr>
        <w:t xml:space="preserve">, </w:t>
      </w:r>
      <w:r w:rsidRPr="008A1DB4">
        <w:rPr>
          <w:spacing w:val="-2"/>
          <w:lang w:val="en-US"/>
        </w:rPr>
        <w:t xml:space="preserve">it must examine the relevant conditions in </w:t>
      </w:r>
      <w:r w:rsidR="00653211" w:rsidRPr="008A1DB4">
        <w:rPr>
          <w:spacing w:val="-2"/>
          <w:lang w:val="en-US"/>
        </w:rPr>
        <w:t>the requesting State</w:t>
      </w:r>
      <w:r w:rsidR="00B16E52" w:rsidRPr="008A1DB4">
        <w:rPr>
          <w:spacing w:val="-2"/>
          <w:lang w:val="en-US"/>
        </w:rPr>
        <w:t xml:space="preserve">, </w:t>
      </w:r>
      <w:r w:rsidRPr="008A1DB4">
        <w:rPr>
          <w:spacing w:val="-2"/>
          <w:lang w:val="en-US"/>
        </w:rPr>
        <w:t>the specific circumstances</w:t>
      </w:r>
      <w:r w:rsidR="00C45946" w:rsidRPr="008A1DB4">
        <w:rPr>
          <w:spacing w:val="-2"/>
          <w:lang w:val="en-US"/>
        </w:rPr>
        <w:t xml:space="preserve"> of the </w:t>
      </w:r>
      <w:r w:rsidR="00F36400" w:rsidRPr="008A1DB4">
        <w:rPr>
          <w:spacing w:val="-2"/>
          <w:lang w:val="en-US"/>
        </w:rPr>
        <w:t>presumed victim</w:t>
      </w:r>
      <w:r w:rsidRPr="008A1DB4">
        <w:rPr>
          <w:spacing w:val="-2"/>
          <w:lang w:val="en-US"/>
        </w:rPr>
        <w:t xml:space="preserve"> and, as an additional factor, </w:t>
      </w:r>
      <w:r w:rsidR="00653211" w:rsidRPr="008A1DB4">
        <w:rPr>
          <w:spacing w:val="-2"/>
          <w:lang w:val="en-US"/>
        </w:rPr>
        <w:t xml:space="preserve">the </w:t>
      </w:r>
      <w:r w:rsidRPr="008A1DB4">
        <w:rPr>
          <w:spacing w:val="-2"/>
          <w:lang w:val="en-US"/>
        </w:rPr>
        <w:t>diplomatic assurances</w:t>
      </w:r>
      <w:r w:rsidR="00E75EFF" w:rsidRPr="008A1DB4">
        <w:rPr>
          <w:spacing w:val="-2"/>
          <w:lang w:val="en-US"/>
        </w:rPr>
        <w:t>,</w:t>
      </w:r>
      <w:r w:rsidR="00B16E52" w:rsidRPr="008A1DB4">
        <w:rPr>
          <w:spacing w:val="-2"/>
          <w:lang w:val="en-US"/>
        </w:rPr>
        <w:t xml:space="preserve"> </w:t>
      </w:r>
      <w:r w:rsidRPr="008A1DB4">
        <w:rPr>
          <w:spacing w:val="-2"/>
          <w:lang w:val="en-US"/>
        </w:rPr>
        <w:t xml:space="preserve">if these have been </w:t>
      </w:r>
      <w:r w:rsidR="002462CC">
        <w:rPr>
          <w:spacing w:val="-2"/>
          <w:lang w:val="en-US"/>
        </w:rPr>
        <w:t>provided</w:t>
      </w:r>
      <w:r w:rsidRPr="008A1DB4">
        <w:rPr>
          <w:spacing w:val="-2"/>
          <w:lang w:val="en-US"/>
        </w:rPr>
        <w:t>.</w:t>
      </w:r>
      <w:r w:rsidR="00B16E52" w:rsidRPr="008A1DB4">
        <w:rPr>
          <w:rStyle w:val="FootnoteReference"/>
          <w:spacing w:val="-2"/>
          <w:lang w:val="en-US"/>
        </w:rPr>
        <w:footnoteReference w:id="222"/>
      </w:r>
      <w:r w:rsidRPr="008A1DB4">
        <w:rPr>
          <w:spacing w:val="-2"/>
          <w:lang w:val="en-US"/>
        </w:rPr>
        <w:t xml:space="preserve"> The Court will now analyze:</w:t>
      </w:r>
      <w:r w:rsidR="00B16E52" w:rsidRPr="008A1DB4">
        <w:rPr>
          <w:spacing w:val="-2"/>
          <w:lang w:val="en-US"/>
        </w:rPr>
        <w:t xml:space="preserve"> (</w:t>
      </w:r>
      <w:proofErr w:type="spellStart"/>
      <w:r w:rsidR="00B16E52" w:rsidRPr="008A1DB4">
        <w:rPr>
          <w:spacing w:val="-2"/>
          <w:lang w:val="en-US"/>
        </w:rPr>
        <w:t>i</w:t>
      </w:r>
      <w:proofErr w:type="spellEnd"/>
      <w:r w:rsidR="00B16E52" w:rsidRPr="008A1DB4">
        <w:rPr>
          <w:spacing w:val="-2"/>
          <w:lang w:val="en-US"/>
        </w:rPr>
        <w:t xml:space="preserve">) </w:t>
      </w:r>
      <w:r w:rsidRPr="008A1DB4">
        <w:rPr>
          <w:spacing w:val="-2"/>
          <w:lang w:val="en-US"/>
        </w:rPr>
        <w:t>the alleged situation of risk in</w:t>
      </w:r>
      <w:r w:rsidR="002B4C7E" w:rsidRPr="008A1DB4">
        <w:rPr>
          <w:spacing w:val="-2"/>
          <w:lang w:val="en-US"/>
        </w:rPr>
        <w:t xml:space="preserve"> </w:t>
      </w:r>
      <w:r w:rsidR="00653211" w:rsidRPr="008A1DB4">
        <w:rPr>
          <w:spacing w:val="-2"/>
          <w:lang w:val="en-US"/>
        </w:rPr>
        <w:t>the requesting State</w:t>
      </w:r>
      <w:r w:rsidR="00F36400" w:rsidRPr="008A1DB4">
        <w:rPr>
          <w:spacing w:val="-2"/>
          <w:lang w:val="en-US"/>
        </w:rPr>
        <w:t xml:space="preserve"> and </w:t>
      </w:r>
      <w:r w:rsidR="00B16E52" w:rsidRPr="008A1DB4">
        <w:rPr>
          <w:spacing w:val="-2"/>
          <w:lang w:val="en-US"/>
        </w:rPr>
        <w:t xml:space="preserve">(ii) </w:t>
      </w:r>
      <w:r w:rsidR="00653211" w:rsidRPr="008A1DB4">
        <w:rPr>
          <w:spacing w:val="-2"/>
          <w:lang w:val="en-US"/>
        </w:rPr>
        <w:t xml:space="preserve">the </w:t>
      </w:r>
      <w:r w:rsidRPr="008A1DB4">
        <w:rPr>
          <w:spacing w:val="-2"/>
          <w:lang w:val="en-US"/>
        </w:rPr>
        <w:t xml:space="preserve">diplomatic </w:t>
      </w:r>
      <w:r w:rsidR="00030FA9" w:rsidRPr="008A1DB4">
        <w:rPr>
          <w:spacing w:val="-2"/>
          <w:lang w:val="en-US"/>
        </w:rPr>
        <w:t>assurances provided</w:t>
      </w:r>
      <w:r w:rsidR="00B16E52" w:rsidRPr="008A1DB4">
        <w:rPr>
          <w:spacing w:val="-2"/>
          <w:lang w:val="en-US"/>
        </w:rPr>
        <w:t>.</w:t>
      </w:r>
      <w:bookmarkEnd w:id="739"/>
      <w:r w:rsidR="00B16E52" w:rsidRPr="008A1DB4">
        <w:rPr>
          <w:spacing w:val="-2"/>
          <w:lang w:val="en-US"/>
        </w:rPr>
        <w:t xml:space="preserve">  </w:t>
      </w:r>
    </w:p>
    <w:p w14:paraId="377EC077" w14:textId="77777777" w:rsidR="00FC369F" w:rsidRPr="008A1DB4" w:rsidRDefault="00FC369F" w:rsidP="00956E97">
      <w:pPr>
        <w:pStyle w:val="PrrafodeSentencia"/>
        <w:numPr>
          <w:ilvl w:val="0"/>
          <w:numId w:val="0"/>
        </w:numPr>
        <w:rPr>
          <w:spacing w:val="-2"/>
          <w:lang w:val="en-US"/>
        </w:rPr>
      </w:pPr>
    </w:p>
    <w:p w14:paraId="14AA53E0" w14:textId="4BE26722" w:rsidR="00FC369F" w:rsidRPr="008A1DB4" w:rsidRDefault="00F36400" w:rsidP="00956E97">
      <w:pPr>
        <w:pStyle w:val="PrrafodeSentencia"/>
        <w:rPr>
          <w:b/>
          <w:spacing w:val="-2"/>
          <w:lang w:val="en-US"/>
        </w:rPr>
      </w:pPr>
      <w:r w:rsidRPr="008A1DB4">
        <w:rPr>
          <w:spacing w:val="-2"/>
          <w:lang w:val="en-US"/>
        </w:rPr>
        <w:t>The State</w:t>
      </w:r>
      <w:r w:rsidR="00FC369F" w:rsidRPr="008A1DB4">
        <w:rPr>
          <w:spacing w:val="-2"/>
          <w:lang w:val="en-US"/>
        </w:rPr>
        <w:t xml:space="preserve"> ha</w:t>
      </w:r>
      <w:r w:rsidR="00945E57" w:rsidRPr="008A1DB4">
        <w:rPr>
          <w:spacing w:val="-2"/>
          <w:lang w:val="en-US"/>
        </w:rPr>
        <w:t xml:space="preserve">s argued, with regard to the need to examine the human rights situation in </w:t>
      </w:r>
      <w:r w:rsidR="00653211" w:rsidRPr="008A1DB4">
        <w:rPr>
          <w:spacing w:val="-2"/>
          <w:lang w:val="en-US"/>
        </w:rPr>
        <w:t>the requesting State</w:t>
      </w:r>
      <w:r w:rsidR="00FC369F" w:rsidRPr="008A1DB4">
        <w:rPr>
          <w:spacing w:val="-2"/>
          <w:lang w:val="en-US"/>
        </w:rPr>
        <w:t>, as</w:t>
      </w:r>
      <w:r w:rsidR="00945E57" w:rsidRPr="008A1DB4">
        <w:rPr>
          <w:spacing w:val="-2"/>
          <w:lang w:val="en-US"/>
        </w:rPr>
        <w:t xml:space="preserve"> well as to how </w:t>
      </w:r>
      <w:r w:rsidR="00BB44A4" w:rsidRPr="008A1DB4">
        <w:rPr>
          <w:spacing w:val="-2"/>
          <w:lang w:val="en-US"/>
        </w:rPr>
        <w:t xml:space="preserve">the </w:t>
      </w:r>
      <w:r w:rsidR="00945E57" w:rsidRPr="008A1DB4">
        <w:rPr>
          <w:spacing w:val="-2"/>
          <w:lang w:val="en-US"/>
        </w:rPr>
        <w:t>diplomatic assurances are assessed that,</w:t>
      </w:r>
      <w:r w:rsidR="00FC369F" w:rsidRPr="008A1DB4">
        <w:rPr>
          <w:spacing w:val="-2"/>
          <w:lang w:val="en-US"/>
        </w:rPr>
        <w:t xml:space="preserve"> “</w:t>
      </w:r>
      <w:r w:rsidR="00945E57" w:rsidRPr="008A1DB4">
        <w:rPr>
          <w:spacing w:val="-2"/>
          <w:lang w:val="en-US"/>
        </w:rPr>
        <w:t>there are no international standards for extradit</w:t>
      </w:r>
      <w:r w:rsidR="002462CC">
        <w:rPr>
          <w:spacing w:val="-2"/>
          <w:lang w:val="en-US"/>
        </w:rPr>
        <w:t>ion,” and that it was</w:t>
      </w:r>
      <w:r w:rsidR="00945E57" w:rsidRPr="008A1DB4">
        <w:rPr>
          <w:spacing w:val="-2"/>
          <w:lang w:val="en-US"/>
        </w:rPr>
        <w:t xml:space="preserve"> in the </w:t>
      </w:r>
      <w:r w:rsidRPr="008A1DB4">
        <w:rPr>
          <w:spacing w:val="-2"/>
          <w:lang w:val="en-US"/>
        </w:rPr>
        <w:t>Merits Report</w:t>
      </w:r>
      <w:r w:rsidR="00FC369F" w:rsidRPr="008A1DB4">
        <w:rPr>
          <w:spacing w:val="-2"/>
          <w:lang w:val="en-US"/>
        </w:rPr>
        <w:t xml:space="preserve"> </w:t>
      </w:r>
      <w:r w:rsidR="00945E57" w:rsidRPr="008A1DB4">
        <w:rPr>
          <w:spacing w:val="-2"/>
          <w:lang w:val="en-US"/>
        </w:rPr>
        <w:t>that</w:t>
      </w:r>
      <w:r w:rsidR="00FC369F" w:rsidRPr="008A1DB4">
        <w:rPr>
          <w:spacing w:val="-2"/>
          <w:lang w:val="en-US"/>
        </w:rPr>
        <w:t xml:space="preserve"> </w:t>
      </w:r>
      <w:r w:rsidRPr="008A1DB4">
        <w:rPr>
          <w:spacing w:val="-2"/>
          <w:lang w:val="en-US"/>
        </w:rPr>
        <w:t>the Commission</w:t>
      </w:r>
      <w:r w:rsidR="00FC369F" w:rsidRPr="008A1DB4">
        <w:rPr>
          <w:rStyle w:val="st"/>
          <w:rFonts w:cs="Arial"/>
          <w:spacing w:val="-2"/>
          <w:lang w:val="en-US"/>
        </w:rPr>
        <w:t xml:space="preserve"> </w:t>
      </w:r>
      <w:r w:rsidR="002462CC">
        <w:rPr>
          <w:rStyle w:val="st"/>
          <w:rFonts w:cs="Arial"/>
          <w:spacing w:val="-2"/>
          <w:lang w:val="en-US"/>
        </w:rPr>
        <w:t xml:space="preserve">first </w:t>
      </w:r>
      <w:r w:rsidR="00FC369F" w:rsidRPr="008A1DB4">
        <w:rPr>
          <w:rStyle w:val="st"/>
          <w:rFonts w:cs="Arial"/>
          <w:spacing w:val="-2"/>
          <w:lang w:val="en-US"/>
        </w:rPr>
        <w:t>“</w:t>
      </w:r>
      <w:r w:rsidR="00945E57" w:rsidRPr="008A1DB4">
        <w:rPr>
          <w:rStyle w:val="st"/>
          <w:rFonts w:cs="Arial"/>
          <w:spacing w:val="-2"/>
          <w:lang w:val="en-US"/>
        </w:rPr>
        <w:t xml:space="preserve">ruled on what it considered were the international standards as regards diplomatic assurances to </w:t>
      </w:r>
      <w:r w:rsidR="002462CC">
        <w:rPr>
          <w:rStyle w:val="st"/>
          <w:rFonts w:cs="Arial"/>
          <w:spacing w:val="-2"/>
          <w:lang w:val="en-US"/>
        </w:rPr>
        <w:t>guarantee</w:t>
      </w:r>
      <w:r w:rsidR="00945E57" w:rsidRPr="008A1DB4">
        <w:rPr>
          <w:rStyle w:val="st"/>
          <w:rFonts w:cs="Arial"/>
          <w:spacing w:val="-2"/>
          <w:lang w:val="en-US"/>
        </w:rPr>
        <w:t xml:space="preserve"> the life and integrity of a person in relation to an extradition request.” However, despite the inexistence of specific inter-American case law on extradition, this Court notes that the obligations of the States Parties to</w:t>
      </w:r>
      <w:r w:rsidR="00FC369F" w:rsidRPr="008A1DB4">
        <w:rPr>
          <w:spacing w:val="-2"/>
          <w:lang w:val="en-US"/>
        </w:rPr>
        <w:t xml:space="preserve"> </w:t>
      </w:r>
      <w:r w:rsidRPr="008A1DB4">
        <w:rPr>
          <w:spacing w:val="-2"/>
          <w:lang w:val="en-US"/>
        </w:rPr>
        <w:t>the Convention</w:t>
      </w:r>
      <w:r w:rsidR="00FC369F" w:rsidRPr="008A1DB4">
        <w:rPr>
          <w:spacing w:val="-2"/>
          <w:lang w:val="en-US"/>
        </w:rPr>
        <w:t xml:space="preserve"> </w:t>
      </w:r>
      <w:r w:rsidR="00945E57" w:rsidRPr="008A1DB4">
        <w:rPr>
          <w:spacing w:val="-2"/>
          <w:lang w:val="en-US"/>
        </w:rPr>
        <w:t>result from the American Convention and not from the Court’s case law.</w:t>
      </w:r>
      <w:r w:rsidR="00FC369F" w:rsidRPr="008A1DB4">
        <w:rPr>
          <w:rStyle w:val="FootnoteReference"/>
          <w:spacing w:val="-2"/>
          <w:lang w:val="en-US"/>
        </w:rPr>
        <w:footnoteReference w:id="223"/>
      </w:r>
      <w:r w:rsidR="00FC369F" w:rsidRPr="008A1DB4">
        <w:rPr>
          <w:spacing w:val="-2"/>
          <w:lang w:val="en-US"/>
        </w:rPr>
        <w:t xml:space="preserve"> </w:t>
      </w:r>
    </w:p>
    <w:p w14:paraId="65606627" w14:textId="77777777" w:rsidR="00B16E52" w:rsidRPr="008A1DB4" w:rsidRDefault="00B16E52" w:rsidP="00956E97">
      <w:pPr>
        <w:pStyle w:val="ListParagraph"/>
        <w:tabs>
          <w:tab w:val="left" w:pos="567"/>
        </w:tabs>
        <w:ind w:left="0"/>
        <w:rPr>
          <w:b/>
          <w:spacing w:val="-2"/>
          <w:szCs w:val="20"/>
          <w:lang w:val="en-US"/>
        </w:rPr>
      </w:pPr>
    </w:p>
    <w:p w14:paraId="3E3BE5B2" w14:textId="432E9616" w:rsidR="00B16E52" w:rsidRPr="008A1DB4" w:rsidRDefault="00B16E52" w:rsidP="00956E97">
      <w:pPr>
        <w:pStyle w:val="Heading4"/>
        <w:rPr>
          <w:spacing w:val="-2"/>
          <w:lang w:val="en-US"/>
        </w:rPr>
      </w:pPr>
      <w:bookmarkStart w:id="740" w:name="_Toc429503785"/>
      <w:bookmarkStart w:id="741" w:name="_Toc429504291"/>
      <w:bookmarkStart w:id="742" w:name="_Toc429678004"/>
      <w:bookmarkStart w:id="743" w:name="_Toc430017167"/>
      <w:bookmarkStart w:id="744" w:name="_Toc430017396"/>
      <w:bookmarkStart w:id="745" w:name="_Toc430018678"/>
      <w:bookmarkStart w:id="746" w:name="_Toc430125276"/>
      <w:bookmarkStart w:id="747" w:name="_Toc430125384"/>
      <w:proofErr w:type="spellStart"/>
      <w:r w:rsidRPr="008A1DB4">
        <w:rPr>
          <w:spacing w:val="-2"/>
          <w:lang w:val="en-US"/>
        </w:rPr>
        <w:t>i</w:t>
      </w:r>
      <w:proofErr w:type="spellEnd"/>
      <w:r w:rsidRPr="008A1DB4">
        <w:rPr>
          <w:spacing w:val="-2"/>
          <w:lang w:val="en-US"/>
        </w:rPr>
        <w:t xml:space="preserve">) </w:t>
      </w:r>
      <w:r w:rsidR="00945E57" w:rsidRPr="008A1DB4">
        <w:rPr>
          <w:spacing w:val="-2"/>
          <w:lang w:val="en-US"/>
        </w:rPr>
        <w:t>Alleged situation of risk in</w:t>
      </w:r>
      <w:r w:rsidRPr="008A1DB4">
        <w:rPr>
          <w:spacing w:val="-2"/>
          <w:lang w:val="en-US"/>
        </w:rPr>
        <w:t xml:space="preserve"> </w:t>
      </w:r>
      <w:r w:rsidR="00653211" w:rsidRPr="008A1DB4">
        <w:rPr>
          <w:spacing w:val="-2"/>
          <w:lang w:val="en-US"/>
        </w:rPr>
        <w:t>the requesting State</w:t>
      </w:r>
      <w:bookmarkEnd w:id="740"/>
      <w:bookmarkEnd w:id="741"/>
      <w:bookmarkEnd w:id="742"/>
      <w:bookmarkEnd w:id="743"/>
      <w:bookmarkEnd w:id="744"/>
      <w:bookmarkEnd w:id="745"/>
      <w:bookmarkEnd w:id="746"/>
      <w:bookmarkEnd w:id="747"/>
      <w:r w:rsidRPr="008A1DB4">
        <w:rPr>
          <w:spacing w:val="-2"/>
          <w:lang w:val="en-US"/>
        </w:rPr>
        <w:t xml:space="preserve"> </w:t>
      </w:r>
    </w:p>
    <w:p w14:paraId="1AE7BD5A" w14:textId="77777777" w:rsidR="007343FE" w:rsidRPr="008A1DB4" w:rsidRDefault="007343FE" w:rsidP="00956E97">
      <w:pPr>
        <w:rPr>
          <w:spacing w:val="-2"/>
          <w:lang w:val="en-US"/>
        </w:rPr>
      </w:pPr>
    </w:p>
    <w:p w14:paraId="4757D773" w14:textId="10610488" w:rsidR="00D82FD3" w:rsidRPr="008A1DB4" w:rsidRDefault="00945E57" w:rsidP="00956E97">
      <w:pPr>
        <w:pStyle w:val="PrrafodeSentencia"/>
        <w:rPr>
          <w:spacing w:val="-2"/>
          <w:lang w:val="en-US"/>
        </w:rPr>
      </w:pPr>
      <w:r w:rsidRPr="008A1DB4">
        <w:rPr>
          <w:color w:val="000000"/>
          <w:spacing w:val="-2"/>
          <w:lang w:val="en-US"/>
        </w:rPr>
        <w:t xml:space="preserve">When examining </w:t>
      </w:r>
      <w:r w:rsidRPr="008A1DB4">
        <w:rPr>
          <w:spacing w:val="-2"/>
          <w:lang w:val="en-US"/>
        </w:rPr>
        <w:t>the alleged situation of risk in</w:t>
      </w:r>
      <w:r w:rsidR="005837B2" w:rsidRPr="008A1DB4">
        <w:rPr>
          <w:spacing w:val="-2"/>
          <w:lang w:val="en-US"/>
        </w:rPr>
        <w:t xml:space="preserve"> </w:t>
      </w:r>
      <w:r w:rsidR="00653211" w:rsidRPr="008A1DB4">
        <w:rPr>
          <w:spacing w:val="-2"/>
          <w:lang w:val="en-US"/>
        </w:rPr>
        <w:t>the requesting State</w:t>
      </w:r>
      <w:r w:rsidR="007343FE" w:rsidRPr="008A1DB4">
        <w:rPr>
          <w:spacing w:val="-2"/>
          <w:lang w:val="en-US"/>
        </w:rPr>
        <w:t xml:space="preserve">, </w:t>
      </w:r>
      <w:r w:rsidR="00F36400" w:rsidRPr="008A1DB4">
        <w:rPr>
          <w:spacing w:val="-2"/>
          <w:lang w:val="en-US"/>
        </w:rPr>
        <w:t>the Court</w:t>
      </w:r>
      <w:r w:rsidR="007343FE" w:rsidRPr="008A1DB4">
        <w:rPr>
          <w:spacing w:val="-2"/>
          <w:lang w:val="en-US"/>
        </w:rPr>
        <w:t xml:space="preserve"> </w:t>
      </w:r>
      <w:r w:rsidRPr="008A1DB4">
        <w:rPr>
          <w:spacing w:val="-2"/>
          <w:lang w:val="en-US"/>
        </w:rPr>
        <w:t xml:space="preserve">must necessarily examine the conditions in the destination country which </w:t>
      </w:r>
      <w:r w:rsidR="002462CC">
        <w:rPr>
          <w:spacing w:val="-2"/>
          <w:lang w:val="en-US"/>
        </w:rPr>
        <w:t>are</w:t>
      </w:r>
      <w:r w:rsidRPr="008A1DB4">
        <w:rPr>
          <w:spacing w:val="-2"/>
          <w:lang w:val="en-US"/>
        </w:rPr>
        <w:t xml:space="preserve"> the grounds for the alleged risk, and compare the information presented with the standards derived from </w:t>
      </w:r>
      <w:r w:rsidR="00F36400" w:rsidRPr="008A1DB4">
        <w:rPr>
          <w:spacing w:val="-2"/>
          <w:lang w:val="en-US"/>
        </w:rPr>
        <w:t>the American Convention</w:t>
      </w:r>
      <w:r w:rsidR="007343FE" w:rsidRPr="008A1DB4">
        <w:rPr>
          <w:spacing w:val="-2"/>
          <w:lang w:val="en-US"/>
        </w:rPr>
        <w:t xml:space="preserve">. </w:t>
      </w:r>
      <w:r w:rsidR="002462CC">
        <w:rPr>
          <w:spacing w:val="-2"/>
          <w:lang w:val="en-US"/>
        </w:rPr>
        <w:t>Nevertheless</w:t>
      </w:r>
      <w:r w:rsidRPr="008A1DB4">
        <w:rPr>
          <w:spacing w:val="-2"/>
          <w:lang w:val="en-US"/>
        </w:rPr>
        <w:t xml:space="preserve">, the Court notes that this does not mean that it is judging the conditions in the destination country or </w:t>
      </w:r>
      <w:proofErr w:type="gramStart"/>
      <w:r w:rsidRPr="008A1DB4">
        <w:rPr>
          <w:spacing w:val="-2"/>
          <w:lang w:val="en-US"/>
        </w:rPr>
        <w:t>signify</w:t>
      </w:r>
      <w:proofErr w:type="gramEnd"/>
      <w:r w:rsidRPr="008A1DB4">
        <w:rPr>
          <w:spacing w:val="-2"/>
          <w:lang w:val="en-US"/>
        </w:rPr>
        <w:t xml:space="preserve"> that it is establishing responsibility with regard to</w:t>
      </w:r>
      <w:r w:rsidR="00C45946" w:rsidRPr="008A1DB4">
        <w:rPr>
          <w:spacing w:val="-2"/>
          <w:lang w:val="en-US"/>
        </w:rPr>
        <w:t xml:space="preserve"> </w:t>
      </w:r>
      <w:r w:rsidR="00653211" w:rsidRPr="008A1DB4">
        <w:rPr>
          <w:spacing w:val="-2"/>
          <w:lang w:val="en-US"/>
        </w:rPr>
        <w:t>the requesting State</w:t>
      </w:r>
      <w:r w:rsidRPr="008A1DB4">
        <w:rPr>
          <w:spacing w:val="-2"/>
          <w:lang w:val="en-US"/>
        </w:rPr>
        <w:t xml:space="preserve">; particularly when the latter is not a State Party to </w:t>
      </w:r>
      <w:r w:rsidR="00F36400" w:rsidRPr="008A1DB4">
        <w:rPr>
          <w:spacing w:val="-2"/>
          <w:lang w:val="en-US"/>
        </w:rPr>
        <w:t>the Convention</w:t>
      </w:r>
      <w:r w:rsidR="007343FE" w:rsidRPr="008A1DB4">
        <w:rPr>
          <w:spacing w:val="-2"/>
          <w:lang w:val="en-US"/>
        </w:rPr>
        <w:t xml:space="preserve">. </w:t>
      </w:r>
      <w:r w:rsidRPr="008A1DB4">
        <w:rPr>
          <w:spacing w:val="-2"/>
          <w:lang w:val="en-US"/>
        </w:rPr>
        <w:t xml:space="preserve">When establishing violations by means of this analysis </w:t>
      </w:r>
      <w:r w:rsidR="00775124" w:rsidRPr="008A1DB4">
        <w:rPr>
          <w:spacing w:val="-2"/>
          <w:lang w:val="en-US"/>
        </w:rPr>
        <w:t xml:space="preserve">in the context of </w:t>
      </w:r>
      <w:r w:rsidR="002462CC">
        <w:rPr>
          <w:spacing w:val="-2"/>
          <w:lang w:val="en-US"/>
        </w:rPr>
        <w:t xml:space="preserve">processes of </w:t>
      </w:r>
      <w:r w:rsidR="00775124" w:rsidRPr="008A1DB4">
        <w:rPr>
          <w:spacing w:val="-2"/>
          <w:lang w:val="en-US"/>
        </w:rPr>
        <w:t>extradition</w:t>
      </w:r>
      <w:r w:rsidR="005837B2" w:rsidRPr="008A1DB4">
        <w:rPr>
          <w:spacing w:val="-2"/>
          <w:lang w:val="en-US"/>
        </w:rPr>
        <w:t xml:space="preserve">, </w:t>
      </w:r>
      <w:r w:rsidRPr="008A1DB4">
        <w:rPr>
          <w:spacing w:val="-2"/>
          <w:lang w:val="en-US"/>
        </w:rPr>
        <w:t xml:space="preserve">any </w:t>
      </w:r>
      <w:r w:rsidR="002462CC">
        <w:rPr>
          <w:spacing w:val="-2"/>
          <w:lang w:val="en-US"/>
        </w:rPr>
        <w:t>liability</w:t>
      </w:r>
      <w:r w:rsidRPr="008A1DB4">
        <w:rPr>
          <w:spacing w:val="-2"/>
          <w:lang w:val="en-US"/>
        </w:rPr>
        <w:t xml:space="preserve"> incurred will correspond to </w:t>
      </w:r>
      <w:r w:rsidR="00C45946" w:rsidRPr="008A1DB4">
        <w:rPr>
          <w:spacing w:val="-2"/>
          <w:lang w:val="en-US"/>
        </w:rPr>
        <w:t xml:space="preserve">the </w:t>
      </w:r>
      <w:r w:rsidR="00F36400" w:rsidRPr="008A1DB4">
        <w:rPr>
          <w:spacing w:val="-2"/>
          <w:lang w:val="en-US"/>
        </w:rPr>
        <w:t>State</w:t>
      </w:r>
      <w:r w:rsidR="006A78AE" w:rsidRPr="008A1DB4">
        <w:rPr>
          <w:spacing w:val="-2"/>
          <w:lang w:val="en-US"/>
        </w:rPr>
        <w:t xml:space="preserve"> P</w:t>
      </w:r>
      <w:r w:rsidR="002462CC">
        <w:rPr>
          <w:spacing w:val="-2"/>
          <w:lang w:val="en-US"/>
        </w:rPr>
        <w:t>arty</w:t>
      </w:r>
      <w:r w:rsidRPr="008A1DB4">
        <w:rPr>
          <w:spacing w:val="-2"/>
          <w:lang w:val="en-US"/>
        </w:rPr>
        <w:t xml:space="preserve"> to</w:t>
      </w:r>
      <w:r w:rsidR="005837B2" w:rsidRPr="008A1DB4">
        <w:rPr>
          <w:spacing w:val="-2"/>
          <w:lang w:val="en-US"/>
        </w:rPr>
        <w:t xml:space="preserve"> </w:t>
      </w:r>
      <w:r w:rsidR="00F36400" w:rsidRPr="008A1DB4">
        <w:rPr>
          <w:spacing w:val="-2"/>
          <w:lang w:val="en-US"/>
        </w:rPr>
        <w:t>the Convention</w:t>
      </w:r>
      <w:r w:rsidR="005837B2" w:rsidRPr="008A1DB4">
        <w:rPr>
          <w:spacing w:val="-2"/>
          <w:lang w:val="en-US"/>
        </w:rPr>
        <w:t xml:space="preserve">, </w:t>
      </w:r>
      <w:r w:rsidRPr="008A1DB4">
        <w:rPr>
          <w:spacing w:val="-2"/>
          <w:lang w:val="en-US"/>
        </w:rPr>
        <w:t xml:space="preserve">whose act or omission exposed or would expose an individual under its jurisdiction to a risk contrary to the prohibition of </w:t>
      </w:r>
      <w:r w:rsidR="00CC6F1B" w:rsidRPr="008A1DB4">
        <w:rPr>
          <w:spacing w:val="-2"/>
          <w:lang w:val="en-US"/>
        </w:rPr>
        <w:t xml:space="preserve">torture or </w:t>
      </w:r>
      <w:r w:rsidRPr="008A1DB4">
        <w:rPr>
          <w:spacing w:val="-2"/>
          <w:lang w:val="en-US"/>
        </w:rPr>
        <w:t>cruel, inhuman or degrading treatment.</w:t>
      </w:r>
      <w:r w:rsidR="007343FE" w:rsidRPr="008A1DB4">
        <w:rPr>
          <w:rStyle w:val="FootnoteReference"/>
          <w:spacing w:val="-2"/>
          <w:lang w:val="en-US"/>
        </w:rPr>
        <w:footnoteReference w:id="224"/>
      </w:r>
      <w:r w:rsidR="007343FE" w:rsidRPr="008A1DB4">
        <w:rPr>
          <w:spacing w:val="-2"/>
          <w:lang w:val="en-US"/>
        </w:rPr>
        <w:t xml:space="preserve"> </w:t>
      </w:r>
    </w:p>
    <w:p w14:paraId="0FF121A2" w14:textId="77777777" w:rsidR="00D82FD3" w:rsidRPr="008A1DB4" w:rsidRDefault="00D82FD3" w:rsidP="00956E97">
      <w:pPr>
        <w:pStyle w:val="ListParagraph"/>
        <w:tabs>
          <w:tab w:val="left" w:pos="567"/>
        </w:tabs>
        <w:ind w:left="0"/>
        <w:rPr>
          <w:spacing w:val="-2"/>
          <w:szCs w:val="20"/>
          <w:lang w:val="en-US"/>
        </w:rPr>
      </w:pPr>
    </w:p>
    <w:p w14:paraId="30A408F0" w14:textId="4CDA87CB" w:rsidR="007343FE" w:rsidRPr="008A1DB4" w:rsidRDefault="00F36400" w:rsidP="00956E97">
      <w:pPr>
        <w:pStyle w:val="PrrafodeSentencia"/>
        <w:rPr>
          <w:spacing w:val="-2"/>
          <w:lang w:val="en-US"/>
        </w:rPr>
      </w:pPr>
      <w:r w:rsidRPr="008A1DB4">
        <w:rPr>
          <w:spacing w:val="-2"/>
          <w:lang w:val="en-US"/>
        </w:rPr>
        <w:t>The State</w:t>
      </w:r>
      <w:r w:rsidR="007343FE" w:rsidRPr="008A1DB4">
        <w:rPr>
          <w:spacing w:val="-2"/>
          <w:lang w:val="en-US"/>
        </w:rPr>
        <w:t xml:space="preserve"> obje</w:t>
      </w:r>
      <w:r w:rsidR="00945E57" w:rsidRPr="008A1DB4">
        <w:rPr>
          <w:spacing w:val="-2"/>
          <w:lang w:val="en-US"/>
        </w:rPr>
        <w:t>cted to certain information used by</w:t>
      </w:r>
      <w:r w:rsidR="007343FE" w:rsidRPr="008A1DB4">
        <w:rPr>
          <w:spacing w:val="-2"/>
          <w:lang w:val="en-US"/>
        </w:rPr>
        <w:t xml:space="preserve"> </w:t>
      </w:r>
      <w:r w:rsidRPr="008A1DB4">
        <w:rPr>
          <w:spacing w:val="-2"/>
          <w:lang w:val="en-US"/>
        </w:rPr>
        <w:t>the Inter-American Commission</w:t>
      </w:r>
      <w:r w:rsidR="007343FE" w:rsidRPr="008A1DB4">
        <w:rPr>
          <w:spacing w:val="-2"/>
          <w:lang w:val="en-US"/>
        </w:rPr>
        <w:t xml:space="preserve"> </w:t>
      </w:r>
      <w:r w:rsidR="002462CC">
        <w:rPr>
          <w:spacing w:val="-2"/>
          <w:lang w:val="en-US"/>
        </w:rPr>
        <w:t>as</w:t>
      </w:r>
      <w:r w:rsidR="00945E57" w:rsidRPr="008A1DB4">
        <w:rPr>
          <w:spacing w:val="-2"/>
          <w:lang w:val="en-US"/>
        </w:rPr>
        <w:t xml:space="preserve"> grounds for the presumed situation of risk to human rights in </w:t>
      </w:r>
      <w:r w:rsidR="00653211" w:rsidRPr="008A1DB4">
        <w:rPr>
          <w:spacing w:val="-2"/>
          <w:lang w:val="en-US"/>
        </w:rPr>
        <w:t>the requesting State</w:t>
      </w:r>
      <w:r w:rsidR="007343FE" w:rsidRPr="008A1DB4">
        <w:rPr>
          <w:spacing w:val="-2"/>
          <w:lang w:val="en-US"/>
        </w:rPr>
        <w:t xml:space="preserve">. </w:t>
      </w:r>
      <w:r w:rsidR="00945E57" w:rsidRPr="008A1DB4">
        <w:rPr>
          <w:spacing w:val="-2"/>
          <w:lang w:val="en-US"/>
        </w:rPr>
        <w:t xml:space="preserve">Specifically, it noted that “the situations observed by some </w:t>
      </w:r>
      <w:r w:rsidR="00773CA5" w:rsidRPr="008A1DB4">
        <w:rPr>
          <w:spacing w:val="-2"/>
          <w:lang w:val="en-US"/>
        </w:rPr>
        <w:t xml:space="preserve">United Nations </w:t>
      </w:r>
      <w:r w:rsidR="00945E57" w:rsidRPr="008A1DB4">
        <w:rPr>
          <w:spacing w:val="-2"/>
          <w:lang w:val="en-US"/>
        </w:rPr>
        <w:t>human rights treaty bodies, as well as some</w:t>
      </w:r>
      <w:r w:rsidR="00773CA5" w:rsidRPr="008A1DB4">
        <w:rPr>
          <w:spacing w:val="-2"/>
          <w:lang w:val="en-US"/>
        </w:rPr>
        <w:t xml:space="preserve"> thematic</w:t>
      </w:r>
      <w:r w:rsidR="00945E57" w:rsidRPr="008A1DB4">
        <w:rPr>
          <w:spacing w:val="-2"/>
          <w:lang w:val="en-US"/>
        </w:rPr>
        <w:t xml:space="preserve"> rapporteurs</w:t>
      </w:r>
      <w:r w:rsidR="00773CA5" w:rsidRPr="008A1DB4">
        <w:rPr>
          <w:spacing w:val="-2"/>
          <w:lang w:val="en-US"/>
        </w:rPr>
        <w:t xml:space="preserve">, [cited by </w:t>
      </w:r>
      <w:r w:rsidRPr="008A1DB4">
        <w:rPr>
          <w:spacing w:val="-2"/>
          <w:lang w:val="en-US"/>
        </w:rPr>
        <w:t>the Commission</w:t>
      </w:r>
      <w:r w:rsidR="007343FE" w:rsidRPr="008A1DB4">
        <w:rPr>
          <w:spacing w:val="-2"/>
          <w:lang w:val="en-US"/>
        </w:rPr>
        <w:t xml:space="preserve">, </w:t>
      </w:r>
      <w:r w:rsidR="00773CA5" w:rsidRPr="008A1DB4">
        <w:rPr>
          <w:spacing w:val="-2"/>
          <w:lang w:val="en-US"/>
        </w:rPr>
        <w:t>refer to] previous years and not […] necessarily to the reality today.” When determin</w:t>
      </w:r>
      <w:r w:rsidR="00947926">
        <w:rPr>
          <w:spacing w:val="-2"/>
          <w:lang w:val="en-US"/>
        </w:rPr>
        <w:t>in</w:t>
      </w:r>
      <w:r w:rsidR="00773CA5" w:rsidRPr="008A1DB4">
        <w:rPr>
          <w:spacing w:val="-2"/>
          <w:lang w:val="en-US"/>
        </w:rPr>
        <w:t xml:space="preserve">g the relevant conditions in </w:t>
      </w:r>
      <w:r w:rsidR="00FE5E87" w:rsidRPr="008A1DB4">
        <w:rPr>
          <w:spacing w:val="-2"/>
          <w:lang w:val="en-US"/>
        </w:rPr>
        <w:t>the People’s Republic of China</w:t>
      </w:r>
      <w:r w:rsidR="007343FE" w:rsidRPr="008A1DB4">
        <w:rPr>
          <w:spacing w:val="-2"/>
          <w:lang w:val="en-US"/>
        </w:rPr>
        <w:t xml:space="preserve">, </w:t>
      </w:r>
      <w:r w:rsidRPr="008A1DB4">
        <w:rPr>
          <w:spacing w:val="-2"/>
          <w:lang w:val="en-US"/>
        </w:rPr>
        <w:t>the Court</w:t>
      </w:r>
      <w:r w:rsidR="007343FE" w:rsidRPr="008A1DB4">
        <w:rPr>
          <w:spacing w:val="-2"/>
          <w:lang w:val="en-US"/>
        </w:rPr>
        <w:t xml:space="preserve"> </w:t>
      </w:r>
      <w:r w:rsidR="00773CA5" w:rsidRPr="008A1DB4">
        <w:rPr>
          <w:spacing w:val="-2"/>
          <w:lang w:val="en-US"/>
        </w:rPr>
        <w:t>will take this observation by the State into account.</w:t>
      </w:r>
    </w:p>
    <w:p w14:paraId="1FF7A4CC" w14:textId="77777777" w:rsidR="007343FE" w:rsidRPr="008A1DB4" w:rsidRDefault="007343FE" w:rsidP="00956E97">
      <w:pPr>
        <w:pStyle w:val="ListParagraph"/>
        <w:tabs>
          <w:tab w:val="left" w:pos="567"/>
        </w:tabs>
        <w:ind w:left="0"/>
        <w:rPr>
          <w:spacing w:val="-2"/>
          <w:szCs w:val="20"/>
          <w:lang w:val="en-US"/>
        </w:rPr>
      </w:pPr>
    </w:p>
    <w:p w14:paraId="7A79F621" w14:textId="0A836652" w:rsidR="007343FE" w:rsidRPr="008A1DB4" w:rsidRDefault="00F36400" w:rsidP="00956E97">
      <w:pPr>
        <w:pStyle w:val="PrrafodeSentencia"/>
        <w:rPr>
          <w:spacing w:val="-2"/>
          <w:lang w:val="en-US"/>
        </w:rPr>
      </w:pPr>
      <w:r w:rsidRPr="008A1DB4">
        <w:rPr>
          <w:color w:val="000000"/>
          <w:spacing w:val="-2"/>
          <w:lang w:val="en-US"/>
        </w:rPr>
        <w:lastRenderedPageBreak/>
        <w:t>The Court</w:t>
      </w:r>
      <w:r w:rsidR="00773CA5" w:rsidRPr="008A1DB4">
        <w:rPr>
          <w:color w:val="000000"/>
          <w:spacing w:val="-2"/>
          <w:lang w:val="en-US"/>
        </w:rPr>
        <w:t xml:space="preserve"> considers that, to </w:t>
      </w:r>
      <w:r w:rsidR="002462CC">
        <w:rPr>
          <w:color w:val="000000"/>
          <w:spacing w:val="-2"/>
          <w:lang w:val="en-US"/>
        </w:rPr>
        <w:t>assess</w:t>
      </w:r>
      <w:r w:rsidR="00773CA5" w:rsidRPr="008A1DB4">
        <w:rPr>
          <w:color w:val="000000"/>
          <w:spacing w:val="-2"/>
          <w:lang w:val="en-US"/>
        </w:rPr>
        <w:t xml:space="preserve"> the </w:t>
      </w:r>
      <w:r w:rsidR="00947926" w:rsidRPr="008A1DB4">
        <w:rPr>
          <w:color w:val="000000"/>
          <w:spacing w:val="-2"/>
          <w:lang w:val="en-US"/>
        </w:rPr>
        <w:t>possible</w:t>
      </w:r>
      <w:r w:rsidR="00773CA5" w:rsidRPr="008A1DB4">
        <w:rPr>
          <w:color w:val="000000"/>
          <w:spacing w:val="-2"/>
          <w:lang w:val="en-US"/>
        </w:rPr>
        <w:t xml:space="preserve"> situation of risk to the human rights of an individual under the jurisdiction of a State Party in a destination country, it can use </w:t>
      </w:r>
      <w:r w:rsidR="002462CC">
        <w:rPr>
          <w:color w:val="000000"/>
          <w:spacing w:val="-2"/>
          <w:lang w:val="en-US"/>
        </w:rPr>
        <w:t>domestic</w:t>
      </w:r>
      <w:r w:rsidR="00773CA5" w:rsidRPr="008A1DB4">
        <w:rPr>
          <w:color w:val="000000"/>
          <w:spacing w:val="-2"/>
          <w:lang w:val="en-US"/>
        </w:rPr>
        <w:t xml:space="preserve"> sources, as well as reports of international or non-governmental organizations.</w:t>
      </w:r>
      <w:r w:rsidR="007343FE" w:rsidRPr="008A1DB4">
        <w:rPr>
          <w:rStyle w:val="FootnoteReference"/>
          <w:spacing w:val="-2"/>
          <w:lang w:val="en-US"/>
        </w:rPr>
        <w:footnoteReference w:id="225"/>
      </w:r>
      <w:r w:rsidR="007343FE" w:rsidRPr="008A1DB4">
        <w:rPr>
          <w:color w:val="000000"/>
          <w:spacing w:val="-2"/>
          <w:lang w:val="en-US"/>
        </w:rPr>
        <w:t xml:space="preserve"> </w:t>
      </w:r>
    </w:p>
    <w:p w14:paraId="33E44FE4" w14:textId="77777777" w:rsidR="007343FE" w:rsidRPr="008A1DB4" w:rsidRDefault="007343FE" w:rsidP="00956E97">
      <w:pPr>
        <w:pStyle w:val="PrrafodeSentencia"/>
        <w:numPr>
          <w:ilvl w:val="0"/>
          <w:numId w:val="0"/>
        </w:numPr>
        <w:rPr>
          <w:spacing w:val="-2"/>
          <w:lang w:val="en-US"/>
        </w:rPr>
      </w:pPr>
      <w:bookmarkStart w:id="748" w:name="_Ref418071821"/>
    </w:p>
    <w:bookmarkEnd w:id="748"/>
    <w:p w14:paraId="58D9BA10" w14:textId="5D0F61AE" w:rsidR="007343FE" w:rsidRPr="008A1DB4" w:rsidRDefault="00773CA5" w:rsidP="00773CA5">
      <w:pPr>
        <w:pStyle w:val="PrrafodeSentencia"/>
        <w:rPr>
          <w:b/>
          <w:bCs/>
          <w:spacing w:val="-2"/>
          <w:lang w:val="en-US"/>
        </w:rPr>
      </w:pPr>
      <w:r w:rsidRPr="008A1DB4">
        <w:rPr>
          <w:spacing w:val="-2"/>
          <w:lang w:val="en-US"/>
        </w:rPr>
        <w:t xml:space="preserve">When examining a possible situation of risk for an individual whose extradition has been requested in the destination country, the real conditions in that country must be taken into account, and not </w:t>
      </w:r>
      <w:r w:rsidR="002462CC">
        <w:rPr>
          <w:spacing w:val="-2"/>
          <w:lang w:val="en-US"/>
        </w:rPr>
        <w:t>merely</w:t>
      </w:r>
      <w:r w:rsidRPr="008A1DB4">
        <w:rPr>
          <w:spacing w:val="-2"/>
          <w:lang w:val="en-US"/>
        </w:rPr>
        <w:t xml:space="preserve"> the formal conditions, so that the ratification of treaties alone is insufficient to ensure that he will not be subjected to torture.</w:t>
      </w:r>
      <w:r w:rsidR="007343FE" w:rsidRPr="008A1DB4">
        <w:rPr>
          <w:rStyle w:val="FootnoteReference"/>
          <w:spacing w:val="-2"/>
          <w:lang w:val="en-US"/>
        </w:rPr>
        <w:footnoteReference w:id="226"/>
      </w:r>
      <w:r w:rsidRPr="008A1DB4">
        <w:rPr>
          <w:spacing w:val="-2"/>
          <w:lang w:val="en-US"/>
        </w:rPr>
        <w:t xml:space="preserve"> Furthermore, the existence of domestic norms that ensure respect for human rights or the prohibition of torture </w:t>
      </w:r>
      <w:r w:rsidR="00F36400" w:rsidRPr="008A1DB4">
        <w:rPr>
          <w:spacing w:val="-2"/>
          <w:lang w:val="en-US"/>
        </w:rPr>
        <w:t xml:space="preserve">and </w:t>
      </w:r>
      <w:r w:rsidR="00B87470" w:rsidRPr="008A1DB4">
        <w:rPr>
          <w:spacing w:val="-2"/>
          <w:lang w:val="en-US"/>
        </w:rPr>
        <w:t>other forms of</w:t>
      </w:r>
      <w:r w:rsidR="007343FE" w:rsidRPr="008A1DB4">
        <w:rPr>
          <w:spacing w:val="-2"/>
          <w:lang w:val="en-US"/>
        </w:rPr>
        <w:t xml:space="preserve"> </w:t>
      </w:r>
      <w:r w:rsidR="00CC6F1B" w:rsidRPr="008A1DB4">
        <w:rPr>
          <w:spacing w:val="-2"/>
          <w:lang w:val="en-US"/>
        </w:rPr>
        <w:t xml:space="preserve">cruel, inhuman or degrading </w:t>
      </w:r>
      <w:proofErr w:type="gramStart"/>
      <w:r w:rsidR="00CC6F1B" w:rsidRPr="008A1DB4">
        <w:rPr>
          <w:spacing w:val="-2"/>
          <w:lang w:val="en-US"/>
        </w:rPr>
        <w:t>treatment</w:t>
      </w:r>
      <w:r w:rsidR="007343FE" w:rsidRPr="008A1DB4">
        <w:rPr>
          <w:spacing w:val="-2"/>
          <w:lang w:val="en-US"/>
        </w:rPr>
        <w:t>,</w:t>
      </w:r>
      <w:proofErr w:type="gramEnd"/>
      <w:r w:rsidR="007343FE" w:rsidRPr="008A1DB4">
        <w:rPr>
          <w:spacing w:val="-2"/>
          <w:lang w:val="en-US"/>
        </w:rPr>
        <w:t xml:space="preserve"> </w:t>
      </w:r>
      <w:r w:rsidRPr="008A1DB4">
        <w:rPr>
          <w:spacing w:val="-2"/>
          <w:lang w:val="en-US"/>
        </w:rPr>
        <w:t xml:space="preserve">is insufficient, in itself, to ensure adequate protection against treatment contrary to </w:t>
      </w:r>
      <w:r w:rsidR="00F36400" w:rsidRPr="008A1DB4">
        <w:rPr>
          <w:spacing w:val="-2"/>
          <w:lang w:val="en-US"/>
        </w:rPr>
        <w:t>the Convention</w:t>
      </w:r>
      <w:r w:rsidRPr="008A1DB4">
        <w:rPr>
          <w:spacing w:val="-2"/>
          <w:lang w:val="en-US"/>
        </w:rPr>
        <w:t>.</w:t>
      </w:r>
      <w:r w:rsidR="007343FE" w:rsidRPr="008A1DB4">
        <w:rPr>
          <w:rStyle w:val="FootnoteReference"/>
          <w:spacing w:val="-2"/>
          <w:lang w:val="en-US"/>
        </w:rPr>
        <w:footnoteReference w:id="227"/>
      </w:r>
      <w:r w:rsidRPr="008A1DB4">
        <w:rPr>
          <w:spacing w:val="-2"/>
          <w:lang w:val="en-US"/>
        </w:rPr>
        <w:t xml:space="preserve"> However,</w:t>
      </w:r>
      <w:r w:rsidR="007343FE" w:rsidRPr="008A1DB4">
        <w:rPr>
          <w:b/>
          <w:bCs/>
          <w:spacing w:val="-2"/>
          <w:lang w:val="en-US"/>
        </w:rPr>
        <w:t xml:space="preserve"> </w:t>
      </w:r>
      <w:r w:rsidR="00F36400" w:rsidRPr="008A1DB4">
        <w:rPr>
          <w:spacing w:val="-2"/>
          <w:lang w:val="en-US"/>
        </w:rPr>
        <w:t xml:space="preserve">the </w:t>
      </w:r>
      <w:r w:rsidR="00631F9C" w:rsidRPr="008A1DB4">
        <w:rPr>
          <w:spacing w:val="-2"/>
          <w:lang w:val="en-US"/>
        </w:rPr>
        <w:t>European Court</w:t>
      </w:r>
      <w:r w:rsidRPr="008A1DB4">
        <w:rPr>
          <w:spacing w:val="-2"/>
          <w:lang w:val="en-US"/>
        </w:rPr>
        <w:t xml:space="preserve"> has indicated that</w:t>
      </w:r>
      <w:r w:rsidR="007343FE" w:rsidRPr="008A1DB4">
        <w:rPr>
          <w:spacing w:val="-2"/>
          <w:lang w:val="en-US"/>
        </w:rPr>
        <w:t>:</w:t>
      </w:r>
    </w:p>
    <w:p w14:paraId="5D70233B" w14:textId="77777777" w:rsidR="00A965A9" w:rsidRPr="008A1DB4" w:rsidRDefault="00A965A9" w:rsidP="00A965A9">
      <w:pPr>
        <w:pStyle w:val="PrrafodeSentencia"/>
        <w:numPr>
          <w:ilvl w:val="0"/>
          <w:numId w:val="0"/>
        </w:numPr>
        <w:rPr>
          <w:b/>
          <w:bCs/>
          <w:spacing w:val="-2"/>
          <w:lang w:val="en-US"/>
        </w:rPr>
      </w:pPr>
    </w:p>
    <w:p w14:paraId="33C3E8A8" w14:textId="15F5FE0F" w:rsidR="007343FE" w:rsidRPr="008A1DB4" w:rsidRDefault="00773CA5" w:rsidP="00956E97">
      <w:pPr>
        <w:pStyle w:val="s30eec3f8"/>
        <w:tabs>
          <w:tab w:val="left" w:pos="567"/>
        </w:tabs>
        <w:spacing w:before="0" w:beforeAutospacing="0" w:after="0" w:afterAutospacing="0"/>
        <w:ind w:left="720" w:right="284"/>
        <w:jc w:val="both"/>
        <w:rPr>
          <w:rFonts w:ascii="Verdana" w:hAnsi="Verdana"/>
          <w:b w:val="0"/>
          <w:color w:val="000000"/>
          <w:spacing w:val="-2"/>
          <w:sz w:val="18"/>
          <w:szCs w:val="18"/>
        </w:rPr>
      </w:pPr>
      <w:r w:rsidRPr="008A1DB4">
        <w:rPr>
          <w:rStyle w:val="sb8d990e2"/>
          <w:rFonts w:ascii="Verdana" w:hAnsi="Verdana" w:cs="Arial"/>
          <w:b w:val="0"/>
          <w:color w:val="000000"/>
          <w:spacing w:val="-4"/>
          <w:sz w:val="18"/>
          <w:szCs w:val="18"/>
          <w:shd w:val="clear" w:color="auto" w:fill="FFFFFF"/>
        </w:rPr>
        <w:t xml:space="preserve">[I]n assessing </w:t>
      </w:r>
      <w:r w:rsidRPr="002462CC">
        <w:rPr>
          <w:rStyle w:val="sb8d990e2"/>
          <w:rFonts w:ascii="Verdana" w:hAnsi="Verdana" w:cs="Arial"/>
          <w:b w:val="0"/>
          <w:color w:val="000000"/>
          <w:spacing w:val="-4"/>
          <w:sz w:val="18"/>
          <w:szCs w:val="18"/>
          <w:shd w:val="clear" w:color="auto" w:fill="FFFFFF"/>
        </w:rPr>
        <w:t>whether there is a risk of ill</w:t>
      </w:r>
      <w:r w:rsidRPr="002462CC">
        <w:rPr>
          <w:rStyle w:val="sb8d990e2"/>
          <w:rFonts w:ascii="Verdana" w:hAnsi="Verdana" w:cs="Arial"/>
          <w:b w:val="0"/>
          <w:color w:val="000000"/>
          <w:spacing w:val="-4"/>
          <w:sz w:val="18"/>
          <w:szCs w:val="18"/>
          <w:shd w:val="clear" w:color="auto" w:fill="FFFFFF"/>
        </w:rPr>
        <w:noBreakHyphen/>
        <w:t>treatment in the requesting country, the Court assesses the general situation in that country, taking into account any indications of improvement or worsening of the human-rights situation in general or in respect of a particular group or area that might be relevant to the applicant’s personal circumstances.</w:t>
      </w:r>
      <w:r w:rsidR="007343FE" w:rsidRPr="002462CC">
        <w:rPr>
          <w:rStyle w:val="FootnoteReference"/>
          <w:rFonts w:ascii="Verdana" w:eastAsiaTheme="majorEastAsia" w:hAnsi="Verdana"/>
          <w:b w:val="0"/>
          <w:color w:val="000000"/>
          <w:spacing w:val="-2"/>
          <w:sz w:val="18"/>
          <w:szCs w:val="18"/>
        </w:rPr>
        <w:footnoteReference w:id="228"/>
      </w:r>
    </w:p>
    <w:p w14:paraId="3204746A" w14:textId="77777777" w:rsidR="00A965A9" w:rsidRPr="008A1DB4" w:rsidRDefault="00A965A9" w:rsidP="00956E97">
      <w:pPr>
        <w:pStyle w:val="s30eec3f8"/>
        <w:tabs>
          <w:tab w:val="left" w:pos="567"/>
        </w:tabs>
        <w:spacing w:before="0" w:beforeAutospacing="0" w:after="0" w:afterAutospacing="0"/>
        <w:ind w:left="720" w:right="284"/>
        <w:jc w:val="both"/>
        <w:rPr>
          <w:rFonts w:ascii="Verdana" w:hAnsi="Verdana"/>
          <w:b w:val="0"/>
          <w:color w:val="000000"/>
          <w:spacing w:val="-2"/>
          <w:sz w:val="18"/>
          <w:szCs w:val="18"/>
        </w:rPr>
      </w:pPr>
    </w:p>
    <w:p w14:paraId="7DC13DA2" w14:textId="1AC64757" w:rsidR="007343FE" w:rsidRPr="008A1DB4" w:rsidRDefault="00773CA5" w:rsidP="00956E97">
      <w:pPr>
        <w:pStyle w:val="PrrafodeSentencia"/>
        <w:rPr>
          <w:spacing w:val="-2"/>
          <w:lang w:val="en-US"/>
        </w:rPr>
      </w:pPr>
      <w:r w:rsidRPr="008A1DB4">
        <w:rPr>
          <w:spacing w:val="-2"/>
          <w:lang w:val="en-US"/>
        </w:rPr>
        <w:t xml:space="preserve">In addition, the Court notes that, when analyzing a </w:t>
      </w:r>
      <w:r w:rsidR="00947926" w:rsidRPr="008A1DB4">
        <w:rPr>
          <w:spacing w:val="-2"/>
          <w:lang w:val="en-US"/>
        </w:rPr>
        <w:t>possible</w:t>
      </w:r>
      <w:r w:rsidRPr="008A1DB4">
        <w:rPr>
          <w:spacing w:val="-2"/>
          <w:lang w:val="en-US"/>
        </w:rPr>
        <w:t xml:space="preserve"> situation of risk in the destination country, it is not sufficient to refer to the general situation of human rights in the respective State, but rather it is necessary to </w:t>
      </w:r>
      <w:r w:rsidR="002462CC">
        <w:rPr>
          <w:spacing w:val="-2"/>
          <w:lang w:val="en-US"/>
        </w:rPr>
        <w:t>demonstrate</w:t>
      </w:r>
      <w:r w:rsidRPr="008A1DB4">
        <w:rPr>
          <w:spacing w:val="-2"/>
          <w:lang w:val="en-US"/>
        </w:rPr>
        <w:t xml:space="preserve"> the particular circumstances of the person to be extradited that would expose him to a real, foreseeable and personal risk of being </w:t>
      </w:r>
      <w:r w:rsidR="00196CB7">
        <w:rPr>
          <w:spacing w:val="-2"/>
          <w:lang w:val="en-US"/>
        </w:rPr>
        <w:t>subject</w:t>
      </w:r>
      <w:r w:rsidRPr="008A1DB4">
        <w:rPr>
          <w:spacing w:val="-2"/>
          <w:lang w:val="en-US"/>
        </w:rPr>
        <w:t xml:space="preserve"> to treatment contr</w:t>
      </w:r>
      <w:r w:rsidR="00947926">
        <w:rPr>
          <w:spacing w:val="-2"/>
          <w:lang w:val="en-US"/>
        </w:rPr>
        <w:t>ar</w:t>
      </w:r>
      <w:r w:rsidRPr="008A1DB4">
        <w:rPr>
          <w:spacing w:val="-2"/>
          <w:lang w:val="en-US"/>
        </w:rPr>
        <w:t xml:space="preserve">y to the prohibition of </w:t>
      </w:r>
      <w:r w:rsidR="00CC6F1B" w:rsidRPr="008A1DB4">
        <w:rPr>
          <w:spacing w:val="-2"/>
          <w:lang w:val="en-US"/>
        </w:rPr>
        <w:t>torture or cruel, inhuman or degrading treatment</w:t>
      </w:r>
      <w:r w:rsidRPr="008A1DB4">
        <w:rPr>
          <w:spacing w:val="-2"/>
          <w:lang w:val="en-US"/>
        </w:rPr>
        <w:t xml:space="preserve"> if he is extradited, such as membership in a persecuted group, prior experience of torture or ill-treatment in </w:t>
      </w:r>
      <w:r w:rsidR="00653211" w:rsidRPr="008A1DB4">
        <w:rPr>
          <w:spacing w:val="-2"/>
          <w:lang w:val="en-US"/>
        </w:rPr>
        <w:t>the requesting State</w:t>
      </w:r>
      <w:r w:rsidR="007343FE" w:rsidRPr="008A1DB4">
        <w:rPr>
          <w:spacing w:val="-2"/>
          <w:lang w:val="en-US"/>
        </w:rPr>
        <w:t xml:space="preserve">, </w:t>
      </w:r>
      <w:r w:rsidRPr="008A1DB4">
        <w:rPr>
          <w:spacing w:val="-2"/>
          <w:lang w:val="en-US"/>
        </w:rPr>
        <w:t xml:space="preserve">and the type of offense for which he is </w:t>
      </w:r>
      <w:r w:rsidR="002462CC">
        <w:rPr>
          <w:spacing w:val="-2"/>
          <w:lang w:val="en-US"/>
        </w:rPr>
        <w:t>sought</w:t>
      </w:r>
      <w:r w:rsidRPr="008A1DB4">
        <w:rPr>
          <w:spacing w:val="-2"/>
          <w:lang w:val="en-US"/>
        </w:rPr>
        <w:t xml:space="preserve">, among other matters, depending on the specific circumstances in the destination country. In this regard, </w:t>
      </w:r>
      <w:r w:rsidR="00F36400" w:rsidRPr="008A1DB4">
        <w:rPr>
          <w:spacing w:val="-2"/>
          <w:lang w:val="en-US"/>
        </w:rPr>
        <w:t xml:space="preserve">the </w:t>
      </w:r>
      <w:r w:rsidR="00631F9C" w:rsidRPr="008A1DB4">
        <w:rPr>
          <w:spacing w:val="-2"/>
          <w:lang w:val="en-US"/>
        </w:rPr>
        <w:t>European Court</w:t>
      </w:r>
      <w:r w:rsidR="007343FE" w:rsidRPr="008A1DB4">
        <w:rPr>
          <w:spacing w:val="-2"/>
          <w:lang w:val="en-US"/>
        </w:rPr>
        <w:t xml:space="preserve"> h</w:t>
      </w:r>
      <w:r w:rsidRPr="008A1DB4">
        <w:rPr>
          <w:spacing w:val="-2"/>
          <w:lang w:val="en-US"/>
        </w:rPr>
        <w:t>as indicated that:</w:t>
      </w:r>
    </w:p>
    <w:p w14:paraId="7966706D" w14:textId="77777777" w:rsidR="007343FE" w:rsidRPr="008A1DB4" w:rsidRDefault="007343FE" w:rsidP="00956E97">
      <w:pPr>
        <w:pStyle w:val="ListParagraph"/>
        <w:tabs>
          <w:tab w:val="left" w:pos="567"/>
        </w:tabs>
        <w:ind w:left="0"/>
        <w:rPr>
          <w:spacing w:val="-2"/>
          <w:szCs w:val="20"/>
          <w:lang w:val="en-US"/>
        </w:rPr>
      </w:pPr>
    </w:p>
    <w:p w14:paraId="69F3FA1C" w14:textId="34D84E47" w:rsidR="007343FE" w:rsidRPr="008A1DB4" w:rsidRDefault="00773CA5" w:rsidP="00773CA5">
      <w:pPr>
        <w:pStyle w:val="s30eec3f8"/>
        <w:tabs>
          <w:tab w:val="left" w:pos="567"/>
        </w:tabs>
        <w:spacing w:before="0" w:beforeAutospacing="0" w:after="0" w:afterAutospacing="0"/>
        <w:ind w:left="720" w:right="284"/>
        <w:jc w:val="both"/>
        <w:rPr>
          <w:rFonts w:ascii="Verdana" w:hAnsi="Verdana"/>
          <w:b w:val="0"/>
          <w:color w:val="000000"/>
          <w:spacing w:val="-2"/>
          <w:sz w:val="18"/>
          <w:szCs w:val="18"/>
        </w:rPr>
      </w:pPr>
      <w:r w:rsidRPr="002462CC">
        <w:rPr>
          <w:rFonts w:ascii="Verdana" w:hAnsi="Verdana"/>
          <w:b w:val="0"/>
          <w:color w:val="000000" w:themeColor="text1"/>
          <w:spacing w:val="-4"/>
          <w:sz w:val="18"/>
          <w:szCs w:val="18"/>
        </w:rPr>
        <w:t>“[R]</w:t>
      </w:r>
      <w:proofErr w:type="spellStart"/>
      <w:r w:rsidRPr="002462CC">
        <w:rPr>
          <w:rFonts w:ascii="Verdana" w:hAnsi="Verdana"/>
          <w:b w:val="0"/>
          <w:color w:val="000000" w:themeColor="text1"/>
          <w:spacing w:val="-4"/>
          <w:sz w:val="18"/>
          <w:szCs w:val="18"/>
        </w:rPr>
        <w:t>eference</w:t>
      </w:r>
      <w:proofErr w:type="spellEnd"/>
      <w:r w:rsidRPr="002462CC">
        <w:rPr>
          <w:rFonts w:ascii="Verdana" w:hAnsi="Verdana"/>
          <w:b w:val="0"/>
          <w:color w:val="000000" w:themeColor="text1"/>
          <w:spacing w:val="-4"/>
          <w:sz w:val="18"/>
          <w:szCs w:val="18"/>
        </w:rPr>
        <w:t xml:space="preserve"> to a general problem concerning human rights observance in a particular country cannot alone serve as a basis for refusal of extradition […]. Where the sources available to the Court describe a general situation, an applicant’s specific allegations in a particular case require corroboration by other evidence, with reference to the individual circumstances substantiating his fears of ill-treatment […]. The Court would not require evidence of such individual circumstances only in the most extreme cases where the general situation of violence in the country of destination is of such intensity as to create a real risk that any removal to that country would necessarily violate Article 3</w:t>
      </w:r>
      <w:r w:rsidRPr="002462CC">
        <w:rPr>
          <w:rFonts w:ascii="Verdana" w:hAnsi="Verdana"/>
          <w:b w:val="0"/>
          <w:color w:val="000000"/>
          <w:spacing w:val="-2"/>
          <w:sz w:val="18"/>
          <w:szCs w:val="18"/>
        </w:rPr>
        <w:t>.</w:t>
      </w:r>
      <w:r w:rsidR="007343FE" w:rsidRPr="002462CC">
        <w:rPr>
          <w:rStyle w:val="FootnoteReference"/>
          <w:rFonts w:ascii="Verdana" w:eastAsiaTheme="majorEastAsia" w:hAnsi="Verdana" w:cs="Verdana"/>
          <w:b w:val="0"/>
          <w:color w:val="000000"/>
          <w:spacing w:val="-2"/>
          <w:sz w:val="18"/>
          <w:szCs w:val="18"/>
        </w:rPr>
        <w:footnoteReference w:id="229"/>
      </w:r>
    </w:p>
    <w:p w14:paraId="4FCEEF65" w14:textId="77777777" w:rsidR="007343FE" w:rsidRPr="008A1DB4" w:rsidRDefault="007343FE" w:rsidP="00956E97">
      <w:pPr>
        <w:pStyle w:val="s30eec3f8"/>
        <w:tabs>
          <w:tab w:val="left" w:pos="567"/>
        </w:tabs>
        <w:spacing w:before="0" w:beforeAutospacing="0" w:after="0" w:afterAutospacing="0"/>
        <w:ind w:left="720" w:right="284"/>
        <w:jc w:val="both"/>
        <w:rPr>
          <w:rFonts w:ascii="Verdana" w:hAnsi="Verdana" w:cs="Verdana"/>
          <w:b w:val="0"/>
          <w:color w:val="000000"/>
          <w:spacing w:val="-2"/>
          <w:sz w:val="18"/>
          <w:szCs w:val="18"/>
        </w:rPr>
      </w:pPr>
    </w:p>
    <w:p w14:paraId="50C2CCC2" w14:textId="3A9C7D1A" w:rsidR="007343FE" w:rsidRPr="008A1DB4" w:rsidRDefault="00773CA5" w:rsidP="00773CA5">
      <w:pPr>
        <w:pStyle w:val="PrrafodeSentencia"/>
        <w:rPr>
          <w:spacing w:val="-2"/>
          <w:lang w:val="en-US"/>
        </w:rPr>
      </w:pPr>
      <w:r w:rsidRPr="008A1DB4">
        <w:rPr>
          <w:spacing w:val="-2"/>
          <w:lang w:val="en-US"/>
        </w:rPr>
        <w:t xml:space="preserve">Similarly, the </w:t>
      </w:r>
      <w:r w:rsidR="00922262" w:rsidRPr="008A1DB4">
        <w:rPr>
          <w:spacing w:val="-2"/>
          <w:lang w:val="en-US"/>
        </w:rPr>
        <w:t>Committee against Torture</w:t>
      </w:r>
      <w:r w:rsidR="007343FE" w:rsidRPr="008A1DB4">
        <w:rPr>
          <w:spacing w:val="-2"/>
          <w:lang w:val="en-US"/>
        </w:rPr>
        <w:t xml:space="preserve"> ha</w:t>
      </w:r>
      <w:r w:rsidRPr="008A1DB4">
        <w:rPr>
          <w:spacing w:val="-2"/>
          <w:lang w:val="en-US"/>
        </w:rPr>
        <w:t xml:space="preserve">s indicated that </w:t>
      </w:r>
      <w:r w:rsidR="002462CC">
        <w:rPr>
          <w:spacing w:val="-2"/>
          <w:lang w:val="en-US"/>
        </w:rPr>
        <w:t>“</w:t>
      </w:r>
      <w:r w:rsidRPr="008A1DB4">
        <w:rPr>
          <w:spacing w:val="-2"/>
          <w:lang w:val="en-US"/>
        </w:rPr>
        <w:t xml:space="preserve">the existence of a </w:t>
      </w:r>
      <w:r w:rsidRPr="008A1DB4">
        <w:rPr>
          <w:lang w:val="en-US"/>
        </w:rPr>
        <w:t>consistent pattern of gross, flagrant or mass violations of human rights in a country does not</w:t>
      </w:r>
      <w:r w:rsidR="002462CC">
        <w:rPr>
          <w:lang w:val="en-US"/>
        </w:rPr>
        <w:t>,</w:t>
      </w:r>
      <w:r w:rsidRPr="008A1DB4">
        <w:rPr>
          <w:lang w:val="en-US"/>
        </w:rPr>
        <w:t xml:space="preserve"> as such</w:t>
      </w:r>
      <w:r w:rsidR="002462CC">
        <w:rPr>
          <w:lang w:val="en-US"/>
        </w:rPr>
        <w:t>,</w:t>
      </w:r>
      <w:r w:rsidRPr="008A1DB4">
        <w:rPr>
          <w:lang w:val="en-US"/>
        </w:rPr>
        <w:t xml:space="preserve"> constitute sufficient grounds for determining that the particular person would be in danger of being </w:t>
      </w:r>
      <w:r w:rsidRPr="008A1DB4">
        <w:rPr>
          <w:lang w:val="en-US"/>
        </w:rPr>
        <w:lastRenderedPageBreak/>
        <w:t>subjected to torture upon his return to that country; additional grounds must be adduced to show that the individual concerned would be personally at risk.</w:t>
      </w:r>
      <w:r w:rsidR="002462CC">
        <w:rPr>
          <w:lang w:val="en-US"/>
        </w:rPr>
        <w:t>”</w:t>
      </w:r>
      <w:r w:rsidR="007343FE" w:rsidRPr="008A1DB4">
        <w:rPr>
          <w:rStyle w:val="FootnoteReference"/>
          <w:rFonts w:cs="Helvetica Neue"/>
          <w:spacing w:val="-2"/>
          <w:lang w:val="en-US"/>
        </w:rPr>
        <w:footnoteReference w:id="230"/>
      </w:r>
    </w:p>
    <w:p w14:paraId="5C360ADD" w14:textId="77777777" w:rsidR="007343FE" w:rsidRPr="008A1DB4" w:rsidRDefault="007343FE" w:rsidP="00956E97">
      <w:pPr>
        <w:pStyle w:val="PrrafodeSentencia"/>
        <w:numPr>
          <w:ilvl w:val="0"/>
          <w:numId w:val="0"/>
        </w:numPr>
        <w:rPr>
          <w:spacing w:val="-2"/>
          <w:lang w:val="en-US"/>
        </w:rPr>
      </w:pPr>
    </w:p>
    <w:p w14:paraId="204B98B4" w14:textId="36FCF10A" w:rsidR="007343FE" w:rsidRPr="008A1DB4" w:rsidRDefault="00773CA5" w:rsidP="00956E97">
      <w:pPr>
        <w:pStyle w:val="PrrafodeSentencia"/>
        <w:rPr>
          <w:spacing w:val="-2"/>
          <w:lang w:val="en-US"/>
        </w:rPr>
      </w:pPr>
      <w:r w:rsidRPr="008A1DB4">
        <w:rPr>
          <w:spacing w:val="-2"/>
          <w:lang w:val="en-US"/>
        </w:rPr>
        <w:t xml:space="preserve">In this case, regarding the possible risk of </w:t>
      </w:r>
      <w:r w:rsidR="00CC6F1B" w:rsidRPr="008A1DB4">
        <w:rPr>
          <w:spacing w:val="-2"/>
          <w:lang w:val="en-US"/>
        </w:rPr>
        <w:t>torture or cruel, inhuman or degrading treatment</w:t>
      </w:r>
      <w:r w:rsidR="007343FE" w:rsidRPr="008A1DB4">
        <w:rPr>
          <w:spacing w:val="-2"/>
          <w:lang w:val="en-US"/>
        </w:rPr>
        <w:t xml:space="preserve">, </w:t>
      </w:r>
      <w:r w:rsidR="00F36400" w:rsidRPr="008A1DB4">
        <w:rPr>
          <w:spacing w:val="-2"/>
          <w:lang w:val="en-US"/>
        </w:rPr>
        <w:t xml:space="preserve">the Commission and </w:t>
      </w:r>
      <w:r w:rsidR="00C45946" w:rsidRPr="008A1DB4">
        <w:rPr>
          <w:spacing w:val="-2"/>
          <w:lang w:val="en-US"/>
        </w:rPr>
        <w:t>the representative</w:t>
      </w:r>
      <w:r w:rsidR="007343FE" w:rsidRPr="008A1DB4">
        <w:rPr>
          <w:spacing w:val="-2"/>
          <w:lang w:val="en-US"/>
        </w:rPr>
        <w:t xml:space="preserve"> a</w:t>
      </w:r>
      <w:r w:rsidRPr="008A1DB4">
        <w:rPr>
          <w:spacing w:val="-2"/>
          <w:lang w:val="en-US"/>
        </w:rPr>
        <w:t xml:space="preserve">rgued that different international bodies, such as the </w:t>
      </w:r>
      <w:r w:rsidR="00922262" w:rsidRPr="008A1DB4">
        <w:rPr>
          <w:spacing w:val="-2"/>
          <w:lang w:val="en-US"/>
        </w:rPr>
        <w:t>Committee against Torture</w:t>
      </w:r>
      <w:r w:rsidR="00F36400" w:rsidRPr="008A1DB4">
        <w:rPr>
          <w:spacing w:val="-2"/>
          <w:lang w:val="en-US"/>
        </w:rPr>
        <w:t xml:space="preserve"> and </w:t>
      </w:r>
      <w:r w:rsidRPr="008A1DB4">
        <w:rPr>
          <w:spacing w:val="-2"/>
          <w:lang w:val="en-US"/>
        </w:rPr>
        <w:t>the former</w:t>
      </w:r>
      <w:r w:rsidR="007343FE" w:rsidRPr="008A1DB4">
        <w:rPr>
          <w:spacing w:val="-2"/>
          <w:lang w:val="en-US"/>
        </w:rPr>
        <w:t xml:space="preserve"> </w:t>
      </w:r>
      <w:r w:rsidR="00127339" w:rsidRPr="008A1DB4">
        <w:rPr>
          <w:spacing w:val="-2"/>
          <w:lang w:val="en-US"/>
        </w:rPr>
        <w:t>Special Rapporteur</w:t>
      </w:r>
      <w:r w:rsidR="007343FE" w:rsidRPr="008A1DB4">
        <w:rPr>
          <w:spacing w:val="-2"/>
          <w:shd w:val="clear" w:color="auto" w:fill="FFFFFF"/>
          <w:lang w:val="en-US"/>
        </w:rPr>
        <w:t xml:space="preserve"> </w:t>
      </w:r>
      <w:r w:rsidRPr="008A1DB4">
        <w:rPr>
          <w:spacing w:val="-2"/>
          <w:shd w:val="clear" w:color="auto" w:fill="FFFFFF"/>
          <w:lang w:val="en-US"/>
        </w:rPr>
        <w:t>on torture</w:t>
      </w:r>
      <w:r w:rsidR="00F36400" w:rsidRPr="008A1DB4">
        <w:rPr>
          <w:spacing w:val="-2"/>
          <w:shd w:val="clear" w:color="auto" w:fill="FFFFFF"/>
          <w:lang w:val="en-US"/>
        </w:rPr>
        <w:t xml:space="preserve"> and </w:t>
      </w:r>
      <w:r w:rsidR="0006115A" w:rsidRPr="008A1DB4">
        <w:rPr>
          <w:spacing w:val="-2"/>
          <w:shd w:val="clear" w:color="auto" w:fill="FFFFFF"/>
          <w:lang w:val="en-US"/>
        </w:rPr>
        <w:t>other cruel, inhuman or degrading treatment or punishment</w:t>
      </w:r>
      <w:r w:rsidR="007343FE" w:rsidRPr="008A1DB4">
        <w:rPr>
          <w:spacing w:val="-2"/>
          <w:shd w:val="clear" w:color="auto" w:fill="FFFFFF"/>
          <w:lang w:val="en-US"/>
        </w:rPr>
        <w:t xml:space="preserve">, Manfred </w:t>
      </w:r>
      <w:r w:rsidRPr="008A1DB4">
        <w:rPr>
          <w:spacing w:val="-2"/>
          <w:shd w:val="clear" w:color="auto" w:fill="FFFFFF"/>
          <w:lang w:val="en-US"/>
        </w:rPr>
        <w:t xml:space="preserve">Nowak, as well as non-governmental organizations such as </w:t>
      </w:r>
      <w:r w:rsidR="00947926" w:rsidRPr="008A1DB4">
        <w:rPr>
          <w:spacing w:val="-2"/>
          <w:shd w:val="clear" w:color="auto" w:fill="FFFFFF"/>
          <w:lang w:val="en-US"/>
        </w:rPr>
        <w:t>Amnesty</w:t>
      </w:r>
      <w:r w:rsidRPr="008A1DB4">
        <w:rPr>
          <w:spacing w:val="-2"/>
          <w:shd w:val="clear" w:color="auto" w:fill="FFFFFF"/>
          <w:lang w:val="en-US"/>
        </w:rPr>
        <w:t xml:space="preserve"> International </w:t>
      </w:r>
      <w:r w:rsidR="00F36400" w:rsidRPr="008A1DB4">
        <w:rPr>
          <w:spacing w:val="-2"/>
          <w:shd w:val="clear" w:color="auto" w:fill="FFFFFF"/>
          <w:lang w:val="en-US"/>
        </w:rPr>
        <w:t xml:space="preserve">and </w:t>
      </w:r>
      <w:r w:rsidR="007343FE" w:rsidRPr="008A1DB4">
        <w:rPr>
          <w:spacing w:val="-2"/>
          <w:shd w:val="clear" w:color="auto" w:fill="FFFFFF"/>
          <w:lang w:val="en-US"/>
        </w:rPr>
        <w:t>Human Rights Watch</w:t>
      </w:r>
      <w:r w:rsidRPr="008A1DB4">
        <w:rPr>
          <w:spacing w:val="-2"/>
          <w:shd w:val="clear" w:color="auto" w:fill="FFFFFF"/>
          <w:lang w:val="en-US"/>
        </w:rPr>
        <w:t xml:space="preserve"> have expressed concern owing to shortcomings in the legal framework with regard to torture,</w:t>
      </w:r>
      <w:r w:rsidR="007343FE" w:rsidRPr="008A1DB4">
        <w:rPr>
          <w:rStyle w:val="FootnoteReference"/>
          <w:rFonts w:cs="Callibri"/>
          <w:spacing w:val="-2"/>
          <w:shd w:val="clear" w:color="auto" w:fill="FFFFFF"/>
          <w:lang w:val="en-US"/>
        </w:rPr>
        <w:footnoteReference w:id="231"/>
      </w:r>
      <w:r w:rsidRPr="008A1DB4">
        <w:rPr>
          <w:spacing w:val="-2"/>
          <w:shd w:val="clear" w:color="auto" w:fill="FFFFFF"/>
          <w:lang w:val="en-US"/>
        </w:rPr>
        <w:t xml:space="preserve"> constant reports of the use of</w:t>
      </w:r>
      <w:r w:rsidR="002462CC">
        <w:rPr>
          <w:spacing w:val="-2"/>
          <w:shd w:val="clear" w:color="auto" w:fill="FFFFFF"/>
          <w:lang w:val="en-US"/>
        </w:rPr>
        <w:t xml:space="preserve"> </w:t>
      </w:r>
      <w:r w:rsidRPr="008A1DB4">
        <w:rPr>
          <w:spacing w:val="-2"/>
          <w:shd w:val="clear" w:color="auto" w:fill="FFFFFF"/>
          <w:lang w:val="en-US"/>
        </w:rPr>
        <w:t>confessions obtained by torture,</w:t>
      </w:r>
      <w:r w:rsidR="007343FE" w:rsidRPr="008A1DB4">
        <w:rPr>
          <w:rStyle w:val="FootnoteReference"/>
          <w:rFonts w:cs="Callibri"/>
          <w:spacing w:val="-2"/>
          <w:lang w:val="en-US"/>
        </w:rPr>
        <w:footnoteReference w:id="232"/>
      </w:r>
      <w:r w:rsidRPr="008A1DB4">
        <w:rPr>
          <w:spacing w:val="-2"/>
          <w:lang w:val="en-US"/>
        </w:rPr>
        <w:t xml:space="preserve"> detention conditions </w:t>
      </w:r>
      <w:r w:rsidR="00B87470" w:rsidRPr="008A1DB4">
        <w:rPr>
          <w:spacing w:val="-2"/>
          <w:lang w:val="en-US"/>
        </w:rPr>
        <w:t>in China</w:t>
      </w:r>
      <w:r w:rsidRPr="008A1DB4">
        <w:rPr>
          <w:spacing w:val="-2"/>
          <w:lang w:val="en-US"/>
        </w:rPr>
        <w:t>,</w:t>
      </w:r>
      <w:r w:rsidR="007343FE" w:rsidRPr="008A1DB4">
        <w:rPr>
          <w:rStyle w:val="FootnoteReference"/>
          <w:rFonts w:cs="Callibri"/>
          <w:spacing w:val="-2"/>
          <w:lang w:val="en-US"/>
        </w:rPr>
        <w:footnoteReference w:id="233"/>
      </w:r>
      <w:r w:rsidR="00F36400" w:rsidRPr="008A1DB4">
        <w:rPr>
          <w:spacing w:val="-2"/>
          <w:lang w:val="en-US"/>
        </w:rPr>
        <w:t xml:space="preserve"> and </w:t>
      </w:r>
      <w:r w:rsidRPr="008A1DB4">
        <w:rPr>
          <w:spacing w:val="-2"/>
          <w:lang w:val="en-US"/>
        </w:rPr>
        <w:t>the failure to investigate, prosecute and punish those responsible for acts of torture.</w:t>
      </w:r>
      <w:r w:rsidR="007343FE" w:rsidRPr="008A1DB4">
        <w:rPr>
          <w:rStyle w:val="FootnoteReference"/>
          <w:rFonts w:cs="Callibri"/>
          <w:spacing w:val="-2"/>
          <w:lang w:val="en-US"/>
        </w:rPr>
        <w:footnoteReference w:id="234"/>
      </w:r>
      <w:r w:rsidRPr="008A1DB4">
        <w:rPr>
          <w:spacing w:val="-2"/>
          <w:lang w:val="en-US"/>
        </w:rPr>
        <w:t xml:space="preserve"> For its part, the State </w:t>
      </w:r>
      <w:r w:rsidRPr="008A1DB4">
        <w:rPr>
          <w:spacing w:val="-2"/>
          <w:lang w:val="en-US"/>
        </w:rPr>
        <w:lastRenderedPageBreak/>
        <w:t>provided the opinion of expert witness</w:t>
      </w:r>
      <w:r w:rsidR="007343FE" w:rsidRPr="008A1DB4">
        <w:rPr>
          <w:spacing w:val="-2"/>
          <w:lang w:val="en-US"/>
        </w:rPr>
        <w:t xml:space="preserve"> </w:t>
      </w:r>
      <w:proofErr w:type="spellStart"/>
      <w:r w:rsidR="007343FE" w:rsidRPr="008A1DB4">
        <w:rPr>
          <w:spacing w:val="-2"/>
          <w:lang w:val="en-US"/>
        </w:rPr>
        <w:t>Huawen</w:t>
      </w:r>
      <w:proofErr w:type="spellEnd"/>
      <w:r w:rsidR="007343FE" w:rsidRPr="008A1DB4">
        <w:rPr>
          <w:spacing w:val="-2"/>
          <w:lang w:val="en-US"/>
        </w:rPr>
        <w:t xml:space="preserve"> Li</w:t>
      </w:r>
      <w:r w:rsidRPr="008A1DB4">
        <w:rPr>
          <w:spacing w:val="-2"/>
          <w:lang w:val="en-US"/>
        </w:rPr>
        <w:t xml:space="preserve"> to the case file to underscore the improvements or </w:t>
      </w:r>
      <w:r w:rsidR="00A7171B">
        <w:rPr>
          <w:spacing w:val="-2"/>
          <w:lang w:val="en-US"/>
        </w:rPr>
        <w:t xml:space="preserve">the </w:t>
      </w:r>
      <w:r w:rsidRPr="008A1DB4">
        <w:rPr>
          <w:spacing w:val="-2"/>
          <w:lang w:val="en-US"/>
        </w:rPr>
        <w:t>new syste</w:t>
      </w:r>
      <w:r w:rsidR="00A7171B">
        <w:rPr>
          <w:spacing w:val="-2"/>
          <w:lang w:val="en-US"/>
        </w:rPr>
        <w:t>ms for the</w:t>
      </w:r>
      <w:r w:rsidRPr="008A1DB4">
        <w:rPr>
          <w:spacing w:val="-2"/>
          <w:lang w:val="en-US"/>
        </w:rPr>
        <w:t xml:space="preserve"> control, reporting </w:t>
      </w:r>
      <w:r w:rsidR="00A7171B">
        <w:rPr>
          <w:spacing w:val="-2"/>
          <w:lang w:val="en-US"/>
        </w:rPr>
        <w:t xml:space="preserve">on, </w:t>
      </w:r>
      <w:r w:rsidRPr="008A1DB4">
        <w:rPr>
          <w:spacing w:val="-2"/>
          <w:lang w:val="en-US"/>
        </w:rPr>
        <w:t>and monitoring of the conditions and treatment received by persons detain</w:t>
      </w:r>
      <w:r w:rsidR="00A7171B">
        <w:rPr>
          <w:spacing w:val="-2"/>
          <w:lang w:val="en-US"/>
        </w:rPr>
        <w:t>ed in China</w:t>
      </w:r>
      <w:r w:rsidRPr="008A1DB4">
        <w:rPr>
          <w:spacing w:val="-2"/>
          <w:lang w:val="en-US"/>
        </w:rPr>
        <w:t xml:space="preserve"> in order to safeguard the prohibition of torture</w:t>
      </w:r>
      <w:r w:rsidR="00F36400" w:rsidRPr="008A1DB4">
        <w:rPr>
          <w:spacing w:val="-2"/>
          <w:lang w:val="en-US"/>
        </w:rPr>
        <w:t xml:space="preserve"> and </w:t>
      </w:r>
      <w:r w:rsidR="00B87470" w:rsidRPr="008A1DB4">
        <w:rPr>
          <w:spacing w:val="-2"/>
          <w:lang w:val="en-US"/>
        </w:rPr>
        <w:t>other forms of</w:t>
      </w:r>
      <w:r w:rsidR="007343FE" w:rsidRPr="008A1DB4">
        <w:rPr>
          <w:spacing w:val="-2"/>
          <w:lang w:val="en-US"/>
        </w:rPr>
        <w:t xml:space="preserve"> </w:t>
      </w:r>
      <w:r w:rsidR="00CC6F1B" w:rsidRPr="008A1DB4">
        <w:rPr>
          <w:spacing w:val="-2"/>
          <w:lang w:val="en-US"/>
        </w:rPr>
        <w:t>cruel, inhuman or degrading treatment</w:t>
      </w:r>
      <w:r w:rsidR="007343FE" w:rsidRPr="008A1DB4">
        <w:rPr>
          <w:spacing w:val="-2"/>
          <w:lang w:val="en-US"/>
        </w:rPr>
        <w:t>, as</w:t>
      </w:r>
      <w:r w:rsidRPr="008A1DB4">
        <w:rPr>
          <w:spacing w:val="-2"/>
          <w:lang w:val="en-US"/>
        </w:rPr>
        <w:t xml:space="preserve"> well as to exclude evidence obtain</w:t>
      </w:r>
      <w:r w:rsidR="00A7171B">
        <w:rPr>
          <w:spacing w:val="-2"/>
          <w:lang w:val="en-US"/>
        </w:rPr>
        <w:t>ed</w:t>
      </w:r>
      <w:r w:rsidRPr="008A1DB4">
        <w:rPr>
          <w:spacing w:val="-2"/>
          <w:lang w:val="en-US"/>
        </w:rPr>
        <w:t xml:space="preserve"> </w:t>
      </w:r>
      <w:r w:rsidR="00A7171B">
        <w:rPr>
          <w:spacing w:val="-2"/>
          <w:lang w:val="en-US"/>
        </w:rPr>
        <w:t>by</w:t>
      </w:r>
      <w:r w:rsidRPr="008A1DB4">
        <w:rPr>
          <w:spacing w:val="-2"/>
          <w:lang w:val="en-US"/>
        </w:rPr>
        <w:t xml:space="preserve"> torture or other acts of violence.</w:t>
      </w:r>
      <w:r w:rsidR="007343FE" w:rsidRPr="008A1DB4">
        <w:rPr>
          <w:rStyle w:val="FootnoteReference"/>
          <w:spacing w:val="-2"/>
          <w:lang w:val="en-US"/>
        </w:rPr>
        <w:footnoteReference w:id="235"/>
      </w:r>
    </w:p>
    <w:p w14:paraId="0F2DF1C2" w14:textId="77777777" w:rsidR="007343FE" w:rsidRPr="008A1DB4" w:rsidRDefault="007343FE" w:rsidP="00956E97">
      <w:pPr>
        <w:pStyle w:val="ListParagraph"/>
        <w:tabs>
          <w:tab w:val="left" w:pos="567"/>
        </w:tabs>
        <w:ind w:left="0"/>
        <w:rPr>
          <w:spacing w:val="-2"/>
          <w:szCs w:val="20"/>
          <w:lang w:val="en-US"/>
        </w:rPr>
      </w:pPr>
    </w:p>
    <w:p w14:paraId="70A05413" w14:textId="47684047" w:rsidR="007343FE" w:rsidRPr="008A1DB4" w:rsidRDefault="00030FA9" w:rsidP="00956E97">
      <w:pPr>
        <w:pStyle w:val="PrrafodeSentencia"/>
        <w:rPr>
          <w:spacing w:val="-2"/>
          <w:lang w:val="en-US"/>
        </w:rPr>
      </w:pPr>
      <w:bookmarkStart w:id="749" w:name="_Ref417874304"/>
      <w:r w:rsidRPr="008A1DB4">
        <w:rPr>
          <w:spacing w:val="-2"/>
          <w:lang w:val="en-US"/>
        </w:rPr>
        <w:t>This Court considers</w:t>
      </w:r>
      <w:r w:rsidR="007343FE" w:rsidRPr="008A1DB4">
        <w:rPr>
          <w:spacing w:val="-2"/>
          <w:lang w:val="en-US"/>
        </w:rPr>
        <w:t xml:space="preserve"> </w:t>
      </w:r>
      <w:r w:rsidRPr="008A1DB4">
        <w:rPr>
          <w:spacing w:val="-2"/>
          <w:lang w:val="en-US"/>
        </w:rPr>
        <w:t xml:space="preserve">that the information on which both </w:t>
      </w:r>
      <w:r w:rsidR="00F36400" w:rsidRPr="008A1DB4">
        <w:rPr>
          <w:spacing w:val="-2"/>
          <w:lang w:val="en-US"/>
        </w:rPr>
        <w:t>the Commission</w:t>
      </w:r>
      <w:r w:rsidRPr="008A1DB4">
        <w:rPr>
          <w:spacing w:val="-2"/>
          <w:lang w:val="en-US"/>
        </w:rPr>
        <w:t xml:space="preserve"> and</w:t>
      </w:r>
      <w:r w:rsidR="007343FE" w:rsidRPr="008A1DB4">
        <w:rPr>
          <w:spacing w:val="-2"/>
          <w:lang w:val="en-US"/>
        </w:rPr>
        <w:t xml:space="preserve"> </w:t>
      </w:r>
      <w:r w:rsidR="00C45946" w:rsidRPr="008A1DB4">
        <w:rPr>
          <w:spacing w:val="-2"/>
          <w:lang w:val="en-US"/>
        </w:rPr>
        <w:t>the representative</w:t>
      </w:r>
      <w:r w:rsidR="007343FE" w:rsidRPr="008A1DB4">
        <w:rPr>
          <w:spacing w:val="-2"/>
          <w:lang w:val="en-US"/>
        </w:rPr>
        <w:t xml:space="preserve"> </w:t>
      </w:r>
      <w:r w:rsidRPr="008A1DB4">
        <w:rPr>
          <w:spacing w:val="-2"/>
          <w:lang w:val="en-US"/>
        </w:rPr>
        <w:t>based themselves refers to the general situation of human rights</w:t>
      </w:r>
      <w:r w:rsidR="00B87470" w:rsidRPr="008A1DB4">
        <w:rPr>
          <w:spacing w:val="-2"/>
          <w:lang w:val="en-US"/>
        </w:rPr>
        <w:t xml:space="preserve"> in China</w:t>
      </w:r>
      <w:r w:rsidR="007343FE" w:rsidRPr="008A1DB4">
        <w:rPr>
          <w:spacing w:val="-2"/>
          <w:lang w:val="en-US"/>
        </w:rPr>
        <w:t xml:space="preserve">. </w:t>
      </w:r>
      <w:r w:rsidRPr="008A1DB4">
        <w:rPr>
          <w:spacing w:val="-2"/>
          <w:lang w:val="en-US"/>
        </w:rPr>
        <w:t xml:space="preserve">This is not sufficient to consider that </w:t>
      </w:r>
      <w:r w:rsidR="001E7113" w:rsidRPr="008A1DB4">
        <w:rPr>
          <w:spacing w:val="-2"/>
          <w:lang w:val="en-US"/>
        </w:rPr>
        <w:t>Wong</w:t>
      </w:r>
      <w:r w:rsidR="007343FE" w:rsidRPr="008A1DB4">
        <w:rPr>
          <w:spacing w:val="-2"/>
          <w:lang w:val="en-US"/>
        </w:rPr>
        <w:t xml:space="preserve"> Ho Wing </w:t>
      </w:r>
      <w:r w:rsidRPr="008A1DB4">
        <w:rPr>
          <w:spacing w:val="-2"/>
          <w:lang w:val="en-US"/>
        </w:rPr>
        <w:t>would be at real, foreseeable and personal risk</w:t>
      </w:r>
      <w:r w:rsidR="007343FE" w:rsidRPr="008A1DB4">
        <w:rPr>
          <w:spacing w:val="-2"/>
          <w:lang w:val="en-US"/>
        </w:rPr>
        <w:t xml:space="preserve"> </w:t>
      </w:r>
      <w:r w:rsidRPr="008A1DB4">
        <w:rPr>
          <w:spacing w:val="-2"/>
          <w:lang w:val="en-US"/>
        </w:rPr>
        <w:t>of suffering</w:t>
      </w:r>
      <w:r w:rsidR="007343FE" w:rsidRPr="008A1DB4">
        <w:rPr>
          <w:spacing w:val="-2"/>
          <w:lang w:val="en-US"/>
        </w:rPr>
        <w:t xml:space="preserve"> </w:t>
      </w:r>
      <w:r w:rsidRPr="008A1DB4">
        <w:rPr>
          <w:spacing w:val="-2"/>
          <w:lang w:val="en-US"/>
        </w:rPr>
        <w:t>treatment contrary to the prohibition of</w:t>
      </w:r>
      <w:r w:rsidR="007343FE" w:rsidRPr="008A1DB4">
        <w:rPr>
          <w:spacing w:val="-2"/>
          <w:lang w:val="en-US"/>
        </w:rPr>
        <w:t xml:space="preserve"> </w:t>
      </w:r>
      <w:r w:rsidR="00945E57" w:rsidRPr="008A1DB4">
        <w:rPr>
          <w:spacing w:val="-2"/>
          <w:lang w:val="en-US"/>
        </w:rPr>
        <w:t>torture or</w:t>
      </w:r>
      <w:r w:rsidR="007343FE" w:rsidRPr="008A1DB4">
        <w:rPr>
          <w:spacing w:val="-2"/>
          <w:lang w:val="en-US"/>
        </w:rPr>
        <w:t xml:space="preserve"> </w:t>
      </w:r>
      <w:r w:rsidR="00B87470" w:rsidRPr="008A1DB4">
        <w:rPr>
          <w:spacing w:val="-2"/>
          <w:lang w:val="en-US"/>
        </w:rPr>
        <w:t>other forms of</w:t>
      </w:r>
      <w:r w:rsidR="006F4399" w:rsidRPr="008A1DB4">
        <w:rPr>
          <w:spacing w:val="-2"/>
          <w:lang w:val="en-US"/>
        </w:rPr>
        <w:t xml:space="preserve"> </w:t>
      </w:r>
      <w:r w:rsidR="00CC6F1B" w:rsidRPr="008A1DB4">
        <w:rPr>
          <w:spacing w:val="-2"/>
          <w:lang w:val="en-US"/>
        </w:rPr>
        <w:t>cruel, inhuman or degrading treatment</w:t>
      </w:r>
      <w:r w:rsidR="007343FE" w:rsidRPr="008A1DB4">
        <w:rPr>
          <w:spacing w:val="-2"/>
          <w:lang w:val="en-US"/>
        </w:rPr>
        <w:t>. N</w:t>
      </w:r>
      <w:r w:rsidRPr="008A1DB4">
        <w:rPr>
          <w:spacing w:val="-2"/>
          <w:lang w:val="en-US"/>
        </w:rPr>
        <w:t>either</w:t>
      </w:r>
      <w:r w:rsidR="007343FE" w:rsidRPr="008A1DB4">
        <w:rPr>
          <w:spacing w:val="-2"/>
          <w:lang w:val="en-US"/>
        </w:rPr>
        <w:t xml:space="preserve"> </w:t>
      </w:r>
      <w:r w:rsidR="00C45946" w:rsidRPr="008A1DB4">
        <w:rPr>
          <w:spacing w:val="-2"/>
          <w:lang w:val="en-US"/>
        </w:rPr>
        <w:t>the representative</w:t>
      </w:r>
      <w:r w:rsidRPr="008A1DB4">
        <w:rPr>
          <w:spacing w:val="-2"/>
          <w:lang w:val="en-US"/>
        </w:rPr>
        <w:t xml:space="preserve"> nor</w:t>
      </w:r>
      <w:r w:rsidR="007343FE" w:rsidRPr="008A1DB4">
        <w:rPr>
          <w:spacing w:val="-2"/>
          <w:lang w:val="en-US"/>
        </w:rPr>
        <w:t xml:space="preserve"> </w:t>
      </w:r>
      <w:r w:rsidR="00F36400" w:rsidRPr="008A1DB4">
        <w:rPr>
          <w:spacing w:val="-2"/>
          <w:lang w:val="en-US"/>
        </w:rPr>
        <w:t>the Commission</w:t>
      </w:r>
      <w:r w:rsidR="007343FE" w:rsidRPr="008A1DB4">
        <w:rPr>
          <w:spacing w:val="-2"/>
          <w:lang w:val="en-US"/>
        </w:rPr>
        <w:t xml:space="preserve"> of</w:t>
      </w:r>
      <w:r w:rsidRPr="008A1DB4">
        <w:rPr>
          <w:spacing w:val="-2"/>
          <w:lang w:val="en-US"/>
        </w:rPr>
        <w:t xml:space="preserve">fered arguments, evidence or grounds from which it can be inferred that this general situation creates a personal, individual and specific risk for </w:t>
      </w:r>
      <w:r w:rsidR="00B43F84" w:rsidRPr="008A1DB4">
        <w:rPr>
          <w:spacing w:val="-2"/>
          <w:lang w:val="en-US"/>
        </w:rPr>
        <w:t>Wong</w:t>
      </w:r>
      <w:r w:rsidR="007343FE" w:rsidRPr="008A1DB4">
        <w:rPr>
          <w:spacing w:val="-2"/>
          <w:lang w:val="en-US"/>
        </w:rPr>
        <w:t xml:space="preserve"> Ho Wing </w:t>
      </w:r>
      <w:r w:rsidRPr="008A1DB4">
        <w:rPr>
          <w:spacing w:val="-2"/>
          <w:lang w:val="en-US"/>
        </w:rPr>
        <w:t xml:space="preserve">based on his particular circumstances. </w:t>
      </w:r>
      <w:r w:rsidR="00C45946" w:rsidRPr="008A1DB4">
        <w:rPr>
          <w:spacing w:val="-2"/>
          <w:lang w:val="en-US"/>
        </w:rPr>
        <w:t>The representative</w:t>
      </w:r>
      <w:r w:rsidR="007343FE" w:rsidRPr="008A1DB4">
        <w:rPr>
          <w:spacing w:val="-2"/>
          <w:lang w:val="en-US"/>
        </w:rPr>
        <w:t xml:space="preserve"> r</w:t>
      </w:r>
      <w:r w:rsidRPr="008A1DB4">
        <w:rPr>
          <w:spacing w:val="-2"/>
          <w:lang w:val="en-US"/>
        </w:rPr>
        <w:t>eferred to information on the human rights</w:t>
      </w:r>
      <w:r w:rsidR="007343FE" w:rsidRPr="008A1DB4">
        <w:rPr>
          <w:spacing w:val="-2"/>
          <w:lang w:val="en-US"/>
        </w:rPr>
        <w:t xml:space="preserve"> </w:t>
      </w:r>
      <w:r w:rsidRPr="008A1DB4">
        <w:rPr>
          <w:spacing w:val="-2"/>
          <w:lang w:val="en-US"/>
        </w:rPr>
        <w:t xml:space="preserve">situation of individuals accused of terrorism, human rights defenders, those accused of political offenses, and the members of the Uyghur ethnic group, </w:t>
      </w:r>
      <w:r w:rsidR="00A7171B">
        <w:rPr>
          <w:spacing w:val="-2"/>
          <w:lang w:val="en-US"/>
        </w:rPr>
        <w:t>and this</w:t>
      </w:r>
      <w:r w:rsidRPr="008A1DB4">
        <w:rPr>
          <w:spacing w:val="-2"/>
          <w:lang w:val="en-US"/>
        </w:rPr>
        <w:t xml:space="preserve"> bears no relationship to the case </w:t>
      </w:r>
      <w:r w:rsidR="00B43F84" w:rsidRPr="008A1DB4">
        <w:rPr>
          <w:spacing w:val="-2"/>
          <w:lang w:val="en-US"/>
        </w:rPr>
        <w:t>of Wong</w:t>
      </w:r>
      <w:r w:rsidR="007343FE" w:rsidRPr="008A1DB4">
        <w:rPr>
          <w:spacing w:val="-2"/>
          <w:lang w:val="en-US"/>
        </w:rPr>
        <w:t xml:space="preserve"> Ho Wing. </w:t>
      </w:r>
      <w:bookmarkEnd w:id="749"/>
    </w:p>
    <w:p w14:paraId="51C64A5F" w14:textId="77777777" w:rsidR="007343FE" w:rsidRPr="008A1DB4" w:rsidRDefault="007343FE" w:rsidP="00956E97">
      <w:pPr>
        <w:pStyle w:val="PrrafodeSentencia"/>
        <w:numPr>
          <w:ilvl w:val="0"/>
          <w:numId w:val="0"/>
        </w:numPr>
        <w:rPr>
          <w:spacing w:val="-2"/>
          <w:lang w:val="en-US"/>
        </w:rPr>
      </w:pPr>
    </w:p>
    <w:p w14:paraId="3F2006E3" w14:textId="32F5AF56" w:rsidR="007343FE" w:rsidRPr="008A1DB4" w:rsidRDefault="00030FA9" w:rsidP="00956E97">
      <w:pPr>
        <w:pStyle w:val="PrrafodeSentencia"/>
        <w:rPr>
          <w:spacing w:val="-2"/>
          <w:lang w:val="en-US"/>
        </w:rPr>
      </w:pPr>
      <w:r w:rsidRPr="008A1DB4">
        <w:rPr>
          <w:spacing w:val="-2"/>
          <w:lang w:val="en-US"/>
        </w:rPr>
        <w:t>In addition, and in view of the fact that diplomatic assurances were given in this case, the Court finds that any remaining concerns about the alleged risk of</w:t>
      </w:r>
      <w:r w:rsidR="00B43F84" w:rsidRPr="008A1DB4">
        <w:rPr>
          <w:spacing w:val="-2"/>
          <w:lang w:val="en-US"/>
        </w:rPr>
        <w:t xml:space="preserve"> Wong</w:t>
      </w:r>
      <w:r w:rsidR="007343FE" w:rsidRPr="008A1DB4">
        <w:rPr>
          <w:spacing w:val="-2"/>
          <w:lang w:val="en-US"/>
        </w:rPr>
        <w:t xml:space="preserve"> Ho Wing </w:t>
      </w:r>
      <w:r w:rsidRPr="008A1DB4">
        <w:rPr>
          <w:spacing w:val="-2"/>
          <w:lang w:val="en-US"/>
        </w:rPr>
        <w:t xml:space="preserve">suffering treatment contrary to </w:t>
      </w:r>
      <w:r w:rsidR="00F36400" w:rsidRPr="008A1DB4">
        <w:rPr>
          <w:spacing w:val="-2"/>
          <w:lang w:val="en-US"/>
        </w:rPr>
        <w:t>Article</w:t>
      </w:r>
      <w:r w:rsidR="007343FE" w:rsidRPr="008A1DB4">
        <w:rPr>
          <w:spacing w:val="-2"/>
          <w:lang w:val="en-US"/>
        </w:rPr>
        <w:t xml:space="preserve"> 5</w:t>
      </w:r>
      <w:r w:rsidR="00F36400" w:rsidRPr="008A1DB4">
        <w:rPr>
          <w:spacing w:val="-2"/>
          <w:lang w:val="en-US"/>
        </w:rPr>
        <w:t xml:space="preserve"> of the American Convention</w:t>
      </w:r>
      <w:r w:rsidR="007343FE" w:rsidRPr="008A1DB4">
        <w:rPr>
          <w:spacing w:val="-2"/>
          <w:lang w:val="en-US"/>
        </w:rPr>
        <w:t xml:space="preserve">, </w:t>
      </w:r>
      <w:r w:rsidRPr="008A1DB4">
        <w:rPr>
          <w:spacing w:val="-2"/>
          <w:lang w:val="en-US"/>
        </w:rPr>
        <w:t>should be satisfied by the last diplomatic assurance given by China i</w:t>
      </w:r>
      <w:r w:rsidR="007343FE" w:rsidRPr="008A1DB4">
        <w:rPr>
          <w:spacing w:val="-2"/>
          <w:lang w:val="en-US"/>
        </w:rPr>
        <w:t xml:space="preserve">n 2014, </w:t>
      </w:r>
      <w:r w:rsidRPr="008A1DB4">
        <w:rPr>
          <w:spacing w:val="-2"/>
          <w:lang w:val="en-US"/>
        </w:rPr>
        <w:t>which will be examined below</w:t>
      </w:r>
      <w:r w:rsidR="007343FE" w:rsidRPr="008A1DB4">
        <w:rPr>
          <w:spacing w:val="-2"/>
          <w:lang w:val="en-US"/>
        </w:rPr>
        <w:t xml:space="preserve">. </w:t>
      </w:r>
    </w:p>
    <w:p w14:paraId="4AB50D47" w14:textId="77777777" w:rsidR="00AD71D7" w:rsidRPr="008A1DB4" w:rsidRDefault="00AD71D7" w:rsidP="00956E97">
      <w:pPr>
        <w:pStyle w:val="PrrafodeSentencia"/>
        <w:numPr>
          <w:ilvl w:val="0"/>
          <w:numId w:val="0"/>
        </w:numPr>
        <w:rPr>
          <w:spacing w:val="-2"/>
          <w:lang w:val="en-US"/>
        </w:rPr>
      </w:pPr>
    </w:p>
    <w:p w14:paraId="1ECB3C54" w14:textId="26100FFB" w:rsidR="00B16E52" w:rsidRPr="008A1DB4" w:rsidRDefault="00030FA9" w:rsidP="00956E97">
      <w:pPr>
        <w:pStyle w:val="Heading4"/>
        <w:rPr>
          <w:spacing w:val="-2"/>
          <w:lang w:val="en-US"/>
        </w:rPr>
      </w:pPr>
      <w:bookmarkStart w:id="750" w:name="_Toc429503786"/>
      <w:bookmarkStart w:id="751" w:name="_Toc429504292"/>
      <w:bookmarkStart w:id="752" w:name="_Toc429678005"/>
      <w:bookmarkStart w:id="753" w:name="_Toc430017168"/>
      <w:bookmarkStart w:id="754" w:name="_Toc430017397"/>
      <w:bookmarkStart w:id="755" w:name="_Toc430018679"/>
      <w:bookmarkStart w:id="756" w:name="_Toc430125277"/>
      <w:bookmarkStart w:id="757" w:name="_Toc430125385"/>
      <w:r w:rsidRPr="008A1DB4">
        <w:rPr>
          <w:spacing w:val="-2"/>
          <w:lang w:val="en-US"/>
        </w:rPr>
        <w:t xml:space="preserve">ii) Diplomatic notes and assurances provided by </w:t>
      </w:r>
      <w:r w:rsidR="00FE5E87" w:rsidRPr="008A1DB4">
        <w:rPr>
          <w:spacing w:val="-2"/>
          <w:lang w:val="en-US"/>
        </w:rPr>
        <w:t>the People’s Republic of China</w:t>
      </w:r>
      <w:bookmarkEnd w:id="750"/>
      <w:bookmarkEnd w:id="751"/>
      <w:bookmarkEnd w:id="752"/>
      <w:bookmarkEnd w:id="753"/>
      <w:bookmarkEnd w:id="754"/>
      <w:bookmarkEnd w:id="755"/>
      <w:bookmarkEnd w:id="756"/>
      <w:bookmarkEnd w:id="757"/>
      <w:r w:rsidR="00B16E52" w:rsidRPr="008A1DB4">
        <w:rPr>
          <w:spacing w:val="-2"/>
          <w:lang w:val="en-US"/>
        </w:rPr>
        <w:t xml:space="preserve"> </w:t>
      </w:r>
    </w:p>
    <w:p w14:paraId="75D62CB1" w14:textId="77777777" w:rsidR="00B16E52" w:rsidRPr="008A1DB4" w:rsidRDefault="00B16E52" w:rsidP="00956E97">
      <w:pPr>
        <w:rPr>
          <w:spacing w:val="-2"/>
          <w:lang w:val="en-US"/>
        </w:rPr>
      </w:pPr>
    </w:p>
    <w:p w14:paraId="347D7BC3" w14:textId="16DF5B02" w:rsidR="00B16E52" w:rsidRPr="008A1DB4" w:rsidRDefault="00030FA9" w:rsidP="00030FA9">
      <w:pPr>
        <w:pStyle w:val="PrrafodeSentencia"/>
        <w:rPr>
          <w:spacing w:val="-2"/>
          <w:lang w:val="en-US"/>
        </w:rPr>
      </w:pPr>
      <w:bookmarkStart w:id="758" w:name="_Ref418901861"/>
      <w:r w:rsidRPr="008A1DB4">
        <w:rPr>
          <w:spacing w:val="-2"/>
          <w:lang w:val="en-US"/>
        </w:rPr>
        <w:t>D</w:t>
      </w:r>
      <w:r w:rsidR="00945E57" w:rsidRPr="008A1DB4">
        <w:rPr>
          <w:spacing w:val="-2"/>
          <w:lang w:val="en-US"/>
        </w:rPr>
        <w:t>iplomatic assurances</w:t>
      </w:r>
      <w:r w:rsidRPr="008A1DB4">
        <w:rPr>
          <w:spacing w:val="-2"/>
          <w:lang w:val="en-US"/>
        </w:rPr>
        <w:t xml:space="preserve"> constitute a common practice among States</w:t>
      </w:r>
      <w:r w:rsidR="00B16E52" w:rsidRPr="008A1DB4">
        <w:rPr>
          <w:spacing w:val="-2"/>
          <w:lang w:val="en-US"/>
        </w:rPr>
        <w:t xml:space="preserve"> </w:t>
      </w:r>
      <w:r w:rsidR="00775124" w:rsidRPr="008A1DB4">
        <w:rPr>
          <w:spacing w:val="-2"/>
          <w:lang w:val="en-US"/>
        </w:rPr>
        <w:t>in the context of extradition processes</w:t>
      </w:r>
      <w:r w:rsidR="0042514E" w:rsidRPr="008A1DB4">
        <w:rPr>
          <w:spacing w:val="-2"/>
          <w:lang w:val="en-US"/>
        </w:rPr>
        <w:t xml:space="preserve"> </w:t>
      </w:r>
      <w:r w:rsidRPr="008A1DB4">
        <w:rPr>
          <w:spacing w:val="-2"/>
          <w:lang w:val="en-US"/>
        </w:rPr>
        <w:t xml:space="preserve">and it is usually presumed that they are given in good faith. Such diplomatic undertakings consist in promises or guarantees given by the requesting State to the requested State that the individual whose extradition is requested will </w:t>
      </w:r>
      <w:proofErr w:type="gramStart"/>
      <w:r w:rsidRPr="008A1DB4">
        <w:rPr>
          <w:spacing w:val="-2"/>
          <w:lang w:val="en-US"/>
        </w:rPr>
        <w:t>received</w:t>
      </w:r>
      <w:proofErr w:type="gramEnd"/>
      <w:r w:rsidRPr="008A1DB4">
        <w:rPr>
          <w:spacing w:val="-2"/>
          <w:lang w:val="en-US"/>
        </w:rPr>
        <w:t xml:space="preserve"> treatment or punish</w:t>
      </w:r>
      <w:r w:rsidR="00A7171B">
        <w:rPr>
          <w:spacing w:val="-2"/>
          <w:lang w:val="en-US"/>
        </w:rPr>
        <w:t>ment</w:t>
      </w:r>
      <w:r w:rsidRPr="008A1DB4">
        <w:rPr>
          <w:spacing w:val="-2"/>
          <w:lang w:val="en-US"/>
        </w:rPr>
        <w:t xml:space="preserve"> in keeping with the international human rights obligations </w:t>
      </w:r>
      <w:r w:rsidR="00C45946" w:rsidRPr="008A1DB4">
        <w:rPr>
          <w:spacing w:val="-2"/>
          <w:lang w:val="en-US"/>
        </w:rPr>
        <w:t xml:space="preserve">of </w:t>
      </w:r>
      <w:r w:rsidR="00653211" w:rsidRPr="008A1DB4">
        <w:rPr>
          <w:spacing w:val="-2"/>
          <w:lang w:val="en-US"/>
        </w:rPr>
        <w:t>the requested State</w:t>
      </w:r>
      <w:r w:rsidRPr="008A1DB4">
        <w:rPr>
          <w:spacing w:val="-2"/>
          <w:lang w:val="en-US"/>
        </w:rPr>
        <w:t>.</w:t>
      </w:r>
      <w:r w:rsidR="00B16E52" w:rsidRPr="008A1DB4">
        <w:rPr>
          <w:rStyle w:val="FootnoteReference"/>
          <w:spacing w:val="-2"/>
          <w:lang w:val="en-US"/>
        </w:rPr>
        <w:footnoteReference w:id="236"/>
      </w:r>
      <w:r w:rsidRPr="008A1DB4">
        <w:rPr>
          <w:spacing w:val="-2"/>
          <w:lang w:val="en-US"/>
        </w:rPr>
        <w:t xml:space="preserve"> When examining cases of return, deportation, extradition or any </w:t>
      </w:r>
      <w:r w:rsidR="00947926" w:rsidRPr="008A1DB4">
        <w:rPr>
          <w:spacing w:val="-2"/>
          <w:lang w:val="en-US"/>
        </w:rPr>
        <w:t>form</w:t>
      </w:r>
      <w:r w:rsidRPr="008A1DB4">
        <w:rPr>
          <w:spacing w:val="-2"/>
          <w:lang w:val="en-US"/>
        </w:rPr>
        <w:t xml:space="preserve"> of expulsion of individuals from the jurisdiction of a State Party, </w:t>
      </w:r>
      <w:r w:rsidR="00F36400" w:rsidRPr="008A1DB4">
        <w:rPr>
          <w:spacing w:val="-2"/>
          <w:lang w:val="en-US"/>
        </w:rPr>
        <w:t xml:space="preserve">the </w:t>
      </w:r>
      <w:r w:rsidR="00631F9C" w:rsidRPr="008A1DB4">
        <w:rPr>
          <w:spacing w:val="-2"/>
          <w:lang w:val="en-US"/>
        </w:rPr>
        <w:t>European Court</w:t>
      </w:r>
      <w:r w:rsidR="00B16E52" w:rsidRPr="008A1DB4">
        <w:rPr>
          <w:spacing w:val="-2"/>
          <w:lang w:val="en-US"/>
        </w:rPr>
        <w:t xml:space="preserve">, </w:t>
      </w:r>
      <w:r w:rsidRPr="008A1DB4">
        <w:rPr>
          <w:spacing w:val="-2"/>
          <w:lang w:val="en-US"/>
        </w:rPr>
        <w:t>and also</w:t>
      </w:r>
      <w:r w:rsidR="00B16E52" w:rsidRPr="008A1DB4">
        <w:rPr>
          <w:spacing w:val="-2"/>
          <w:lang w:val="en-US"/>
        </w:rPr>
        <w:t xml:space="preserve"> </w:t>
      </w:r>
      <w:r w:rsidR="00922262" w:rsidRPr="008A1DB4">
        <w:rPr>
          <w:spacing w:val="-2"/>
          <w:lang w:val="en-US"/>
        </w:rPr>
        <w:t>the Human Rights Committee</w:t>
      </w:r>
      <w:r w:rsidR="00A7171B">
        <w:rPr>
          <w:spacing w:val="-2"/>
          <w:lang w:val="en-US"/>
        </w:rPr>
        <w:t>,</w:t>
      </w:r>
      <w:r w:rsidRPr="008A1DB4">
        <w:rPr>
          <w:spacing w:val="-2"/>
          <w:lang w:val="en-US"/>
        </w:rPr>
        <w:t xml:space="preserve"> have granted relative value to the d</w:t>
      </w:r>
      <w:r w:rsidR="00945E57" w:rsidRPr="008A1DB4">
        <w:rPr>
          <w:spacing w:val="-2"/>
          <w:lang w:val="en-US"/>
        </w:rPr>
        <w:t xml:space="preserve">iplomatic </w:t>
      </w:r>
      <w:r w:rsidRPr="008A1DB4">
        <w:rPr>
          <w:spacing w:val="-2"/>
          <w:lang w:val="en-US"/>
        </w:rPr>
        <w:t>assurances provided by the States.</w:t>
      </w:r>
      <w:r w:rsidR="00B16E52" w:rsidRPr="008A1DB4">
        <w:rPr>
          <w:rStyle w:val="FootnoteReference"/>
          <w:spacing w:val="-2"/>
          <w:lang w:val="en-US"/>
        </w:rPr>
        <w:footnoteReference w:id="237"/>
      </w:r>
      <w:r w:rsidRPr="008A1DB4">
        <w:rPr>
          <w:spacing w:val="-2"/>
          <w:lang w:val="en-US"/>
        </w:rPr>
        <w:t xml:space="preserve"> Moreover, when examining the relevance </w:t>
      </w:r>
      <w:r w:rsidR="00BB44A4" w:rsidRPr="008A1DB4">
        <w:rPr>
          <w:spacing w:val="-2"/>
          <w:lang w:val="en-US"/>
        </w:rPr>
        <w:t xml:space="preserve">of the </w:t>
      </w:r>
      <w:r w:rsidR="00945E57" w:rsidRPr="008A1DB4">
        <w:rPr>
          <w:spacing w:val="-2"/>
          <w:lang w:val="en-US"/>
        </w:rPr>
        <w:t>diplomatic assurances</w:t>
      </w:r>
      <w:r w:rsidR="00B16E52" w:rsidRPr="008A1DB4">
        <w:rPr>
          <w:spacing w:val="-2"/>
          <w:lang w:val="en-US"/>
        </w:rPr>
        <w:t xml:space="preserve"> </w:t>
      </w:r>
      <w:r w:rsidR="00947926">
        <w:rPr>
          <w:spacing w:val="-2"/>
          <w:lang w:val="en-US"/>
        </w:rPr>
        <w:t>it is</w:t>
      </w:r>
      <w:r w:rsidR="00B16E52" w:rsidRPr="008A1DB4">
        <w:rPr>
          <w:spacing w:val="-2"/>
          <w:lang w:val="en-US"/>
        </w:rPr>
        <w:t xml:space="preserve"> important</w:t>
      </w:r>
      <w:r w:rsidRPr="008A1DB4">
        <w:rPr>
          <w:spacing w:val="-2"/>
          <w:lang w:val="en-US"/>
        </w:rPr>
        <w:t xml:space="preserve"> to bear in mind</w:t>
      </w:r>
      <w:r w:rsidR="00B16E52" w:rsidRPr="008A1DB4">
        <w:rPr>
          <w:spacing w:val="-2"/>
          <w:lang w:val="en-US"/>
        </w:rPr>
        <w:t>:</w:t>
      </w:r>
      <w:bookmarkEnd w:id="758"/>
    </w:p>
    <w:p w14:paraId="4D01AC40" w14:textId="77777777" w:rsidR="00B16E52" w:rsidRPr="008A1DB4" w:rsidRDefault="00B16E52" w:rsidP="00956E97">
      <w:pPr>
        <w:pStyle w:val="ListParagraph"/>
        <w:tabs>
          <w:tab w:val="left" w:pos="567"/>
        </w:tabs>
        <w:ind w:left="0"/>
        <w:rPr>
          <w:spacing w:val="-2"/>
          <w:lang w:val="en-US"/>
        </w:rPr>
      </w:pPr>
    </w:p>
    <w:p w14:paraId="5439E6DE" w14:textId="276A8276" w:rsidR="00B16E52" w:rsidRPr="008A1DB4" w:rsidRDefault="00030FA9" w:rsidP="00030FA9">
      <w:pPr>
        <w:pStyle w:val="s30eec3f8"/>
        <w:tabs>
          <w:tab w:val="left" w:pos="567"/>
        </w:tabs>
        <w:spacing w:before="0" w:beforeAutospacing="0" w:after="0" w:afterAutospacing="0"/>
        <w:ind w:left="567" w:right="284"/>
        <w:jc w:val="both"/>
        <w:rPr>
          <w:rFonts w:ascii="Verdana" w:hAnsi="Verdana" w:cs="Arial"/>
          <w:b w:val="0"/>
          <w:color w:val="000000"/>
          <w:spacing w:val="-4"/>
          <w:sz w:val="18"/>
          <w:szCs w:val="18"/>
          <w:shd w:val="clear" w:color="auto" w:fill="FFFFFF"/>
        </w:rPr>
      </w:pPr>
      <w:r w:rsidRPr="008A1DB4">
        <w:rPr>
          <w:rStyle w:val="sf8bfa2bc"/>
          <w:rFonts w:ascii="Verdana" w:hAnsi="Verdana" w:cs="Arial"/>
          <w:b w:val="0"/>
          <w:color w:val="000000"/>
          <w:spacing w:val="-4"/>
          <w:sz w:val="18"/>
          <w:szCs w:val="18"/>
          <w:shd w:val="clear" w:color="auto" w:fill="FFFFFF"/>
        </w:rPr>
        <w:t>In a case where assurances have been provided by the receiving State, those assurances constitute a further relevant factor which the Court will consider. However, assurances are not in themselves sufficient to ensure adequate protection against the risk of ill-treatment. There is an obligation to examine whether assurances provide, in their practical application, a sufficient guarantee that the applicant will be protected against the risk of ill</w:t>
      </w:r>
      <w:r w:rsidRPr="008A1DB4">
        <w:rPr>
          <w:rStyle w:val="sf8bfa2bc"/>
          <w:rFonts w:ascii="Verdana" w:hAnsi="Verdana" w:cs="Arial"/>
          <w:b w:val="0"/>
          <w:color w:val="000000"/>
          <w:spacing w:val="-4"/>
          <w:sz w:val="18"/>
          <w:szCs w:val="18"/>
          <w:shd w:val="clear" w:color="auto" w:fill="FFFFFF"/>
        </w:rPr>
        <w:noBreakHyphen/>
        <w:t>treatment. The weight to be given to assurances from the receiving State depends, in each case, on the circumstances prevailing at the material time.</w:t>
      </w:r>
      <w:r w:rsidR="00B16E52" w:rsidRPr="008A1DB4">
        <w:rPr>
          <w:rStyle w:val="FootnoteReference"/>
          <w:rFonts w:ascii="Verdana" w:hAnsi="Verdana"/>
          <w:b w:val="0"/>
          <w:color w:val="000000"/>
          <w:spacing w:val="-2"/>
          <w:sz w:val="18"/>
          <w:szCs w:val="18"/>
        </w:rPr>
        <w:footnoteReference w:id="238"/>
      </w:r>
      <w:r w:rsidR="00B16E52" w:rsidRPr="008A1DB4">
        <w:rPr>
          <w:rStyle w:val="sf8bfa2bc"/>
          <w:rFonts w:ascii="Verdana" w:hAnsi="Verdana"/>
          <w:b w:val="0"/>
          <w:color w:val="000000"/>
          <w:spacing w:val="-2"/>
          <w:sz w:val="18"/>
          <w:szCs w:val="18"/>
        </w:rPr>
        <w:t xml:space="preserve"> </w:t>
      </w:r>
    </w:p>
    <w:p w14:paraId="4C5AC7C3" w14:textId="77777777" w:rsidR="00B16E52" w:rsidRPr="008A1DB4" w:rsidRDefault="00B16E52" w:rsidP="00956E97">
      <w:pPr>
        <w:pStyle w:val="ListParagraph"/>
        <w:tabs>
          <w:tab w:val="left" w:pos="284"/>
          <w:tab w:val="left" w:pos="567"/>
        </w:tabs>
        <w:ind w:left="0"/>
        <w:rPr>
          <w:spacing w:val="-2"/>
          <w:lang w:val="en-US"/>
        </w:rPr>
      </w:pPr>
    </w:p>
    <w:p w14:paraId="51AE5A02" w14:textId="6415D4FF" w:rsidR="00B16E52" w:rsidRPr="008A1DB4" w:rsidRDefault="00030FA9" w:rsidP="00956E97">
      <w:pPr>
        <w:pStyle w:val="PrrafodeSentencia"/>
        <w:rPr>
          <w:spacing w:val="-2"/>
          <w:lang w:val="en-US"/>
        </w:rPr>
      </w:pPr>
      <w:r w:rsidRPr="008A1DB4">
        <w:rPr>
          <w:spacing w:val="-2"/>
          <w:lang w:val="en-US"/>
        </w:rPr>
        <w:t xml:space="preserve">Both </w:t>
      </w:r>
      <w:r w:rsidR="00127339" w:rsidRPr="008A1DB4">
        <w:rPr>
          <w:spacing w:val="-2"/>
          <w:lang w:val="en-US"/>
        </w:rPr>
        <w:t xml:space="preserve">expert </w:t>
      </w:r>
      <w:r w:rsidR="00947926" w:rsidRPr="008A1DB4">
        <w:rPr>
          <w:spacing w:val="-2"/>
          <w:lang w:val="en-US"/>
        </w:rPr>
        <w:t>witnesses</w:t>
      </w:r>
      <w:r w:rsidR="00B16E52" w:rsidRPr="008A1DB4">
        <w:rPr>
          <w:spacing w:val="-2"/>
          <w:lang w:val="en-US"/>
        </w:rPr>
        <w:t xml:space="preserve"> </w:t>
      </w:r>
      <w:r w:rsidRPr="008A1DB4">
        <w:rPr>
          <w:spacing w:val="-2"/>
          <w:lang w:val="en-US"/>
        </w:rPr>
        <w:t xml:space="preserve">who testified on the use of diplomatic assurances, offered by the Commission and the State, agreed that </w:t>
      </w:r>
      <w:r w:rsidR="00945E57" w:rsidRPr="008A1DB4">
        <w:rPr>
          <w:spacing w:val="-2"/>
          <w:lang w:val="en-US"/>
        </w:rPr>
        <w:t>diplomatic assurances</w:t>
      </w:r>
      <w:r w:rsidR="00B16E52" w:rsidRPr="008A1DB4">
        <w:rPr>
          <w:spacing w:val="-2"/>
          <w:lang w:val="en-US"/>
        </w:rPr>
        <w:t xml:space="preserve"> </w:t>
      </w:r>
      <w:r w:rsidRPr="008A1DB4">
        <w:rPr>
          <w:spacing w:val="-2"/>
          <w:lang w:val="en-US"/>
        </w:rPr>
        <w:t xml:space="preserve">are an additional </w:t>
      </w:r>
      <w:r w:rsidR="00A7171B">
        <w:rPr>
          <w:spacing w:val="-2"/>
          <w:lang w:val="en-US"/>
        </w:rPr>
        <w:t>factor</w:t>
      </w:r>
      <w:r w:rsidRPr="008A1DB4">
        <w:rPr>
          <w:spacing w:val="-2"/>
          <w:lang w:val="en-US"/>
        </w:rPr>
        <w:t xml:space="preserve"> that may be analyzed when there is a possible risk of violation of human rights</w:t>
      </w:r>
      <w:r w:rsidR="00B16E52" w:rsidRPr="008A1DB4">
        <w:rPr>
          <w:spacing w:val="-2"/>
          <w:lang w:val="en-US"/>
        </w:rPr>
        <w:t xml:space="preserve"> </w:t>
      </w:r>
      <w:r w:rsidRPr="008A1DB4">
        <w:rPr>
          <w:spacing w:val="-2"/>
          <w:lang w:val="en-US"/>
        </w:rPr>
        <w:t>in the context of the extradition of a person, so that they must be assessed and considered with prudence, taking into account all the circumstances of the case, on a case-by-case basis.</w:t>
      </w:r>
      <w:r w:rsidR="00B16E52" w:rsidRPr="008A1DB4">
        <w:rPr>
          <w:rStyle w:val="FootnoteReference"/>
          <w:spacing w:val="-2"/>
          <w:lang w:val="en-US"/>
        </w:rPr>
        <w:footnoteReference w:id="239"/>
      </w:r>
      <w:r w:rsidR="00B16E52" w:rsidRPr="008A1DB4">
        <w:rPr>
          <w:spacing w:val="-2"/>
          <w:lang w:val="en-US"/>
        </w:rPr>
        <w:t xml:space="preserve"> </w:t>
      </w:r>
    </w:p>
    <w:p w14:paraId="28BFD439" w14:textId="77777777" w:rsidR="00B16E52" w:rsidRPr="008A1DB4" w:rsidRDefault="00B16E52" w:rsidP="00956E97">
      <w:pPr>
        <w:pStyle w:val="ListParagraph"/>
        <w:tabs>
          <w:tab w:val="left" w:pos="284"/>
          <w:tab w:val="left" w:pos="567"/>
        </w:tabs>
        <w:ind w:left="0"/>
        <w:rPr>
          <w:spacing w:val="-2"/>
          <w:lang w:val="en-US"/>
        </w:rPr>
      </w:pPr>
    </w:p>
    <w:p w14:paraId="623D4BD9" w14:textId="277CE6F5" w:rsidR="00B16E52" w:rsidRPr="008A1DB4" w:rsidRDefault="00030FA9" w:rsidP="00956E97">
      <w:pPr>
        <w:pStyle w:val="PrrafodeSentencia"/>
        <w:rPr>
          <w:spacing w:val="-2"/>
          <w:lang w:val="en-US"/>
        </w:rPr>
      </w:pPr>
      <w:bookmarkStart w:id="759" w:name="_Ref418877806"/>
      <w:r w:rsidRPr="008A1DB4">
        <w:rPr>
          <w:spacing w:val="-2"/>
          <w:lang w:val="en-US"/>
        </w:rPr>
        <w:t xml:space="preserve">Following the </w:t>
      </w:r>
      <w:r w:rsidR="00947926" w:rsidRPr="008A1DB4">
        <w:rPr>
          <w:spacing w:val="-2"/>
          <w:lang w:val="en-US"/>
        </w:rPr>
        <w:t>case</w:t>
      </w:r>
      <w:r w:rsidRPr="008A1DB4">
        <w:rPr>
          <w:spacing w:val="-2"/>
          <w:lang w:val="en-US"/>
        </w:rPr>
        <w:t xml:space="preserve"> law </w:t>
      </w:r>
      <w:r w:rsidR="00C45946" w:rsidRPr="008A1DB4">
        <w:rPr>
          <w:spacing w:val="-2"/>
          <w:lang w:val="en-US"/>
        </w:rPr>
        <w:t xml:space="preserve">of the </w:t>
      </w:r>
      <w:r w:rsidR="00631F9C" w:rsidRPr="008A1DB4">
        <w:rPr>
          <w:spacing w:val="-2"/>
          <w:lang w:val="en-US"/>
        </w:rPr>
        <w:t>European Court</w:t>
      </w:r>
      <w:r w:rsidR="00B16E52" w:rsidRPr="008A1DB4">
        <w:rPr>
          <w:spacing w:val="-2"/>
          <w:lang w:val="en-US"/>
        </w:rPr>
        <w:t xml:space="preserve">, </w:t>
      </w:r>
      <w:r w:rsidR="00F36400" w:rsidRPr="008A1DB4">
        <w:rPr>
          <w:spacing w:val="-2"/>
          <w:lang w:val="en-US"/>
        </w:rPr>
        <w:t>the Court</w:t>
      </w:r>
      <w:r w:rsidR="00B16E52" w:rsidRPr="008A1DB4">
        <w:rPr>
          <w:spacing w:val="-2"/>
          <w:lang w:val="en-US"/>
        </w:rPr>
        <w:t xml:space="preserve"> consider</w:t>
      </w:r>
      <w:r w:rsidRPr="008A1DB4">
        <w:rPr>
          <w:spacing w:val="-2"/>
          <w:lang w:val="en-US"/>
        </w:rPr>
        <w:t xml:space="preserve">s that, when </w:t>
      </w:r>
      <w:r w:rsidR="00A7171B">
        <w:rPr>
          <w:spacing w:val="-2"/>
          <w:lang w:val="en-US"/>
        </w:rPr>
        <w:t>assessing</w:t>
      </w:r>
      <w:r w:rsidRPr="008A1DB4">
        <w:rPr>
          <w:spacing w:val="-2"/>
          <w:lang w:val="en-US"/>
        </w:rPr>
        <w:t xml:space="preserve"> </w:t>
      </w:r>
      <w:r w:rsidR="00945E57" w:rsidRPr="008A1DB4">
        <w:rPr>
          <w:spacing w:val="-2"/>
          <w:lang w:val="en-US"/>
        </w:rPr>
        <w:t>diplomatic assurances</w:t>
      </w:r>
      <w:r w:rsidRPr="008A1DB4">
        <w:rPr>
          <w:spacing w:val="-2"/>
          <w:lang w:val="en-US"/>
        </w:rPr>
        <w:t xml:space="preserve">, the quality of the assurances and their reliability must be </w:t>
      </w:r>
      <w:r w:rsidR="00A7171B">
        <w:rPr>
          <w:spacing w:val="-2"/>
          <w:lang w:val="en-US"/>
        </w:rPr>
        <w:t>analyz</w:t>
      </w:r>
      <w:r w:rsidRPr="008A1DB4">
        <w:rPr>
          <w:spacing w:val="-2"/>
          <w:lang w:val="en-US"/>
        </w:rPr>
        <w:t>ed.</w:t>
      </w:r>
      <w:r w:rsidR="00B16E52" w:rsidRPr="008A1DB4">
        <w:rPr>
          <w:rStyle w:val="FootnoteReference"/>
          <w:spacing w:val="-2"/>
          <w:lang w:val="en-US"/>
        </w:rPr>
        <w:footnoteReference w:id="240"/>
      </w:r>
      <w:r w:rsidRPr="008A1DB4">
        <w:rPr>
          <w:spacing w:val="-2"/>
          <w:lang w:val="en-US"/>
        </w:rPr>
        <w:t xml:space="preserve"> In the case of </w:t>
      </w:r>
      <w:r w:rsidR="00B16E52" w:rsidRPr="008A1DB4">
        <w:rPr>
          <w:i/>
          <w:spacing w:val="-2"/>
          <w:lang w:val="en-US"/>
        </w:rPr>
        <w:t xml:space="preserve">Othman (Abu </w:t>
      </w:r>
      <w:proofErr w:type="spellStart"/>
      <w:r w:rsidR="00B16E52" w:rsidRPr="008A1DB4">
        <w:rPr>
          <w:i/>
          <w:spacing w:val="-2"/>
          <w:lang w:val="en-US"/>
        </w:rPr>
        <w:t>Qatada</w:t>
      </w:r>
      <w:proofErr w:type="spellEnd"/>
      <w:r w:rsidR="00B16E52" w:rsidRPr="008A1DB4">
        <w:rPr>
          <w:i/>
          <w:spacing w:val="-2"/>
          <w:lang w:val="en-US"/>
        </w:rPr>
        <w:t>) v</w:t>
      </w:r>
      <w:r w:rsidRPr="008A1DB4">
        <w:rPr>
          <w:i/>
          <w:spacing w:val="-2"/>
          <w:lang w:val="en-US"/>
        </w:rPr>
        <w:t>. The United Kingdom</w:t>
      </w:r>
      <w:r w:rsidR="00B16E52" w:rsidRPr="008A1DB4">
        <w:rPr>
          <w:rStyle w:val="FootnoteReference"/>
          <w:i/>
          <w:spacing w:val="-2"/>
          <w:lang w:val="en-US"/>
        </w:rPr>
        <w:footnoteReference w:id="241"/>
      </w:r>
      <w:r w:rsidR="00B16E52" w:rsidRPr="008A1DB4">
        <w:rPr>
          <w:spacing w:val="-2"/>
          <w:lang w:val="en-US"/>
        </w:rPr>
        <w:t xml:space="preserve"> </w:t>
      </w:r>
      <w:r w:rsidR="00F36400" w:rsidRPr="008A1DB4">
        <w:rPr>
          <w:spacing w:val="-2"/>
          <w:lang w:val="en-US"/>
        </w:rPr>
        <w:t xml:space="preserve">the </w:t>
      </w:r>
      <w:r w:rsidR="00631F9C" w:rsidRPr="008A1DB4">
        <w:rPr>
          <w:spacing w:val="-2"/>
          <w:lang w:val="en-US"/>
        </w:rPr>
        <w:t>European Court</w:t>
      </w:r>
      <w:r w:rsidR="00B16E52" w:rsidRPr="008A1DB4">
        <w:rPr>
          <w:spacing w:val="-2"/>
          <w:lang w:val="en-US"/>
        </w:rPr>
        <w:t xml:space="preserve"> s</w:t>
      </w:r>
      <w:r w:rsidRPr="008A1DB4">
        <w:rPr>
          <w:spacing w:val="-2"/>
          <w:lang w:val="en-US"/>
        </w:rPr>
        <w:t xml:space="preserve">ystematized some of the factors that are relevant when evaluating the quality and reliability </w:t>
      </w:r>
      <w:r w:rsidR="00BB44A4" w:rsidRPr="008A1DB4">
        <w:rPr>
          <w:spacing w:val="-2"/>
          <w:lang w:val="en-US"/>
        </w:rPr>
        <w:t xml:space="preserve">of the </w:t>
      </w:r>
      <w:r w:rsidR="00945E57" w:rsidRPr="008A1DB4">
        <w:rPr>
          <w:spacing w:val="-2"/>
          <w:lang w:val="en-US"/>
        </w:rPr>
        <w:t>diplomatic assurances</w:t>
      </w:r>
      <w:r w:rsidR="00B16E52" w:rsidRPr="008A1DB4">
        <w:rPr>
          <w:spacing w:val="-2"/>
          <w:lang w:val="en-US"/>
        </w:rPr>
        <w:t>:</w:t>
      </w:r>
      <w:bookmarkEnd w:id="759"/>
      <w:r w:rsidR="00B16E52" w:rsidRPr="008A1DB4">
        <w:rPr>
          <w:spacing w:val="-2"/>
          <w:lang w:val="en-US"/>
        </w:rPr>
        <w:t xml:space="preserve"> </w:t>
      </w:r>
    </w:p>
    <w:p w14:paraId="6493A610" w14:textId="77777777" w:rsidR="00B16E52" w:rsidRPr="008A1DB4" w:rsidRDefault="00B16E52" w:rsidP="00956E97">
      <w:pPr>
        <w:pStyle w:val="ListParagraph"/>
        <w:tabs>
          <w:tab w:val="left" w:pos="284"/>
          <w:tab w:val="left" w:pos="567"/>
        </w:tabs>
        <w:ind w:left="0"/>
        <w:rPr>
          <w:spacing w:val="-2"/>
          <w:lang w:val="en-US"/>
        </w:rPr>
      </w:pPr>
    </w:p>
    <w:p w14:paraId="0F5692AD" w14:textId="318F4AE1" w:rsidR="00B16E52" w:rsidRPr="008A1DB4" w:rsidRDefault="00947926" w:rsidP="00956E97">
      <w:pPr>
        <w:pStyle w:val="ListParagraph"/>
        <w:numPr>
          <w:ilvl w:val="0"/>
          <w:numId w:val="11"/>
        </w:numPr>
        <w:tabs>
          <w:tab w:val="left" w:pos="284"/>
          <w:tab w:val="left" w:pos="567"/>
        </w:tabs>
        <w:ind w:left="1418" w:right="503" w:hanging="567"/>
        <w:rPr>
          <w:i/>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the terms of the assurances have been disclosed to the Court.</w:t>
      </w:r>
      <w:r w:rsidR="00B16E52" w:rsidRPr="008A1DB4">
        <w:rPr>
          <w:spacing w:val="-2"/>
          <w:sz w:val="18"/>
          <w:szCs w:val="18"/>
          <w:vertAlign w:val="superscript"/>
          <w:lang w:val="en-US"/>
        </w:rPr>
        <w:footnoteReference w:id="242"/>
      </w:r>
    </w:p>
    <w:p w14:paraId="0745A8AE" w14:textId="4E85BD20" w:rsidR="00B16E52" w:rsidRPr="008A1DB4" w:rsidRDefault="00947926" w:rsidP="00956E97">
      <w:pPr>
        <w:pStyle w:val="ListParagraph"/>
        <w:numPr>
          <w:ilvl w:val="0"/>
          <w:numId w:val="11"/>
        </w:numPr>
        <w:tabs>
          <w:tab w:val="left" w:pos="284"/>
          <w:tab w:val="left" w:pos="567"/>
        </w:tabs>
        <w:ind w:left="1418" w:right="503" w:hanging="567"/>
        <w:rPr>
          <w:i/>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the assurances are specific or are general and vague.</w:t>
      </w:r>
      <w:r w:rsidR="00B16E52" w:rsidRPr="008A1DB4">
        <w:rPr>
          <w:spacing w:val="-2"/>
          <w:sz w:val="18"/>
          <w:szCs w:val="18"/>
          <w:vertAlign w:val="superscript"/>
          <w:lang w:val="en-US"/>
        </w:rPr>
        <w:footnoteReference w:id="243"/>
      </w:r>
    </w:p>
    <w:p w14:paraId="1664C6AC" w14:textId="7705AC16" w:rsidR="00B16E52" w:rsidRPr="008A1DB4" w:rsidRDefault="00947926" w:rsidP="00956E97">
      <w:pPr>
        <w:pStyle w:val="ListParagraph"/>
        <w:numPr>
          <w:ilvl w:val="0"/>
          <w:numId w:val="11"/>
        </w:numPr>
        <w:tabs>
          <w:tab w:val="left" w:pos="284"/>
          <w:tab w:val="left" w:pos="567"/>
        </w:tabs>
        <w:ind w:left="1418" w:right="503" w:hanging="567"/>
        <w:rPr>
          <w:i/>
          <w:spacing w:val="-2"/>
          <w:sz w:val="18"/>
          <w:szCs w:val="18"/>
          <w:lang w:val="en-US"/>
        </w:rPr>
      </w:pPr>
      <w:r w:rsidRPr="008A1DB4">
        <w:rPr>
          <w:rStyle w:val="sb8d990e2"/>
          <w:sz w:val="18"/>
          <w:szCs w:val="18"/>
          <w:lang w:val="en-US"/>
        </w:rPr>
        <w:t>Who</w:t>
      </w:r>
      <w:r w:rsidR="00A91BC7" w:rsidRPr="008A1DB4">
        <w:rPr>
          <w:rStyle w:val="sb8d990e2"/>
          <w:sz w:val="18"/>
          <w:szCs w:val="18"/>
          <w:lang w:val="en-US"/>
        </w:rPr>
        <w:t xml:space="preserve"> has given the assurances and whether that person can bind the receiving </w:t>
      </w:r>
      <w:proofErr w:type="gramStart"/>
      <w:r w:rsidR="00A91BC7" w:rsidRPr="008A1DB4">
        <w:rPr>
          <w:rStyle w:val="sb8d990e2"/>
          <w:sz w:val="18"/>
          <w:szCs w:val="18"/>
          <w:lang w:val="en-US"/>
        </w:rPr>
        <w:t>State.</w:t>
      </w:r>
      <w:proofErr w:type="gramEnd"/>
      <w:r w:rsidR="00B16E52" w:rsidRPr="008A1DB4">
        <w:rPr>
          <w:spacing w:val="-2"/>
          <w:sz w:val="18"/>
          <w:szCs w:val="18"/>
          <w:vertAlign w:val="superscript"/>
          <w:lang w:val="en-US"/>
        </w:rPr>
        <w:footnoteReference w:id="244"/>
      </w:r>
      <w:r w:rsidR="00B16E52" w:rsidRPr="008A1DB4">
        <w:rPr>
          <w:spacing w:val="-2"/>
          <w:sz w:val="18"/>
          <w:szCs w:val="18"/>
          <w:lang w:val="en-US"/>
        </w:rPr>
        <w:t xml:space="preserve"> </w:t>
      </w:r>
    </w:p>
    <w:p w14:paraId="33267573" w14:textId="52DA765C" w:rsidR="00B16E52" w:rsidRPr="008A1DB4" w:rsidRDefault="00947926" w:rsidP="00956E97">
      <w:pPr>
        <w:pStyle w:val="ListParagraph"/>
        <w:numPr>
          <w:ilvl w:val="0"/>
          <w:numId w:val="11"/>
        </w:numPr>
        <w:tabs>
          <w:tab w:val="left" w:pos="284"/>
          <w:tab w:val="left" w:pos="567"/>
        </w:tabs>
        <w:ind w:left="1418" w:right="503" w:hanging="567"/>
        <w:rPr>
          <w:i/>
          <w:spacing w:val="-2"/>
          <w:sz w:val="18"/>
          <w:szCs w:val="18"/>
          <w:lang w:val="en-US"/>
        </w:rPr>
      </w:pPr>
      <w:r w:rsidRPr="008A1DB4">
        <w:rPr>
          <w:rStyle w:val="sb8d990e2"/>
          <w:sz w:val="18"/>
          <w:szCs w:val="18"/>
          <w:lang w:val="en-US"/>
        </w:rPr>
        <w:t>If</w:t>
      </w:r>
      <w:r w:rsidR="00A91BC7" w:rsidRPr="008A1DB4">
        <w:rPr>
          <w:rStyle w:val="sb8d990e2"/>
          <w:sz w:val="18"/>
          <w:szCs w:val="18"/>
          <w:lang w:val="en-US"/>
        </w:rPr>
        <w:t xml:space="preserve"> the assurances have been issued by the central government of the receiving State, whether local authorities can be expected to abide by them.</w:t>
      </w:r>
      <w:r w:rsidR="00B16E52" w:rsidRPr="008A1DB4">
        <w:rPr>
          <w:spacing w:val="-2"/>
          <w:sz w:val="18"/>
          <w:szCs w:val="18"/>
          <w:vertAlign w:val="superscript"/>
          <w:lang w:val="en-US"/>
        </w:rPr>
        <w:footnoteReference w:id="245"/>
      </w:r>
    </w:p>
    <w:p w14:paraId="657482C2" w14:textId="47EB60E7" w:rsidR="00B16E52" w:rsidRPr="008A1DB4" w:rsidRDefault="00947926" w:rsidP="00956E97">
      <w:pPr>
        <w:pStyle w:val="ListParagraph"/>
        <w:numPr>
          <w:ilvl w:val="0"/>
          <w:numId w:val="11"/>
        </w:numPr>
        <w:tabs>
          <w:tab w:val="left" w:pos="284"/>
          <w:tab w:val="left" w:pos="567"/>
        </w:tabs>
        <w:ind w:left="1418" w:right="503" w:hanging="567"/>
        <w:rPr>
          <w:i/>
          <w:spacing w:val="-2"/>
          <w:sz w:val="18"/>
          <w:szCs w:val="18"/>
          <w:lang w:val="en-US"/>
        </w:rPr>
      </w:pPr>
      <w:r w:rsidRPr="008A1DB4">
        <w:rPr>
          <w:rStyle w:val="sb8d990e2"/>
          <w:sz w:val="18"/>
          <w:szCs w:val="18"/>
          <w:lang w:val="en-US"/>
        </w:rPr>
        <w:lastRenderedPageBreak/>
        <w:t>Whether</w:t>
      </w:r>
      <w:r w:rsidR="00A91BC7" w:rsidRPr="008A1DB4">
        <w:rPr>
          <w:rStyle w:val="sb8d990e2"/>
          <w:sz w:val="18"/>
          <w:szCs w:val="18"/>
          <w:lang w:val="en-US"/>
        </w:rPr>
        <w:t xml:space="preserve"> the assurances concerns treatment which is legal or illegal in the receiving State.</w:t>
      </w:r>
      <w:r w:rsidR="00B16E52" w:rsidRPr="008A1DB4">
        <w:rPr>
          <w:spacing w:val="-2"/>
          <w:sz w:val="18"/>
          <w:szCs w:val="18"/>
          <w:vertAlign w:val="superscript"/>
          <w:lang w:val="en-US"/>
        </w:rPr>
        <w:footnoteReference w:id="246"/>
      </w:r>
      <w:r w:rsidR="00B16E52" w:rsidRPr="008A1DB4">
        <w:rPr>
          <w:spacing w:val="-2"/>
          <w:sz w:val="18"/>
          <w:szCs w:val="18"/>
          <w:lang w:val="en-US"/>
        </w:rPr>
        <w:t xml:space="preserve"> </w:t>
      </w:r>
    </w:p>
    <w:p w14:paraId="41C93F58" w14:textId="621CFD8A" w:rsidR="00B16E52" w:rsidRPr="008A1DB4" w:rsidRDefault="00947926" w:rsidP="00956E97">
      <w:pPr>
        <w:pStyle w:val="ListParagraph"/>
        <w:numPr>
          <w:ilvl w:val="0"/>
          <w:numId w:val="11"/>
        </w:numPr>
        <w:tabs>
          <w:tab w:val="left" w:pos="284"/>
          <w:tab w:val="left" w:pos="567"/>
        </w:tabs>
        <w:ind w:left="1418" w:right="503" w:hanging="567"/>
        <w:rPr>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they have been given by a Contracting State.</w:t>
      </w:r>
      <w:r w:rsidR="00B16E52" w:rsidRPr="008A1DB4">
        <w:rPr>
          <w:spacing w:val="-2"/>
          <w:sz w:val="18"/>
          <w:szCs w:val="18"/>
          <w:vertAlign w:val="superscript"/>
          <w:lang w:val="en-US"/>
        </w:rPr>
        <w:footnoteReference w:id="247"/>
      </w:r>
    </w:p>
    <w:p w14:paraId="608FD7E7" w14:textId="244BE2BE" w:rsidR="00B16E52" w:rsidRPr="008A1DB4" w:rsidRDefault="00947926" w:rsidP="00956E97">
      <w:pPr>
        <w:pStyle w:val="ListParagraph"/>
        <w:numPr>
          <w:ilvl w:val="0"/>
          <w:numId w:val="11"/>
        </w:numPr>
        <w:tabs>
          <w:tab w:val="left" w:pos="284"/>
          <w:tab w:val="left" w:pos="567"/>
        </w:tabs>
        <w:ind w:left="1418" w:right="503" w:hanging="567"/>
        <w:rPr>
          <w:spacing w:val="-2"/>
          <w:sz w:val="18"/>
          <w:szCs w:val="18"/>
          <w:lang w:val="en-US"/>
        </w:rPr>
      </w:pPr>
      <w:r w:rsidRPr="008A1DB4">
        <w:rPr>
          <w:rStyle w:val="sb8d990e2"/>
          <w:sz w:val="18"/>
          <w:szCs w:val="18"/>
          <w:lang w:val="en-US"/>
        </w:rPr>
        <w:t>The</w:t>
      </w:r>
      <w:r w:rsidR="00A91BC7" w:rsidRPr="008A1DB4">
        <w:rPr>
          <w:rStyle w:val="sb8d990e2"/>
          <w:sz w:val="18"/>
          <w:szCs w:val="18"/>
          <w:lang w:val="en-US"/>
        </w:rPr>
        <w:t xml:space="preserve"> length and strength of bilateral relations between the sending and receiving States, including the receiving State’s record in abiding by similar assurances.</w:t>
      </w:r>
      <w:r w:rsidR="00B16E52" w:rsidRPr="008A1DB4">
        <w:rPr>
          <w:spacing w:val="-2"/>
          <w:sz w:val="18"/>
          <w:szCs w:val="18"/>
          <w:vertAlign w:val="superscript"/>
          <w:lang w:val="en-US"/>
        </w:rPr>
        <w:footnoteReference w:id="248"/>
      </w:r>
    </w:p>
    <w:p w14:paraId="095A96F5" w14:textId="3A394098" w:rsidR="00B16E52" w:rsidRPr="008A1DB4" w:rsidRDefault="00947926" w:rsidP="00956E97">
      <w:pPr>
        <w:pStyle w:val="ListParagraph"/>
        <w:numPr>
          <w:ilvl w:val="0"/>
          <w:numId w:val="11"/>
        </w:numPr>
        <w:tabs>
          <w:tab w:val="left" w:pos="284"/>
          <w:tab w:val="left" w:pos="567"/>
        </w:tabs>
        <w:ind w:left="1418" w:right="503" w:hanging="567"/>
        <w:rPr>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compliance with the assurances can be objectively verified through diplomatic or other monitoring mechanisms, including providing unfettered access to the applicant’s lawyers.</w:t>
      </w:r>
      <w:r w:rsidR="00B16E52" w:rsidRPr="008A1DB4">
        <w:rPr>
          <w:spacing w:val="-2"/>
          <w:sz w:val="18"/>
          <w:szCs w:val="18"/>
          <w:vertAlign w:val="superscript"/>
          <w:lang w:val="en-US"/>
        </w:rPr>
        <w:footnoteReference w:id="249"/>
      </w:r>
    </w:p>
    <w:p w14:paraId="735DE6E7" w14:textId="7A6D8163" w:rsidR="00B16E52" w:rsidRPr="008A1DB4" w:rsidRDefault="00A91BC7" w:rsidP="00956E97">
      <w:pPr>
        <w:pStyle w:val="ListParagraph"/>
        <w:numPr>
          <w:ilvl w:val="0"/>
          <w:numId w:val="11"/>
        </w:numPr>
        <w:tabs>
          <w:tab w:val="left" w:pos="284"/>
          <w:tab w:val="left" w:pos="567"/>
        </w:tabs>
        <w:ind w:left="1418" w:right="503" w:hanging="567"/>
        <w:rPr>
          <w:spacing w:val="-2"/>
          <w:sz w:val="18"/>
          <w:szCs w:val="18"/>
          <w:lang w:val="en-US"/>
        </w:rPr>
      </w:pPr>
      <w:r w:rsidRPr="008A1DB4">
        <w:rPr>
          <w:rStyle w:val="sb8d990e2"/>
          <w:sz w:val="18"/>
          <w:szCs w:val="18"/>
          <w:lang w:val="en-US"/>
        </w:rPr>
        <w:t xml:space="preserve">whether there is an effective system of protection against torture in the receiving State, including whether it is willing to cooperate with international monitoring mechanisms (including international human rights NGOs), and whether it is willing to investigate allegations of torture and to punish those </w:t>
      </w:r>
      <w:r w:rsidR="00947926" w:rsidRPr="008A1DB4">
        <w:rPr>
          <w:rStyle w:val="sb8d990e2"/>
          <w:sz w:val="18"/>
          <w:szCs w:val="18"/>
          <w:lang w:val="en-US"/>
        </w:rPr>
        <w:t>responsible</w:t>
      </w:r>
      <w:r w:rsidRPr="008A1DB4">
        <w:rPr>
          <w:spacing w:val="-2"/>
          <w:sz w:val="18"/>
          <w:szCs w:val="18"/>
          <w:lang w:val="en-US"/>
        </w:rPr>
        <w:t>.</w:t>
      </w:r>
      <w:r w:rsidR="00B16E52" w:rsidRPr="008A1DB4">
        <w:rPr>
          <w:spacing w:val="-2"/>
          <w:sz w:val="18"/>
          <w:szCs w:val="18"/>
          <w:vertAlign w:val="superscript"/>
          <w:lang w:val="en-US"/>
        </w:rPr>
        <w:footnoteReference w:id="250"/>
      </w:r>
    </w:p>
    <w:p w14:paraId="74702B12" w14:textId="4D22AAAE" w:rsidR="00B16E52" w:rsidRPr="008A1DB4" w:rsidRDefault="00947926" w:rsidP="00956E97">
      <w:pPr>
        <w:pStyle w:val="ListParagraph"/>
        <w:numPr>
          <w:ilvl w:val="0"/>
          <w:numId w:val="11"/>
        </w:numPr>
        <w:tabs>
          <w:tab w:val="left" w:pos="284"/>
          <w:tab w:val="left" w:pos="567"/>
        </w:tabs>
        <w:ind w:left="1418" w:right="503" w:hanging="567"/>
        <w:rPr>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the applicant has previously been ill-treated in the receiving State.</w:t>
      </w:r>
      <w:r w:rsidR="008B4848" w:rsidRPr="008A1DB4">
        <w:rPr>
          <w:rStyle w:val="FootnoteReference"/>
          <w:spacing w:val="-2"/>
          <w:sz w:val="18"/>
          <w:szCs w:val="18"/>
          <w:lang w:val="en-US"/>
        </w:rPr>
        <w:footnoteReference w:id="251"/>
      </w:r>
    </w:p>
    <w:p w14:paraId="0E3134D3" w14:textId="3EE362D5" w:rsidR="00B16E52" w:rsidRPr="008A1DB4" w:rsidRDefault="00947926" w:rsidP="00956E97">
      <w:pPr>
        <w:pStyle w:val="ListParagraph"/>
        <w:numPr>
          <w:ilvl w:val="0"/>
          <w:numId w:val="11"/>
        </w:numPr>
        <w:tabs>
          <w:tab w:val="left" w:pos="284"/>
          <w:tab w:val="left" w:pos="567"/>
        </w:tabs>
        <w:ind w:left="1418" w:right="503" w:hanging="567"/>
        <w:rPr>
          <w:b/>
          <w:spacing w:val="-2"/>
          <w:sz w:val="18"/>
          <w:szCs w:val="18"/>
          <w:lang w:val="en-US"/>
        </w:rPr>
      </w:pPr>
      <w:r w:rsidRPr="008A1DB4">
        <w:rPr>
          <w:rStyle w:val="sb8d990e2"/>
          <w:sz w:val="18"/>
          <w:szCs w:val="18"/>
          <w:lang w:val="en-US"/>
        </w:rPr>
        <w:t>Whether</w:t>
      </w:r>
      <w:r w:rsidR="00A91BC7" w:rsidRPr="008A1DB4">
        <w:rPr>
          <w:rStyle w:val="sb8d990e2"/>
          <w:sz w:val="18"/>
          <w:szCs w:val="18"/>
          <w:lang w:val="en-US"/>
        </w:rPr>
        <w:t xml:space="preserve"> the reliability of the assurances has been examined by the domestic courts of the sending/Contracting State.</w:t>
      </w:r>
      <w:r w:rsidR="00B16E52" w:rsidRPr="008A1DB4">
        <w:rPr>
          <w:spacing w:val="-2"/>
          <w:sz w:val="18"/>
          <w:szCs w:val="18"/>
          <w:vertAlign w:val="superscript"/>
          <w:lang w:val="en-US"/>
        </w:rPr>
        <w:footnoteReference w:id="252"/>
      </w:r>
    </w:p>
    <w:p w14:paraId="10C429B1" w14:textId="77777777" w:rsidR="00B16E52" w:rsidRPr="008A1DB4" w:rsidRDefault="00B16E52" w:rsidP="00956E97">
      <w:pPr>
        <w:pStyle w:val="ListParagraph"/>
        <w:tabs>
          <w:tab w:val="left" w:pos="284"/>
          <w:tab w:val="left" w:pos="567"/>
        </w:tabs>
        <w:ind w:left="0"/>
        <w:rPr>
          <w:spacing w:val="-2"/>
          <w:lang w:val="en-US"/>
        </w:rPr>
      </w:pPr>
    </w:p>
    <w:p w14:paraId="50803721" w14:textId="737E8B89" w:rsidR="00B16E52" w:rsidRPr="008A1DB4" w:rsidRDefault="0056566D" w:rsidP="0056566D">
      <w:pPr>
        <w:pStyle w:val="PrrafodeSentencia"/>
        <w:rPr>
          <w:spacing w:val="-2"/>
          <w:lang w:val="en-US"/>
        </w:rPr>
      </w:pPr>
      <w:bookmarkStart w:id="760" w:name="_Ref418877810"/>
      <w:r w:rsidRPr="008A1DB4">
        <w:rPr>
          <w:spacing w:val="-2"/>
          <w:lang w:val="en-US"/>
        </w:rPr>
        <w:t>Meanwhile,</w:t>
      </w:r>
      <w:r w:rsidR="00B16E52" w:rsidRPr="008A1DB4">
        <w:rPr>
          <w:spacing w:val="-2"/>
          <w:lang w:val="en-US"/>
        </w:rPr>
        <w:t xml:space="preserve"> </w:t>
      </w:r>
      <w:r w:rsidR="00922262" w:rsidRPr="008A1DB4">
        <w:rPr>
          <w:spacing w:val="-2"/>
          <w:lang w:val="en-US"/>
        </w:rPr>
        <w:t>the Human Rights Committee</w:t>
      </w:r>
      <w:r w:rsidR="00B16E52" w:rsidRPr="008A1DB4">
        <w:rPr>
          <w:spacing w:val="-2"/>
          <w:lang w:val="en-US"/>
        </w:rPr>
        <w:t xml:space="preserve"> </w:t>
      </w:r>
      <w:r w:rsidR="00696694" w:rsidRPr="008A1DB4">
        <w:rPr>
          <w:spacing w:val="-2"/>
          <w:lang w:val="en-US"/>
        </w:rPr>
        <w:t>ha</w:t>
      </w:r>
      <w:r w:rsidRPr="008A1DB4">
        <w:rPr>
          <w:spacing w:val="-2"/>
          <w:lang w:val="en-US"/>
        </w:rPr>
        <w:t>s considered that: “</w:t>
      </w:r>
      <w:r w:rsidRPr="008A1DB4">
        <w:rPr>
          <w:lang w:val="en-US"/>
        </w:rPr>
        <w:t xml:space="preserve">The existence of diplomatic </w:t>
      </w:r>
      <w:r w:rsidRPr="00A7171B">
        <w:rPr>
          <w:lang w:val="en-US"/>
        </w:rPr>
        <w:t>assurances, their content and the existence and implementation of enforcement mechanisms are all factual elements relevant to the overall determination of whether, in fact, a real risk of proscribed ill-treatment exists.</w:t>
      </w:r>
      <w:r w:rsidR="00B16E52" w:rsidRPr="00A7171B">
        <w:rPr>
          <w:spacing w:val="-2"/>
          <w:lang w:val="en-US"/>
        </w:rPr>
        <w:t>”</w:t>
      </w:r>
      <w:r w:rsidR="00B16E52" w:rsidRPr="00A7171B">
        <w:rPr>
          <w:rStyle w:val="FootnoteReference"/>
          <w:spacing w:val="-2"/>
          <w:lang w:val="en-US"/>
        </w:rPr>
        <w:footnoteReference w:id="253"/>
      </w:r>
      <w:r w:rsidRPr="00A7171B">
        <w:rPr>
          <w:spacing w:val="-2"/>
          <w:lang w:val="en-US"/>
        </w:rPr>
        <w:t xml:space="preserve"> This Committee, and also the </w:t>
      </w:r>
      <w:r w:rsidR="00922262" w:rsidRPr="00A7171B">
        <w:rPr>
          <w:spacing w:val="-2"/>
          <w:lang w:val="en-US"/>
        </w:rPr>
        <w:t>Committee against Torture</w:t>
      </w:r>
      <w:r w:rsidR="00870BD5" w:rsidRPr="00A7171B">
        <w:rPr>
          <w:spacing w:val="-2"/>
          <w:lang w:val="en-US"/>
        </w:rPr>
        <w:t>,</w:t>
      </w:r>
      <w:r w:rsidRPr="00A7171B">
        <w:rPr>
          <w:spacing w:val="-2"/>
          <w:lang w:val="en-US"/>
        </w:rPr>
        <w:t xml:space="preserve"> </w:t>
      </w:r>
      <w:proofErr w:type="gramStart"/>
      <w:r w:rsidRPr="00A7171B">
        <w:rPr>
          <w:spacing w:val="-2"/>
          <w:lang w:val="en-US"/>
        </w:rPr>
        <w:t>have</w:t>
      </w:r>
      <w:proofErr w:type="gramEnd"/>
      <w:r w:rsidRPr="00A7171B">
        <w:rPr>
          <w:spacing w:val="-2"/>
          <w:lang w:val="en-US"/>
        </w:rPr>
        <w:t xml:space="preserve"> emphasized the need for mechanisms</w:t>
      </w:r>
      <w:r w:rsidRPr="008A1DB4">
        <w:rPr>
          <w:spacing w:val="-2"/>
          <w:lang w:val="en-US"/>
        </w:rPr>
        <w:t xml:space="preserve"> for monitoring the enforcement of the assurances and other provisions so as to ensure they are implemented.</w:t>
      </w:r>
      <w:r w:rsidR="00B16E52" w:rsidRPr="008A1DB4">
        <w:rPr>
          <w:rStyle w:val="FootnoteReference"/>
          <w:spacing w:val="-2"/>
          <w:lang w:val="en-US"/>
        </w:rPr>
        <w:footnoteReference w:id="254"/>
      </w:r>
      <w:bookmarkEnd w:id="760"/>
    </w:p>
    <w:p w14:paraId="61CFBFEF" w14:textId="77777777" w:rsidR="00B16E52" w:rsidRPr="008A1DB4" w:rsidRDefault="00B16E52" w:rsidP="00956E97">
      <w:pPr>
        <w:pStyle w:val="ListParagraph"/>
        <w:tabs>
          <w:tab w:val="left" w:pos="284"/>
          <w:tab w:val="left" w:pos="567"/>
        </w:tabs>
        <w:ind w:left="0"/>
        <w:rPr>
          <w:spacing w:val="-2"/>
          <w:lang w:val="en-US"/>
        </w:rPr>
      </w:pPr>
    </w:p>
    <w:p w14:paraId="26A7F99F" w14:textId="5BD1FEB1" w:rsidR="00765DDA" w:rsidRPr="008A1DB4" w:rsidRDefault="0056566D" w:rsidP="00956E97">
      <w:pPr>
        <w:pStyle w:val="PrrafodeSentencia"/>
        <w:rPr>
          <w:spacing w:val="-2"/>
          <w:lang w:val="en-US"/>
        </w:rPr>
      </w:pPr>
      <w:bookmarkStart w:id="761" w:name="_Ref418877814"/>
      <w:r w:rsidRPr="008A1DB4">
        <w:rPr>
          <w:spacing w:val="-2"/>
          <w:lang w:val="en-US"/>
        </w:rPr>
        <w:t>E</w:t>
      </w:r>
      <w:r w:rsidR="00127339" w:rsidRPr="008A1DB4">
        <w:rPr>
          <w:spacing w:val="-2"/>
          <w:lang w:val="en-US"/>
        </w:rPr>
        <w:t>xpert witness</w:t>
      </w:r>
      <w:r w:rsidR="00B16E52" w:rsidRPr="008A1DB4">
        <w:rPr>
          <w:spacing w:val="-2"/>
          <w:lang w:val="en-US"/>
        </w:rPr>
        <w:t xml:space="preserve"> Ben Saul </w:t>
      </w:r>
      <w:r w:rsidRPr="008A1DB4">
        <w:rPr>
          <w:spacing w:val="-2"/>
          <w:lang w:val="en-US"/>
        </w:rPr>
        <w:t xml:space="preserve">emphasized the different nature </w:t>
      </w:r>
      <w:r w:rsidR="0020496F" w:rsidRPr="008A1DB4">
        <w:rPr>
          <w:spacing w:val="-2"/>
          <w:lang w:val="en-US"/>
        </w:rPr>
        <w:t>of the</w:t>
      </w:r>
      <w:r w:rsidR="00BB44A4" w:rsidRPr="008A1DB4">
        <w:rPr>
          <w:spacing w:val="-2"/>
          <w:lang w:val="en-US"/>
        </w:rPr>
        <w:t xml:space="preserve"> </w:t>
      </w:r>
      <w:r w:rsidR="00945E57" w:rsidRPr="008A1DB4">
        <w:rPr>
          <w:spacing w:val="-2"/>
          <w:lang w:val="en-US"/>
        </w:rPr>
        <w:t>diplomatic assurances</w:t>
      </w:r>
      <w:r w:rsidR="00B16E52" w:rsidRPr="008A1DB4">
        <w:rPr>
          <w:spacing w:val="-2"/>
          <w:lang w:val="en-US"/>
        </w:rPr>
        <w:t xml:space="preserve"> </w:t>
      </w:r>
      <w:r w:rsidRPr="008A1DB4">
        <w:rPr>
          <w:spacing w:val="-2"/>
          <w:lang w:val="en-US"/>
        </w:rPr>
        <w:t xml:space="preserve">provided in relation to non-application </w:t>
      </w:r>
      <w:r w:rsidR="00BB44A4" w:rsidRPr="008A1DB4">
        <w:rPr>
          <w:spacing w:val="-2"/>
          <w:lang w:val="en-US"/>
        </w:rPr>
        <w:t xml:space="preserve">of the </w:t>
      </w:r>
      <w:r w:rsidR="00A3310A" w:rsidRPr="008A1DB4">
        <w:rPr>
          <w:spacing w:val="-2"/>
          <w:lang w:val="en-US"/>
        </w:rPr>
        <w:t>death penalty</w:t>
      </w:r>
      <w:r w:rsidR="00B16E52" w:rsidRPr="008A1DB4">
        <w:rPr>
          <w:spacing w:val="-2"/>
          <w:lang w:val="en-US"/>
        </w:rPr>
        <w:t xml:space="preserve"> (</w:t>
      </w:r>
      <w:r w:rsidRPr="008A1DB4">
        <w:rPr>
          <w:spacing w:val="-2"/>
          <w:lang w:val="en-US"/>
        </w:rPr>
        <w:t xml:space="preserve">a </w:t>
      </w:r>
      <w:r w:rsidR="00B16E52" w:rsidRPr="008A1DB4">
        <w:rPr>
          <w:spacing w:val="-2"/>
          <w:lang w:val="en-US"/>
        </w:rPr>
        <w:t>conduct</w:t>
      </w:r>
      <w:r w:rsidRPr="008A1DB4">
        <w:rPr>
          <w:spacing w:val="-2"/>
          <w:lang w:val="en-US"/>
        </w:rPr>
        <w:t xml:space="preserve"> that is not prohibited by international law) and those provided when there is a risk of </w:t>
      </w:r>
      <w:r w:rsidR="00775124" w:rsidRPr="008A1DB4">
        <w:rPr>
          <w:spacing w:val="-2"/>
          <w:lang w:val="en-US"/>
        </w:rPr>
        <w:t>torture and other forms of cruel, inhuman or degrading treatment</w:t>
      </w:r>
      <w:r w:rsidR="00B16E52" w:rsidRPr="008A1DB4">
        <w:rPr>
          <w:spacing w:val="-2"/>
          <w:lang w:val="en-US"/>
        </w:rPr>
        <w:t xml:space="preserve"> (</w:t>
      </w:r>
      <w:r w:rsidRPr="008A1DB4">
        <w:rPr>
          <w:spacing w:val="-2"/>
          <w:lang w:val="en-US"/>
        </w:rPr>
        <w:t>a conduct that is absolutely prohibited under international law).</w:t>
      </w:r>
      <w:r w:rsidR="00B16E52" w:rsidRPr="008A1DB4">
        <w:rPr>
          <w:rStyle w:val="FootnoteReference"/>
          <w:spacing w:val="-2"/>
          <w:lang w:val="en-US"/>
        </w:rPr>
        <w:footnoteReference w:id="255"/>
      </w:r>
      <w:r w:rsidRPr="008A1DB4">
        <w:rPr>
          <w:spacing w:val="-2"/>
          <w:lang w:val="en-US"/>
        </w:rPr>
        <w:t xml:space="preserve"> In this regard, the Court takes note of the critiques and difficulties as regards the use and </w:t>
      </w:r>
      <w:r w:rsidR="00A7171B">
        <w:rPr>
          <w:spacing w:val="-2"/>
          <w:lang w:val="en-US"/>
        </w:rPr>
        <w:t>support</w:t>
      </w:r>
      <w:r w:rsidRPr="008A1DB4">
        <w:rPr>
          <w:spacing w:val="-2"/>
          <w:lang w:val="en-US"/>
        </w:rPr>
        <w:t xml:space="preserve"> of diplomatic assurances when there is a possible risk of torture.</w:t>
      </w:r>
      <w:r w:rsidR="00B16E52" w:rsidRPr="008A1DB4">
        <w:rPr>
          <w:rStyle w:val="FootnoteReference"/>
          <w:spacing w:val="-2"/>
          <w:lang w:val="en-US"/>
        </w:rPr>
        <w:footnoteReference w:id="256"/>
      </w:r>
      <w:r w:rsidRPr="008A1DB4">
        <w:rPr>
          <w:spacing w:val="-2"/>
          <w:lang w:val="en-US"/>
        </w:rPr>
        <w:t xml:space="preserve"> Nevertheless, the European Court considers that it is not for that Court to reject the possibility of their use, when they constitute a usual practice of States,</w:t>
      </w:r>
      <w:r w:rsidR="00B16E52" w:rsidRPr="008A1DB4">
        <w:rPr>
          <w:rStyle w:val="FootnoteReference"/>
          <w:spacing w:val="-2"/>
          <w:lang w:val="en-US"/>
        </w:rPr>
        <w:footnoteReference w:id="257"/>
      </w:r>
      <w:r w:rsidR="00A7171B">
        <w:rPr>
          <w:spacing w:val="-2"/>
          <w:lang w:val="en-US"/>
        </w:rPr>
        <w:t xml:space="preserve"> even though their value and</w:t>
      </w:r>
      <w:r w:rsidRPr="008A1DB4">
        <w:rPr>
          <w:spacing w:val="-2"/>
          <w:lang w:val="en-US"/>
        </w:rPr>
        <w:t xml:space="preserve"> degree of reliability depend on the particular circumstances of the case, and the assurances offered.</w:t>
      </w:r>
      <w:r w:rsidR="00B16E52" w:rsidRPr="008A1DB4">
        <w:rPr>
          <w:rStyle w:val="FootnoteReference"/>
          <w:spacing w:val="-2"/>
          <w:lang w:val="en-US"/>
        </w:rPr>
        <w:footnoteReference w:id="258"/>
      </w:r>
      <w:bookmarkEnd w:id="761"/>
      <w:r w:rsidR="00B16E52" w:rsidRPr="008A1DB4">
        <w:rPr>
          <w:strike/>
          <w:spacing w:val="-2"/>
          <w:lang w:val="en-US"/>
        </w:rPr>
        <w:t xml:space="preserve"> </w:t>
      </w:r>
    </w:p>
    <w:p w14:paraId="09E578C4" w14:textId="77777777" w:rsidR="00765DDA" w:rsidRPr="008A1DB4" w:rsidRDefault="00765DDA" w:rsidP="00956E97">
      <w:pPr>
        <w:pStyle w:val="ListParagraph"/>
        <w:rPr>
          <w:spacing w:val="-2"/>
          <w:lang w:val="en-US"/>
        </w:rPr>
      </w:pPr>
    </w:p>
    <w:p w14:paraId="33E0EB2A" w14:textId="19C7BB20" w:rsidR="00B16E52" w:rsidRPr="008A1DB4" w:rsidRDefault="0056566D" w:rsidP="0056566D">
      <w:pPr>
        <w:pStyle w:val="PrrafodeSentencia"/>
        <w:rPr>
          <w:spacing w:val="-2"/>
          <w:lang w:val="en-US"/>
        </w:rPr>
      </w:pPr>
      <w:r w:rsidRPr="008A1DB4">
        <w:rPr>
          <w:spacing w:val="-2"/>
          <w:lang w:val="en-US"/>
        </w:rPr>
        <w:t xml:space="preserve">In this case, the Court notes that the assurances provided by </w:t>
      </w:r>
      <w:r w:rsidR="00FE5E87" w:rsidRPr="008A1DB4">
        <w:rPr>
          <w:spacing w:val="-2"/>
          <w:lang w:val="en-US"/>
        </w:rPr>
        <w:t>the People’s Republic of China</w:t>
      </w:r>
      <w:r w:rsidR="00B16E52" w:rsidRPr="008A1DB4">
        <w:rPr>
          <w:spacing w:val="-2"/>
          <w:lang w:val="en-US"/>
        </w:rPr>
        <w:t xml:space="preserve"> </w:t>
      </w:r>
      <w:r w:rsidR="005A46F1">
        <w:rPr>
          <w:spacing w:val="-2"/>
          <w:lang w:val="en-US"/>
        </w:rPr>
        <w:t xml:space="preserve">gradually changed. Initially the assurances </w:t>
      </w:r>
      <w:r w:rsidRPr="008A1DB4">
        <w:rPr>
          <w:spacing w:val="-2"/>
          <w:lang w:val="en-US"/>
        </w:rPr>
        <w:t xml:space="preserve">were addressed at the risk of the application of the death penalty, while the last ones, provided in 2014, cover aspects related to the alleged risk of </w:t>
      </w:r>
      <w:r w:rsidR="00945E57" w:rsidRPr="008A1DB4">
        <w:rPr>
          <w:spacing w:val="-2"/>
          <w:lang w:val="en-US"/>
        </w:rPr>
        <w:t>torture or</w:t>
      </w:r>
      <w:r w:rsidR="00947926">
        <w:rPr>
          <w:spacing w:val="-2"/>
          <w:lang w:val="en-US"/>
        </w:rPr>
        <w:t xml:space="preserve"> other</w:t>
      </w:r>
      <w:r w:rsidR="00644235" w:rsidRPr="008A1DB4">
        <w:rPr>
          <w:spacing w:val="-2"/>
          <w:lang w:val="en-US"/>
        </w:rPr>
        <w:t xml:space="preserve"> </w:t>
      </w:r>
      <w:r w:rsidR="00CC6F1B" w:rsidRPr="008A1DB4">
        <w:rPr>
          <w:spacing w:val="-2"/>
          <w:lang w:val="en-US"/>
        </w:rPr>
        <w:t>cruel, inhuman or degrading treatment</w:t>
      </w:r>
      <w:r w:rsidR="006854BB" w:rsidRPr="008A1DB4">
        <w:rPr>
          <w:spacing w:val="-2"/>
          <w:lang w:val="en-US"/>
        </w:rPr>
        <w:t xml:space="preserve"> (</w:t>
      </w:r>
      <w:r w:rsidR="006854BB" w:rsidRPr="008A1DB4">
        <w:rPr>
          <w:i/>
          <w:spacing w:val="-2"/>
          <w:lang w:val="en-US"/>
        </w:rPr>
        <w:t xml:space="preserve">supra </w:t>
      </w:r>
      <w:r w:rsidR="00631F9C" w:rsidRPr="008A1DB4">
        <w:rPr>
          <w:spacing w:val="-2"/>
          <w:lang w:val="en-US"/>
        </w:rPr>
        <w:t>paras.</w:t>
      </w:r>
      <w:r w:rsidR="006854BB" w:rsidRPr="008A1DB4">
        <w:rPr>
          <w:spacing w:val="-2"/>
          <w:lang w:val="en-US"/>
        </w:rPr>
        <w:t xml:space="preserve"> </w:t>
      </w:r>
      <w:r w:rsidR="006854BB" w:rsidRPr="008A1DB4">
        <w:rPr>
          <w:spacing w:val="-2"/>
          <w:lang w:val="en-US"/>
        </w:rPr>
        <w:fldChar w:fldCharType="begin"/>
      </w:r>
      <w:r w:rsidR="006854BB" w:rsidRPr="008A1DB4">
        <w:rPr>
          <w:spacing w:val="-2"/>
          <w:lang w:val="en-US"/>
        </w:rPr>
        <w:instrText xml:space="preserve"> REF _Ref418755874 \r \h </w:instrText>
      </w:r>
      <w:r w:rsidR="00DC41F4" w:rsidRPr="008A1DB4">
        <w:rPr>
          <w:spacing w:val="-2"/>
          <w:lang w:val="en-US"/>
        </w:rPr>
        <w:instrText xml:space="preserve"> \* MERGEFORMAT </w:instrText>
      </w:r>
      <w:r w:rsidR="006854BB" w:rsidRPr="008A1DB4">
        <w:rPr>
          <w:spacing w:val="-2"/>
          <w:lang w:val="en-US"/>
        </w:rPr>
      </w:r>
      <w:r w:rsidR="006854BB" w:rsidRPr="008A1DB4">
        <w:rPr>
          <w:spacing w:val="-2"/>
          <w:lang w:val="en-US"/>
        </w:rPr>
        <w:fldChar w:fldCharType="separate"/>
      </w:r>
      <w:r w:rsidR="00E961FA" w:rsidRPr="008A1DB4">
        <w:rPr>
          <w:spacing w:val="-2"/>
          <w:lang w:val="en-US"/>
        </w:rPr>
        <w:t>92</w:t>
      </w:r>
      <w:r w:rsidR="006854BB" w:rsidRPr="008A1DB4">
        <w:rPr>
          <w:spacing w:val="-2"/>
          <w:lang w:val="en-US"/>
        </w:rPr>
        <w:fldChar w:fldCharType="end"/>
      </w:r>
      <w:r w:rsidR="00F36400" w:rsidRPr="008A1DB4">
        <w:rPr>
          <w:spacing w:val="-2"/>
          <w:lang w:val="en-US"/>
        </w:rPr>
        <w:t xml:space="preserve"> and </w:t>
      </w:r>
      <w:r w:rsidR="006854BB" w:rsidRPr="008A1DB4">
        <w:rPr>
          <w:spacing w:val="-2"/>
          <w:lang w:val="en-US"/>
        </w:rPr>
        <w:fldChar w:fldCharType="begin"/>
      </w:r>
      <w:r w:rsidR="006854BB" w:rsidRPr="008A1DB4">
        <w:rPr>
          <w:spacing w:val="-2"/>
          <w:lang w:val="en-US"/>
        </w:rPr>
        <w:instrText xml:space="preserve"> REF _Ref419390124 \r \h </w:instrText>
      </w:r>
      <w:r w:rsidR="00DC41F4" w:rsidRPr="008A1DB4">
        <w:rPr>
          <w:spacing w:val="-2"/>
          <w:lang w:val="en-US"/>
        </w:rPr>
        <w:instrText xml:space="preserve"> \* MERGEFORMAT </w:instrText>
      </w:r>
      <w:r w:rsidR="006854BB" w:rsidRPr="008A1DB4">
        <w:rPr>
          <w:spacing w:val="-2"/>
          <w:lang w:val="en-US"/>
        </w:rPr>
      </w:r>
      <w:r w:rsidR="006854BB" w:rsidRPr="008A1DB4">
        <w:rPr>
          <w:spacing w:val="-2"/>
          <w:lang w:val="en-US"/>
        </w:rPr>
        <w:fldChar w:fldCharType="separate"/>
      </w:r>
      <w:r w:rsidR="00E961FA" w:rsidRPr="008A1DB4">
        <w:rPr>
          <w:spacing w:val="-2"/>
          <w:lang w:val="en-US"/>
        </w:rPr>
        <w:t>93</w:t>
      </w:r>
      <w:r w:rsidR="006854BB" w:rsidRPr="008A1DB4">
        <w:rPr>
          <w:spacing w:val="-2"/>
          <w:lang w:val="en-US"/>
        </w:rPr>
        <w:fldChar w:fldCharType="end"/>
      </w:r>
      <w:r w:rsidR="006854BB" w:rsidRPr="008A1DB4">
        <w:rPr>
          <w:spacing w:val="-2"/>
          <w:lang w:val="en-US"/>
        </w:rPr>
        <w:t>)</w:t>
      </w:r>
      <w:r w:rsidR="00644235" w:rsidRPr="008A1DB4">
        <w:rPr>
          <w:spacing w:val="-2"/>
          <w:lang w:val="en-US"/>
        </w:rPr>
        <w:t xml:space="preserve">. </w:t>
      </w:r>
      <w:r w:rsidR="00F36400" w:rsidRPr="008A1DB4">
        <w:rPr>
          <w:spacing w:val="-2"/>
          <w:lang w:val="en-US"/>
        </w:rPr>
        <w:t>This Court</w:t>
      </w:r>
      <w:r w:rsidR="00B16E52" w:rsidRPr="008A1DB4">
        <w:rPr>
          <w:spacing w:val="-2"/>
          <w:lang w:val="en-US"/>
        </w:rPr>
        <w:t xml:space="preserve"> rec</w:t>
      </w:r>
      <w:r w:rsidRPr="008A1DB4">
        <w:rPr>
          <w:spacing w:val="-2"/>
          <w:lang w:val="en-US"/>
        </w:rPr>
        <w:t>alls that, at the present time, the possibility of Wong Ho Wing being tried and sentenced to death has been eliminated (</w:t>
      </w:r>
      <w:r w:rsidRPr="008A1DB4">
        <w:rPr>
          <w:i/>
          <w:spacing w:val="-2"/>
          <w:lang w:val="en-US"/>
        </w:rPr>
        <w:t>supra</w:t>
      </w:r>
      <w:r w:rsidRPr="008A1DB4">
        <w:rPr>
          <w:spacing w:val="-2"/>
          <w:lang w:val="en-US"/>
        </w:rPr>
        <w:t xml:space="preserve"> para. </w:t>
      </w:r>
      <w:r w:rsidRPr="008A1DB4">
        <w:rPr>
          <w:spacing w:val="-2"/>
          <w:lang w:val="en-US"/>
        </w:rPr>
        <w:fldChar w:fldCharType="begin"/>
      </w:r>
      <w:r w:rsidRPr="008A1DB4">
        <w:rPr>
          <w:spacing w:val="-2"/>
          <w:lang w:val="en-US"/>
        </w:rPr>
        <w:instrText xml:space="preserve"> REF _Ref418863070 \r \h  \* MERGEFORMAT </w:instrText>
      </w:r>
      <w:r w:rsidRPr="008A1DB4">
        <w:rPr>
          <w:spacing w:val="-2"/>
          <w:lang w:val="en-US"/>
        </w:rPr>
      </w:r>
      <w:r w:rsidRPr="008A1DB4">
        <w:rPr>
          <w:spacing w:val="-2"/>
          <w:lang w:val="en-US"/>
        </w:rPr>
        <w:fldChar w:fldCharType="separate"/>
      </w:r>
      <w:r w:rsidRPr="008A1DB4">
        <w:rPr>
          <w:spacing w:val="-2"/>
          <w:lang w:val="en-US"/>
        </w:rPr>
        <w:t>151</w:t>
      </w:r>
      <w:r w:rsidRPr="008A1DB4">
        <w:rPr>
          <w:spacing w:val="-2"/>
          <w:lang w:val="en-US"/>
        </w:rPr>
        <w:fldChar w:fldCharType="end"/>
      </w:r>
      <w:r w:rsidRPr="008A1DB4">
        <w:rPr>
          <w:spacing w:val="-2"/>
          <w:lang w:val="en-US"/>
        </w:rPr>
        <w:t xml:space="preserve">), so that it does not find it necessary and pertinent to analyze the sufficiency of the diplomatic assurances provided in relation to the death penalty in order to determine the current circumstances of the risk for Wong Ho Wing. The Court also recalls that it has determined that </w:t>
      </w:r>
      <w:r w:rsidR="00F36400" w:rsidRPr="008A1DB4">
        <w:rPr>
          <w:spacing w:val="-2"/>
          <w:lang w:val="en-US"/>
        </w:rPr>
        <w:t xml:space="preserve">the Commission and </w:t>
      </w:r>
      <w:r w:rsidR="00C45946" w:rsidRPr="008A1DB4">
        <w:rPr>
          <w:spacing w:val="-2"/>
          <w:lang w:val="en-US"/>
        </w:rPr>
        <w:t>the representative</w:t>
      </w:r>
      <w:r w:rsidR="00B16E52" w:rsidRPr="008A1DB4">
        <w:rPr>
          <w:spacing w:val="-2"/>
          <w:lang w:val="en-US"/>
        </w:rPr>
        <w:t xml:space="preserve"> </w:t>
      </w:r>
      <w:r w:rsidRPr="008A1DB4">
        <w:rPr>
          <w:spacing w:val="-2"/>
          <w:lang w:val="en-US"/>
        </w:rPr>
        <w:t xml:space="preserve">have not proved that </w:t>
      </w:r>
      <w:r w:rsidR="001E7113" w:rsidRPr="008A1DB4">
        <w:rPr>
          <w:spacing w:val="-2"/>
          <w:lang w:val="en-US"/>
        </w:rPr>
        <w:t>Wong</w:t>
      </w:r>
      <w:r w:rsidR="00B16E52" w:rsidRPr="008A1DB4">
        <w:rPr>
          <w:spacing w:val="-2"/>
          <w:lang w:val="en-US"/>
        </w:rPr>
        <w:t xml:space="preserve"> Ho Wing </w:t>
      </w:r>
      <w:r w:rsidRPr="008A1DB4">
        <w:rPr>
          <w:spacing w:val="-2"/>
          <w:lang w:val="en-US"/>
        </w:rPr>
        <w:t xml:space="preserve">faces a </w:t>
      </w:r>
      <w:r w:rsidR="00030FA9" w:rsidRPr="008A1DB4">
        <w:rPr>
          <w:spacing w:val="-2"/>
          <w:lang w:val="en-US"/>
        </w:rPr>
        <w:t>real, foreseeable and personal risk</w:t>
      </w:r>
      <w:r w:rsidRPr="008A1DB4">
        <w:rPr>
          <w:spacing w:val="-2"/>
          <w:lang w:val="en-US"/>
        </w:rPr>
        <w:t xml:space="preserve"> of suffering </w:t>
      </w:r>
      <w:r w:rsidR="00030FA9" w:rsidRPr="008A1DB4">
        <w:rPr>
          <w:spacing w:val="-2"/>
          <w:lang w:val="en-US"/>
        </w:rPr>
        <w:t>treatment contrary to the prohibition of</w:t>
      </w:r>
      <w:r w:rsidR="00B26A22" w:rsidRPr="008A1DB4">
        <w:rPr>
          <w:spacing w:val="-2"/>
          <w:lang w:val="en-US"/>
        </w:rPr>
        <w:t xml:space="preserve"> </w:t>
      </w:r>
      <w:r w:rsidR="00CC6F1B" w:rsidRPr="008A1DB4">
        <w:rPr>
          <w:spacing w:val="-2"/>
          <w:lang w:val="en-US"/>
        </w:rPr>
        <w:t>torture or cruel, inhuman or degrading treatment</w:t>
      </w:r>
      <w:r w:rsidR="00B26A22" w:rsidRPr="008A1DB4">
        <w:rPr>
          <w:spacing w:val="-2"/>
          <w:lang w:val="en-US"/>
        </w:rPr>
        <w:t xml:space="preserve"> </w:t>
      </w:r>
      <w:r w:rsidRPr="008A1DB4">
        <w:rPr>
          <w:spacing w:val="-2"/>
          <w:lang w:val="en-US"/>
        </w:rPr>
        <w:t xml:space="preserve">if he is extradited </w:t>
      </w:r>
      <w:r w:rsidR="00B16E52" w:rsidRPr="008A1DB4">
        <w:rPr>
          <w:spacing w:val="-2"/>
          <w:lang w:val="en-US"/>
        </w:rPr>
        <w:t>(</w:t>
      </w:r>
      <w:r w:rsidR="00B16E52" w:rsidRPr="008A1DB4">
        <w:rPr>
          <w:i/>
          <w:spacing w:val="-2"/>
          <w:lang w:val="en-US"/>
        </w:rPr>
        <w:t>supra</w:t>
      </w:r>
      <w:r w:rsidR="00B16E52"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_Ref417874304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176</w:t>
      </w:r>
      <w:r w:rsidR="00BE2225" w:rsidRPr="008A1DB4">
        <w:rPr>
          <w:spacing w:val="-2"/>
          <w:lang w:val="en-US"/>
        </w:rPr>
        <w:fldChar w:fldCharType="end"/>
      </w:r>
      <w:r w:rsidR="00B16E52" w:rsidRPr="008A1DB4">
        <w:rPr>
          <w:spacing w:val="-2"/>
          <w:lang w:val="en-US"/>
        </w:rPr>
        <w:t xml:space="preserve">). </w:t>
      </w:r>
      <w:r w:rsidRPr="008A1DB4">
        <w:rPr>
          <w:spacing w:val="-2"/>
          <w:lang w:val="en-US"/>
        </w:rPr>
        <w:t xml:space="preserve">However, in addition, it considers that the assurances provided in the eighth </w:t>
      </w:r>
      <w:r w:rsidR="004350FD" w:rsidRPr="008A1DB4">
        <w:rPr>
          <w:spacing w:val="-2"/>
          <w:lang w:val="en-US"/>
        </w:rPr>
        <w:t>diplomatic note</w:t>
      </w:r>
      <w:r w:rsidR="00B16E52" w:rsidRPr="008A1DB4">
        <w:rPr>
          <w:spacing w:val="-2"/>
          <w:lang w:val="en-US"/>
        </w:rPr>
        <w:t xml:space="preserve"> </w:t>
      </w:r>
      <w:r w:rsidRPr="008A1DB4">
        <w:rPr>
          <w:spacing w:val="-2"/>
          <w:lang w:val="en-US"/>
        </w:rPr>
        <w:t>would help to eliminate any concerns about the</w:t>
      </w:r>
      <w:r w:rsidR="005A46F1" w:rsidRPr="005A46F1">
        <w:rPr>
          <w:spacing w:val="-2"/>
          <w:lang w:val="en-US"/>
        </w:rPr>
        <w:t xml:space="preserve"> </w:t>
      </w:r>
      <w:r w:rsidR="005A46F1" w:rsidRPr="008A1DB4">
        <w:rPr>
          <w:spacing w:val="-2"/>
          <w:lang w:val="en-US"/>
        </w:rPr>
        <w:t>presumed victim</w:t>
      </w:r>
      <w:r w:rsidR="005A46F1">
        <w:rPr>
          <w:spacing w:val="-2"/>
          <w:lang w:val="en-US"/>
        </w:rPr>
        <w:t>’s situation of risk</w:t>
      </w:r>
      <w:r w:rsidR="00B16E52" w:rsidRPr="008A1DB4">
        <w:rPr>
          <w:spacing w:val="-2"/>
          <w:lang w:val="en-US"/>
        </w:rPr>
        <w:t xml:space="preserve">. </w:t>
      </w:r>
      <w:r w:rsidRPr="008A1DB4">
        <w:rPr>
          <w:spacing w:val="-2"/>
          <w:lang w:val="en-US"/>
        </w:rPr>
        <w:t>The last assurance provi</w:t>
      </w:r>
      <w:r w:rsidR="00947926">
        <w:rPr>
          <w:spacing w:val="-2"/>
          <w:lang w:val="en-US"/>
        </w:rPr>
        <w:t>d</w:t>
      </w:r>
      <w:r w:rsidRPr="008A1DB4">
        <w:rPr>
          <w:spacing w:val="-2"/>
          <w:lang w:val="en-US"/>
        </w:rPr>
        <w:t xml:space="preserve">ed by </w:t>
      </w:r>
      <w:r w:rsidR="00FE5E87" w:rsidRPr="008A1DB4">
        <w:rPr>
          <w:spacing w:val="-2"/>
          <w:lang w:val="en-US"/>
        </w:rPr>
        <w:t>the People’s Republic of China</w:t>
      </w:r>
      <w:r w:rsidRPr="008A1DB4">
        <w:rPr>
          <w:spacing w:val="-2"/>
          <w:lang w:val="en-US"/>
        </w:rPr>
        <w:t xml:space="preserve"> was detailed and proposed a </w:t>
      </w:r>
      <w:r w:rsidR="005A46F1">
        <w:rPr>
          <w:spacing w:val="-2"/>
          <w:lang w:val="en-US"/>
        </w:rPr>
        <w:t xml:space="preserve">system for </w:t>
      </w:r>
      <w:r w:rsidRPr="008A1DB4">
        <w:rPr>
          <w:spacing w:val="-2"/>
          <w:lang w:val="en-US"/>
        </w:rPr>
        <w:t>monitoring imple</w:t>
      </w:r>
      <w:r w:rsidR="005A46F1">
        <w:rPr>
          <w:spacing w:val="-2"/>
          <w:lang w:val="en-US"/>
        </w:rPr>
        <w:t>mentation</w:t>
      </w:r>
      <w:r w:rsidRPr="008A1DB4">
        <w:rPr>
          <w:spacing w:val="-2"/>
          <w:lang w:val="en-US"/>
        </w:rPr>
        <w:t xml:space="preserve">, in keeping with several of the standards described above </w:t>
      </w:r>
      <w:r w:rsidR="005A2E4B" w:rsidRPr="008A1DB4">
        <w:rPr>
          <w:spacing w:val="-2"/>
          <w:lang w:val="en-US"/>
        </w:rPr>
        <w:t>(</w:t>
      </w:r>
      <w:r w:rsidR="005A2E4B" w:rsidRPr="008A1DB4">
        <w:rPr>
          <w:i/>
          <w:spacing w:val="-2"/>
          <w:lang w:val="en-US"/>
        </w:rPr>
        <w:t>supra</w:t>
      </w:r>
      <w:r w:rsidR="005A2E4B" w:rsidRPr="008A1DB4">
        <w:rPr>
          <w:spacing w:val="-2"/>
          <w:lang w:val="en-US"/>
        </w:rPr>
        <w:t xml:space="preserve"> </w:t>
      </w:r>
      <w:r w:rsidR="00631F9C" w:rsidRPr="008A1DB4">
        <w:rPr>
          <w:spacing w:val="-2"/>
          <w:lang w:val="en-US"/>
        </w:rPr>
        <w:t>paras.</w:t>
      </w:r>
      <w:r w:rsidR="005A2E4B" w:rsidRPr="008A1DB4">
        <w:rPr>
          <w:spacing w:val="-2"/>
          <w:lang w:val="en-US"/>
        </w:rPr>
        <w:t xml:space="preserve"> </w:t>
      </w:r>
      <w:r w:rsidR="00803862" w:rsidRPr="008A1DB4">
        <w:rPr>
          <w:spacing w:val="-2"/>
          <w:lang w:val="en-US"/>
        </w:rPr>
        <w:fldChar w:fldCharType="begin"/>
      </w:r>
      <w:r w:rsidR="00916C75" w:rsidRPr="008A1DB4">
        <w:rPr>
          <w:spacing w:val="-2"/>
          <w:lang w:val="en-US"/>
        </w:rPr>
        <w:instrText xml:space="preserve"> REF _Ref418877806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180</w:t>
      </w:r>
      <w:r w:rsidR="00803862" w:rsidRPr="008A1DB4">
        <w:rPr>
          <w:spacing w:val="-2"/>
          <w:lang w:val="en-US"/>
        </w:rPr>
        <w:fldChar w:fldCharType="end"/>
      </w:r>
      <w:r w:rsidR="00916C75" w:rsidRPr="008A1DB4">
        <w:rPr>
          <w:spacing w:val="-2"/>
          <w:lang w:val="en-US"/>
        </w:rPr>
        <w:t xml:space="preserve">, </w:t>
      </w:r>
      <w:r w:rsidR="00803862" w:rsidRPr="008A1DB4">
        <w:rPr>
          <w:spacing w:val="-2"/>
          <w:lang w:val="en-US"/>
        </w:rPr>
        <w:fldChar w:fldCharType="begin"/>
      </w:r>
      <w:r w:rsidR="00916C75" w:rsidRPr="008A1DB4">
        <w:rPr>
          <w:spacing w:val="-2"/>
          <w:lang w:val="en-US"/>
        </w:rPr>
        <w:instrText xml:space="preserve"> REF _Ref418877810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181</w:t>
      </w:r>
      <w:r w:rsidR="00803862" w:rsidRPr="008A1DB4">
        <w:rPr>
          <w:spacing w:val="-2"/>
          <w:lang w:val="en-US"/>
        </w:rPr>
        <w:fldChar w:fldCharType="end"/>
      </w:r>
      <w:r w:rsidR="00F36400" w:rsidRPr="008A1DB4">
        <w:rPr>
          <w:spacing w:val="-2"/>
          <w:lang w:val="en-US"/>
        </w:rPr>
        <w:t xml:space="preserve"> and </w:t>
      </w:r>
      <w:r w:rsidR="00803862" w:rsidRPr="008A1DB4">
        <w:rPr>
          <w:spacing w:val="-2"/>
          <w:lang w:val="en-US"/>
        </w:rPr>
        <w:fldChar w:fldCharType="begin"/>
      </w:r>
      <w:r w:rsidR="00916C75" w:rsidRPr="008A1DB4">
        <w:rPr>
          <w:spacing w:val="-2"/>
          <w:lang w:val="en-US"/>
        </w:rPr>
        <w:instrText xml:space="preserve"> REF _Ref418877814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182</w:t>
      </w:r>
      <w:r w:rsidR="00803862" w:rsidRPr="008A1DB4">
        <w:rPr>
          <w:spacing w:val="-2"/>
          <w:lang w:val="en-US"/>
        </w:rPr>
        <w:fldChar w:fldCharType="end"/>
      </w:r>
      <w:r w:rsidR="00013F50" w:rsidRPr="008A1DB4">
        <w:rPr>
          <w:spacing w:val="-2"/>
          <w:lang w:val="en-US"/>
        </w:rPr>
        <w:t>).</w:t>
      </w:r>
      <w:r w:rsidR="009D6CD3" w:rsidRPr="008A1DB4">
        <w:rPr>
          <w:spacing w:val="-2"/>
          <w:lang w:val="en-US"/>
        </w:rPr>
        <w:t xml:space="preserve"> </w:t>
      </w:r>
      <w:r w:rsidRPr="008A1DB4">
        <w:rPr>
          <w:spacing w:val="-2"/>
          <w:lang w:val="en-US"/>
        </w:rPr>
        <w:t xml:space="preserve">In this diplomatic note, </w:t>
      </w:r>
      <w:r w:rsidR="00653211" w:rsidRPr="008A1DB4">
        <w:rPr>
          <w:spacing w:val="-2"/>
          <w:lang w:val="en-US"/>
        </w:rPr>
        <w:t>the requesting State</w:t>
      </w:r>
      <w:r w:rsidR="00A977AB" w:rsidRPr="008A1DB4">
        <w:rPr>
          <w:spacing w:val="-2"/>
          <w:lang w:val="en-US"/>
        </w:rPr>
        <w:t xml:space="preserve"> </w:t>
      </w:r>
      <w:r w:rsidRPr="008A1DB4">
        <w:rPr>
          <w:spacing w:val="-2"/>
          <w:lang w:val="en-US"/>
        </w:rPr>
        <w:t xml:space="preserve">undertook to advise Peru about the </w:t>
      </w:r>
      <w:r w:rsidR="00947926" w:rsidRPr="008A1DB4">
        <w:rPr>
          <w:spacing w:val="-2"/>
          <w:lang w:val="en-US"/>
        </w:rPr>
        <w:t>possible</w:t>
      </w:r>
      <w:r w:rsidRPr="008A1DB4">
        <w:rPr>
          <w:spacing w:val="-2"/>
          <w:lang w:val="en-US"/>
        </w:rPr>
        <w:t xml:space="preserve"> </w:t>
      </w:r>
      <w:r w:rsidRPr="008A1DB4">
        <w:rPr>
          <w:spacing w:val="-2"/>
          <w:lang w:val="en-US"/>
        </w:rPr>
        <w:lastRenderedPageBreak/>
        <w:t xml:space="preserve">place of detention </w:t>
      </w:r>
      <w:r w:rsidR="00B43F84" w:rsidRPr="008A1DB4">
        <w:rPr>
          <w:spacing w:val="-2"/>
          <w:lang w:val="en-US"/>
        </w:rPr>
        <w:t>of Wong</w:t>
      </w:r>
      <w:r w:rsidR="009D6CD3" w:rsidRPr="008A1DB4">
        <w:rPr>
          <w:spacing w:val="-2"/>
          <w:lang w:val="en-US"/>
        </w:rPr>
        <w:t xml:space="preserve"> Ho Wing, </w:t>
      </w:r>
      <w:r w:rsidRPr="008A1DB4">
        <w:rPr>
          <w:spacing w:val="-2"/>
          <w:lang w:val="en-US"/>
        </w:rPr>
        <w:t xml:space="preserve">to give Peruvian diplomats access to and different means of contacting Wong Ho Wing during his detention; offered guarantees as regards his right of defense and the possibility of </w:t>
      </w:r>
      <w:r w:rsidR="00947926" w:rsidRPr="008A1DB4">
        <w:rPr>
          <w:spacing w:val="-2"/>
          <w:lang w:val="en-US"/>
        </w:rPr>
        <w:t>professional</w:t>
      </w:r>
      <w:r w:rsidRPr="008A1DB4">
        <w:rPr>
          <w:spacing w:val="-2"/>
          <w:lang w:val="en-US"/>
        </w:rPr>
        <w:t xml:space="preserve"> assistance and medical care, as well as granting the Peruvian diplomatic authorities authorization to monitor the proceedings eventually </w:t>
      </w:r>
      <w:r w:rsidR="005A46F1">
        <w:rPr>
          <w:spacing w:val="-2"/>
          <w:lang w:val="en-US"/>
        </w:rPr>
        <w:t>instituted</w:t>
      </w:r>
      <w:r w:rsidRPr="008A1DB4">
        <w:rPr>
          <w:spacing w:val="-2"/>
          <w:lang w:val="en-US"/>
        </w:rPr>
        <w:t xml:space="preserve"> against </w:t>
      </w:r>
      <w:r w:rsidR="00B43F84" w:rsidRPr="008A1DB4">
        <w:rPr>
          <w:spacing w:val="-2"/>
          <w:lang w:val="en-US"/>
        </w:rPr>
        <w:t>Wong</w:t>
      </w:r>
      <w:r w:rsidR="00A977AB" w:rsidRPr="008A1DB4">
        <w:rPr>
          <w:spacing w:val="-2"/>
          <w:lang w:val="en-US"/>
        </w:rPr>
        <w:t xml:space="preserve"> Ho Wing (</w:t>
      </w:r>
      <w:r w:rsidR="00A977AB" w:rsidRPr="008A1DB4">
        <w:rPr>
          <w:i/>
          <w:spacing w:val="-2"/>
          <w:lang w:val="en-US"/>
        </w:rPr>
        <w:t>supra</w:t>
      </w:r>
      <w:r w:rsidR="00A977AB" w:rsidRPr="008A1DB4">
        <w:rPr>
          <w:spacing w:val="-2"/>
          <w:lang w:val="en-US"/>
        </w:rPr>
        <w:t xml:space="preserve"> </w:t>
      </w:r>
      <w:r w:rsidR="00C45946" w:rsidRPr="008A1DB4">
        <w:rPr>
          <w:spacing w:val="-2"/>
          <w:lang w:val="en-US"/>
        </w:rPr>
        <w:t xml:space="preserve">para. </w:t>
      </w:r>
      <w:r w:rsidR="00803862" w:rsidRPr="008A1DB4">
        <w:rPr>
          <w:spacing w:val="-2"/>
          <w:lang w:val="en-US"/>
        </w:rPr>
        <w:fldChar w:fldCharType="begin"/>
      </w:r>
      <w:r w:rsidR="00A977AB" w:rsidRPr="008A1DB4">
        <w:rPr>
          <w:spacing w:val="-2"/>
          <w:lang w:val="en-US"/>
        </w:rPr>
        <w:instrText xml:space="preserve"> REF _Ref419390124 \r \h </w:instrText>
      </w:r>
      <w:r w:rsidR="006854BB"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93</w:t>
      </w:r>
      <w:r w:rsidR="00803862" w:rsidRPr="008A1DB4">
        <w:rPr>
          <w:spacing w:val="-2"/>
          <w:lang w:val="en-US"/>
        </w:rPr>
        <w:fldChar w:fldCharType="end"/>
      </w:r>
      <w:r w:rsidR="00A977AB" w:rsidRPr="008A1DB4">
        <w:rPr>
          <w:spacing w:val="-2"/>
          <w:lang w:val="en-US"/>
        </w:rPr>
        <w:t>.</w:t>
      </w:r>
      <w:r w:rsidR="00803862" w:rsidRPr="008A1DB4">
        <w:rPr>
          <w:spacing w:val="-2"/>
          <w:lang w:val="en-US"/>
        </w:rPr>
        <w:fldChar w:fldCharType="begin"/>
      </w:r>
      <w:r w:rsidR="00A977AB" w:rsidRPr="008A1DB4">
        <w:rPr>
          <w:spacing w:val="-2"/>
          <w:lang w:val="en-US"/>
        </w:rPr>
        <w:instrText xml:space="preserve"> REF _Ref419390127 \r \h </w:instrText>
      </w:r>
      <w:r w:rsidR="006854BB"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h</w:t>
      </w:r>
      <w:r w:rsidR="00803862" w:rsidRPr="008A1DB4">
        <w:rPr>
          <w:spacing w:val="-2"/>
          <w:lang w:val="en-US"/>
        </w:rPr>
        <w:fldChar w:fldCharType="end"/>
      </w:r>
      <w:r w:rsidR="00A977AB" w:rsidRPr="008A1DB4">
        <w:rPr>
          <w:spacing w:val="-2"/>
          <w:lang w:val="en-US"/>
        </w:rPr>
        <w:t xml:space="preserve">).  </w:t>
      </w:r>
    </w:p>
    <w:p w14:paraId="56AA67B3" w14:textId="77777777" w:rsidR="00B16E52" w:rsidRPr="008A1DB4" w:rsidRDefault="00B16E52" w:rsidP="00956E97">
      <w:pPr>
        <w:pStyle w:val="ListParagraph"/>
        <w:tabs>
          <w:tab w:val="left" w:pos="284"/>
          <w:tab w:val="left" w:pos="567"/>
        </w:tabs>
        <w:ind w:left="0"/>
        <w:rPr>
          <w:spacing w:val="-2"/>
          <w:lang w:val="en-US"/>
        </w:rPr>
      </w:pPr>
    </w:p>
    <w:p w14:paraId="625915C4" w14:textId="14D9D064" w:rsidR="00013F50" w:rsidRPr="008A1DB4" w:rsidRDefault="0056566D" w:rsidP="00887407">
      <w:pPr>
        <w:pStyle w:val="PrrafodeSentencia"/>
        <w:rPr>
          <w:spacing w:val="-2"/>
          <w:lang w:val="en-US"/>
        </w:rPr>
      </w:pPr>
      <w:r w:rsidRPr="008A1DB4">
        <w:rPr>
          <w:spacing w:val="-2"/>
          <w:lang w:val="en-US"/>
        </w:rPr>
        <w:t xml:space="preserve">In addition to taking into account the standards </w:t>
      </w:r>
      <w:r w:rsidR="00C45946" w:rsidRPr="008A1DB4">
        <w:rPr>
          <w:spacing w:val="-2"/>
          <w:lang w:val="en-US"/>
        </w:rPr>
        <w:t xml:space="preserve">of the </w:t>
      </w:r>
      <w:r w:rsidR="00631F9C" w:rsidRPr="008A1DB4">
        <w:rPr>
          <w:spacing w:val="-2"/>
          <w:lang w:val="en-US"/>
        </w:rPr>
        <w:t>European Court</w:t>
      </w:r>
      <w:r w:rsidR="00F36400" w:rsidRPr="008A1DB4">
        <w:rPr>
          <w:spacing w:val="-2"/>
          <w:lang w:val="en-US"/>
        </w:rPr>
        <w:t xml:space="preserve"> and </w:t>
      </w:r>
      <w:r w:rsidRPr="008A1DB4">
        <w:rPr>
          <w:spacing w:val="-2"/>
          <w:lang w:val="en-US"/>
        </w:rPr>
        <w:t xml:space="preserve">other international bodies when assessing these assurances, the Court underlines that the terms of this last </w:t>
      </w:r>
      <w:r w:rsidR="004350FD" w:rsidRPr="008A1DB4">
        <w:rPr>
          <w:spacing w:val="-2"/>
          <w:lang w:val="en-US"/>
        </w:rPr>
        <w:t>diplomatic note</w:t>
      </w:r>
      <w:r w:rsidR="004E59A9" w:rsidRPr="008A1DB4">
        <w:rPr>
          <w:spacing w:val="-2"/>
          <w:lang w:val="en-US"/>
        </w:rPr>
        <w:t xml:space="preserve"> </w:t>
      </w:r>
      <w:r w:rsidRPr="008A1DB4">
        <w:rPr>
          <w:spacing w:val="-2"/>
          <w:lang w:val="en-US"/>
        </w:rPr>
        <w:t xml:space="preserve">accord with what both </w:t>
      </w:r>
      <w:r w:rsidR="005A46F1">
        <w:rPr>
          <w:spacing w:val="-2"/>
          <w:lang w:val="en-US"/>
        </w:rPr>
        <w:t xml:space="preserve">of the Commission’s </w:t>
      </w:r>
      <w:r w:rsidR="00127339" w:rsidRPr="008A1DB4">
        <w:rPr>
          <w:spacing w:val="-2"/>
          <w:lang w:val="en-US"/>
        </w:rPr>
        <w:t xml:space="preserve">expert </w:t>
      </w:r>
      <w:r w:rsidR="0079515C" w:rsidRPr="008A1DB4">
        <w:rPr>
          <w:spacing w:val="-2"/>
          <w:lang w:val="en-US"/>
        </w:rPr>
        <w:t>witnesses</w:t>
      </w:r>
      <w:r w:rsidR="00C45946" w:rsidRPr="008A1DB4">
        <w:rPr>
          <w:spacing w:val="-2"/>
          <w:lang w:val="en-US"/>
        </w:rPr>
        <w:t xml:space="preserve"> </w:t>
      </w:r>
      <w:r w:rsidR="0079515C" w:rsidRPr="008A1DB4">
        <w:rPr>
          <w:spacing w:val="-2"/>
          <w:lang w:val="en-US"/>
        </w:rPr>
        <w:t>considered</w:t>
      </w:r>
      <w:r w:rsidR="005A46F1">
        <w:rPr>
          <w:spacing w:val="-2"/>
          <w:lang w:val="en-US"/>
        </w:rPr>
        <w:t xml:space="preserve"> </w:t>
      </w:r>
      <w:r w:rsidRPr="008A1DB4">
        <w:rPr>
          <w:spacing w:val="-2"/>
          <w:lang w:val="en-US"/>
        </w:rPr>
        <w:t>a sufficient guarantee in the context of an extradition. E</w:t>
      </w:r>
      <w:r w:rsidR="00127339" w:rsidRPr="008A1DB4">
        <w:rPr>
          <w:spacing w:val="-2"/>
          <w:lang w:val="en-US"/>
        </w:rPr>
        <w:t>xpert witness</w:t>
      </w:r>
      <w:r w:rsidR="00013F50" w:rsidRPr="008A1DB4">
        <w:rPr>
          <w:spacing w:val="-2"/>
          <w:lang w:val="en-US"/>
        </w:rPr>
        <w:t xml:space="preserve"> </w:t>
      </w:r>
      <w:r w:rsidR="0017003D" w:rsidRPr="008A1DB4">
        <w:rPr>
          <w:spacing w:val="-2"/>
          <w:lang w:val="en-US"/>
        </w:rPr>
        <w:t>Ben Saul</w:t>
      </w:r>
      <w:r w:rsidR="00013F50" w:rsidRPr="008A1DB4">
        <w:rPr>
          <w:spacing w:val="-2"/>
          <w:lang w:val="en-US"/>
        </w:rPr>
        <w:t xml:space="preserve"> </w:t>
      </w:r>
      <w:r w:rsidRPr="008A1DB4">
        <w:rPr>
          <w:spacing w:val="-2"/>
          <w:lang w:val="en-US"/>
        </w:rPr>
        <w:t xml:space="preserve">emphasized as adequate characteristics </w:t>
      </w:r>
      <w:r w:rsidR="00BB44A4" w:rsidRPr="008A1DB4">
        <w:rPr>
          <w:spacing w:val="-2"/>
          <w:lang w:val="en-US"/>
        </w:rPr>
        <w:t xml:space="preserve">of the </w:t>
      </w:r>
      <w:r w:rsidR="00945E57" w:rsidRPr="008A1DB4">
        <w:rPr>
          <w:spacing w:val="-2"/>
          <w:lang w:val="en-US"/>
        </w:rPr>
        <w:t>diplomatic assurances</w:t>
      </w:r>
      <w:r w:rsidR="00013F50" w:rsidRPr="008A1DB4">
        <w:rPr>
          <w:spacing w:val="-2"/>
          <w:lang w:val="en-US"/>
        </w:rPr>
        <w:t xml:space="preserve"> </w:t>
      </w:r>
      <w:r w:rsidRPr="008A1DB4">
        <w:rPr>
          <w:spacing w:val="-2"/>
          <w:lang w:val="en-US"/>
        </w:rPr>
        <w:t>that they were “solid, significant and verifiable”; that they “included an effective monitoring system th</w:t>
      </w:r>
      <w:r w:rsidR="005A46F1">
        <w:rPr>
          <w:spacing w:val="-2"/>
          <w:lang w:val="en-US"/>
        </w:rPr>
        <w:t xml:space="preserve">at was prompt, regular and </w:t>
      </w:r>
      <w:r w:rsidRPr="008A1DB4">
        <w:rPr>
          <w:spacing w:val="-2"/>
          <w:lang w:val="en-US"/>
        </w:rPr>
        <w:t xml:space="preserve">included private interviews,” and also “prompt access to a lawyer, (video) recording of all interrogations sessions with a record of the identity of all </w:t>
      </w:r>
      <w:r w:rsidR="0079515C" w:rsidRPr="008A1DB4">
        <w:rPr>
          <w:spacing w:val="-2"/>
          <w:lang w:val="en-US"/>
        </w:rPr>
        <w:t>those</w:t>
      </w:r>
      <w:r w:rsidRPr="008A1DB4">
        <w:rPr>
          <w:spacing w:val="-2"/>
          <w:lang w:val="en-US"/>
        </w:rPr>
        <w:t xml:space="preserve"> present, a prompt and independent medical examination, and </w:t>
      </w:r>
      <w:r w:rsidR="0079515C" w:rsidRPr="008A1DB4">
        <w:rPr>
          <w:spacing w:val="-2"/>
          <w:lang w:val="en-US"/>
        </w:rPr>
        <w:t>the</w:t>
      </w:r>
      <w:r w:rsidRPr="008A1DB4">
        <w:rPr>
          <w:spacing w:val="-2"/>
          <w:lang w:val="en-US"/>
        </w:rPr>
        <w:t xml:space="preserve"> prohibition of </w:t>
      </w:r>
      <w:r w:rsidR="00887407" w:rsidRPr="008A1DB4">
        <w:rPr>
          <w:spacing w:val="-2"/>
          <w:lang w:val="en-US"/>
        </w:rPr>
        <w:t>solitary confi</w:t>
      </w:r>
      <w:r w:rsidR="005A46F1">
        <w:rPr>
          <w:spacing w:val="-2"/>
          <w:lang w:val="en-US"/>
        </w:rPr>
        <w:t>nement or detention in clandestine</w:t>
      </w:r>
      <w:r w:rsidR="00887407" w:rsidRPr="008A1DB4">
        <w:rPr>
          <w:spacing w:val="-2"/>
          <w:lang w:val="en-US"/>
        </w:rPr>
        <w:t xml:space="preserve"> places.</w:t>
      </w:r>
      <w:r w:rsidR="001C4A84" w:rsidRPr="008A1DB4">
        <w:rPr>
          <w:spacing w:val="-2"/>
          <w:lang w:val="en-US"/>
        </w:rPr>
        <w:t>”</w:t>
      </w:r>
      <w:r w:rsidR="00013F50" w:rsidRPr="008A1DB4">
        <w:rPr>
          <w:rStyle w:val="FootnoteReference"/>
          <w:spacing w:val="-2"/>
          <w:lang w:val="en-US"/>
        </w:rPr>
        <w:footnoteReference w:id="259"/>
      </w:r>
      <w:r w:rsidR="00013F50" w:rsidRPr="008A1DB4">
        <w:rPr>
          <w:spacing w:val="-2"/>
          <w:lang w:val="en-US"/>
        </w:rPr>
        <w:t xml:space="preserve"> </w:t>
      </w:r>
      <w:r w:rsidR="00887407" w:rsidRPr="008A1DB4">
        <w:rPr>
          <w:spacing w:val="-2"/>
          <w:lang w:val="en-US"/>
        </w:rPr>
        <w:t xml:space="preserve">Meanwhile, </w:t>
      </w:r>
      <w:r w:rsidR="00127339" w:rsidRPr="008A1DB4">
        <w:rPr>
          <w:spacing w:val="-2"/>
          <w:lang w:val="en-US"/>
        </w:rPr>
        <w:t>expert witness</w:t>
      </w:r>
      <w:r w:rsidR="0017003D" w:rsidRPr="008A1DB4">
        <w:rPr>
          <w:spacing w:val="-2"/>
          <w:lang w:val="en-US"/>
        </w:rPr>
        <w:t xml:space="preserve"> Geoff Gilbert </w:t>
      </w:r>
      <w:r w:rsidR="00887407" w:rsidRPr="008A1DB4">
        <w:rPr>
          <w:spacing w:val="-2"/>
          <w:lang w:val="en-US"/>
        </w:rPr>
        <w:t>indicated that</w:t>
      </w:r>
      <w:r w:rsidR="0017003D" w:rsidRPr="008A1DB4">
        <w:rPr>
          <w:spacing w:val="-2"/>
          <w:lang w:val="en-US"/>
        </w:rPr>
        <w:t xml:space="preserve"> “</w:t>
      </w:r>
      <w:r w:rsidR="00A41435" w:rsidRPr="008A1DB4">
        <w:rPr>
          <w:spacing w:val="-2"/>
          <w:lang w:val="en-US"/>
        </w:rPr>
        <w:t>[</w:t>
      </w:r>
      <w:r w:rsidR="00887407" w:rsidRPr="008A1DB4">
        <w:rPr>
          <w:spacing w:val="-2"/>
          <w:lang w:val="en-US"/>
        </w:rPr>
        <w:t>f</w:t>
      </w:r>
      <w:r w:rsidR="00A41435" w:rsidRPr="008A1DB4">
        <w:rPr>
          <w:spacing w:val="-2"/>
          <w:lang w:val="en-US"/>
        </w:rPr>
        <w:t>]</w:t>
      </w:r>
      <w:r w:rsidR="00887407" w:rsidRPr="008A1DB4">
        <w:rPr>
          <w:spacing w:val="-2"/>
          <w:lang w:val="en-US"/>
        </w:rPr>
        <w:t xml:space="preserve">or the assurances to be sufficient to allow the return, they should refer specifically to the person whose extradition is requested; they must depend on </w:t>
      </w:r>
      <w:r w:rsidR="0079515C" w:rsidRPr="008A1DB4">
        <w:rPr>
          <w:spacing w:val="-2"/>
          <w:lang w:val="en-US"/>
        </w:rPr>
        <w:t>the</w:t>
      </w:r>
      <w:r w:rsidR="00887407" w:rsidRPr="008A1DB4">
        <w:rPr>
          <w:spacing w:val="-2"/>
          <w:lang w:val="en-US"/>
        </w:rPr>
        <w:t xml:space="preserve"> circumstance</w:t>
      </w:r>
      <w:r w:rsidR="005A46F1">
        <w:rPr>
          <w:spacing w:val="-2"/>
          <w:lang w:val="en-US"/>
        </w:rPr>
        <w:t xml:space="preserve">s (including the source and </w:t>
      </w:r>
      <w:r w:rsidR="00887407" w:rsidRPr="008A1DB4">
        <w:rPr>
          <w:spacing w:val="-2"/>
          <w:lang w:val="en-US"/>
        </w:rPr>
        <w:t xml:space="preserve">content of the assurances </w:t>
      </w:r>
      <w:r w:rsidR="004E59A9" w:rsidRPr="008A1DB4">
        <w:rPr>
          <w:spacing w:val="-2"/>
          <w:lang w:val="en-US"/>
        </w:rPr>
        <w:t>[…]</w:t>
      </w:r>
      <w:r w:rsidR="0017003D" w:rsidRPr="008A1DB4">
        <w:rPr>
          <w:spacing w:val="-2"/>
          <w:lang w:val="en-US"/>
        </w:rPr>
        <w:t>)</w:t>
      </w:r>
      <w:r w:rsidR="00887407" w:rsidRPr="008A1DB4">
        <w:rPr>
          <w:spacing w:val="-2"/>
          <w:lang w:val="en-US"/>
        </w:rPr>
        <w:t>,</w:t>
      </w:r>
      <w:r w:rsidR="00F36400" w:rsidRPr="008A1DB4">
        <w:rPr>
          <w:spacing w:val="-2"/>
          <w:lang w:val="en-US"/>
        </w:rPr>
        <w:t xml:space="preserve"> and </w:t>
      </w:r>
      <w:r w:rsidR="00887407" w:rsidRPr="008A1DB4">
        <w:rPr>
          <w:spacing w:val="-2"/>
          <w:lang w:val="en-US"/>
        </w:rPr>
        <w:t>they must be independently verifiable after the extradition.</w:t>
      </w:r>
      <w:r w:rsidR="004E59A9" w:rsidRPr="008A1DB4">
        <w:rPr>
          <w:spacing w:val="-2"/>
          <w:lang w:val="en-US"/>
        </w:rPr>
        <w:t>”</w:t>
      </w:r>
      <w:r w:rsidR="004E59A9" w:rsidRPr="008A1DB4">
        <w:rPr>
          <w:rStyle w:val="FootnoteReference"/>
          <w:spacing w:val="-2"/>
          <w:lang w:val="en-US"/>
        </w:rPr>
        <w:footnoteReference w:id="260"/>
      </w:r>
      <w:r w:rsidR="00887407" w:rsidRPr="008A1DB4">
        <w:rPr>
          <w:spacing w:val="-2"/>
          <w:lang w:val="en-US"/>
        </w:rPr>
        <w:t xml:space="preserve"> The last guarantee provided by </w:t>
      </w:r>
      <w:r w:rsidR="00FE5E87" w:rsidRPr="008A1DB4">
        <w:rPr>
          <w:spacing w:val="-2"/>
          <w:lang w:val="en-US"/>
        </w:rPr>
        <w:t>the People’s Republic of China</w:t>
      </w:r>
      <w:r w:rsidR="00013F50" w:rsidRPr="008A1DB4">
        <w:rPr>
          <w:spacing w:val="-2"/>
          <w:lang w:val="en-US"/>
        </w:rPr>
        <w:t xml:space="preserve"> </w:t>
      </w:r>
      <w:r w:rsidR="00887407" w:rsidRPr="008A1DB4">
        <w:rPr>
          <w:spacing w:val="-2"/>
          <w:lang w:val="en-US"/>
        </w:rPr>
        <w:t>to</w:t>
      </w:r>
      <w:r w:rsidR="00013F50" w:rsidRPr="008A1DB4">
        <w:rPr>
          <w:spacing w:val="-2"/>
          <w:lang w:val="en-US"/>
        </w:rPr>
        <w:t xml:space="preserve"> </w:t>
      </w:r>
      <w:r w:rsidR="00F36400" w:rsidRPr="008A1DB4">
        <w:rPr>
          <w:spacing w:val="-2"/>
          <w:lang w:val="en-US"/>
        </w:rPr>
        <w:t>Peru</w:t>
      </w:r>
      <w:r w:rsidR="00013F50" w:rsidRPr="008A1DB4">
        <w:rPr>
          <w:spacing w:val="-2"/>
          <w:lang w:val="en-US"/>
        </w:rPr>
        <w:t xml:space="preserve"> </w:t>
      </w:r>
      <w:r w:rsidR="0079515C" w:rsidRPr="008A1DB4">
        <w:rPr>
          <w:spacing w:val="-2"/>
          <w:lang w:val="en-US"/>
        </w:rPr>
        <w:t>complies</w:t>
      </w:r>
      <w:r w:rsidR="00887407" w:rsidRPr="008A1DB4">
        <w:rPr>
          <w:spacing w:val="-2"/>
          <w:lang w:val="en-US"/>
        </w:rPr>
        <w:t xml:space="preserve"> with these characteristics. Consequently, this Court finds that, in the circumstances of this case, the assurances provided may be considered sufficient to satisfy the concerns that remained about the alleged risk to </w:t>
      </w:r>
      <w:r w:rsidR="00B43F84" w:rsidRPr="008A1DB4">
        <w:rPr>
          <w:spacing w:val="-2"/>
          <w:lang w:val="en-US"/>
        </w:rPr>
        <w:t>Wong</w:t>
      </w:r>
      <w:r w:rsidR="00013F50" w:rsidRPr="008A1DB4">
        <w:rPr>
          <w:spacing w:val="-2"/>
          <w:lang w:val="en-US"/>
        </w:rPr>
        <w:t xml:space="preserve"> Ho Wing </w:t>
      </w:r>
      <w:r w:rsidR="00887407" w:rsidRPr="008A1DB4">
        <w:rPr>
          <w:spacing w:val="-2"/>
          <w:lang w:val="en-US"/>
        </w:rPr>
        <w:t xml:space="preserve">were </w:t>
      </w:r>
      <w:r w:rsidR="005A46F1">
        <w:rPr>
          <w:spacing w:val="-2"/>
          <w:lang w:val="en-US"/>
        </w:rPr>
        <w:t xml:space="preserve">he </w:t>
      </w:r>
      <w:r w:rsidR="00887407" w:rsidRPr="008A1DB4">
        <w:rPr>
          <w:spacing w:val="-2"/>
          <w:lang w:val="en-US"/>
        </w:rPr>
        <w:t>to be extradited.</w:t>
      </w:r>
    </w:p>
    <w:p w14:paraId="0EA4F4F2" w14:textId="77777777" w:rsidR="00013F50" w:rsidRPr="008A1DB4" w:rsidRDefault="00013F50" w:rsidP="00956E97">
      <w:pPr>
        <w:pStyle w:val="PrrafodeSentencia"/>
        <w:numPr>
          <w:ilvl w:val="0"/>
          <w:numId w:val="0"/>
        </w:numPr>
        <w:rPr>
          <w:spacing w:val="-2"/>
          <w:lang w:val="en-US"/>
        </w:rPr>
      </w:pPr>
    </w:p>
    <w:p w14:paraId="69559B3D" w14:textId="78D38C29" w:rsidR="00775AD4" w:rsidRPr="008A1DB4" w:rsidRDefault="00C45946" w:rsidP="00893DA0">
      <w:pPr>
        <w:pStyle w:val="PrrafodeSentencia"/>
        <w:rPr>
          <w:spacing w:val="-2"/>
          <w:lang w:val="en-US"/>
        </w:rPr>
      </w:pPr>
      <w:r w:rsidRPr="008A1DB4">
        <w:rPr>
          <w:spacing w:val="-2"/>
          <w:lang w:val="en-US"/>
        </w:rPr>
        <w:t>The representative</w:t>
      </w:r>
      <w:r w:rsidR="00F36400" w:rsidRPr="008A1DB4">
        <w:rPr>
          <w:spacing w:val="-2"/>
          <w:lang w:val="en-US"/>
        </w:rPr>
        <w:t xml:space="preserve"> and the Commission</w:t>
      </w:r>
      <w:r w:rsidR="00775AD4" w:rsidRPr="008A1DB4">
        <w:rPr>
          <w:spacing w:val="-2"/>
          <w:lang w:val="en-US"/>
        </w:rPr>
        <w:t xml:space="preserve"> </w:t>
      </w:r>
      <w:r w:rsidR="005A46F1">
        <w:rPr>
          <w:spacing w:val="-2"/>
          <w:lang w:val="en-US"/>
        </w:rPr>
        <w:t>contested assessment</w:t>
      </w:r>
      <w:r w:rsidR="00893DA0" w:rsidRPr="008A1DB4">
        <w:rPr>
          <w:spacing w:val="-2"/>
          <w:lang w:val="en-US"/>
        </w:rPr>
        <w:t xml:space="preserve"> of this latest assurance, </w:t>
      </w:r>
      <w:r w:rsidR="005A46F1">
        <w:rPr>
          <w:spacing w:val="-2"/>
          <w:lang w:val="en-US"/>
        </w:rPr>
        <w:t>considering</w:t>
      </w:r>
      <w:r w:rsidR="00893DA0" w:rsidRPr="008A1DB4">
        <w:rPr>
          <w:spacing w:val="-2"/>
          <w:lang w:val="en-US"/>
        </w:rPr>
        <w:t xml:space="preserve"> it time-barred. However, the Court notes that, under international law, t</w:t>
      </w:r>
      <w:r w:rsidR="005A46F1">
        <w:rPr>
          <w:spacing w:val="-2"/>
          <w:lang w:val="en-US"/>
        </w:rPr>
        <w:t>here is no limit</w:t>
      </w:r>
      <w:r w:rsidR="00893DA0" w:rsidRPr="008A1DB4">
        <w:rPr>
          <w:spacing w:val="-2"/>
          <w:lang w:val="en-US"/>
        </w:rPr>
        <w:t xml:space="preserve"> to the number of assurances that may be provided by </w:t>
      </w:r>
      <w:r w:rsidR="00653211" w:rsidRPr="008A1DB4">
        <w:rPr>
          <w:spacing w:val="-2"/>
          <w:lang w:val="en-US"/>
        </w:rPr>
        <w:t>the requesting State</w:t>
      </w:r>
      <w:r w:rsidR="00775AD4" w:rsidRPr="008A1DB4">
        <w:rPr>
          <w:spacing w:val="-2"/>
          <w:lang w:val="en-US"/>
        </w:rPr>
        <w:t xml:space="preserve"> </w:t>
      </w:r>
      <w:r w:rsidR="00893DA0" w:rsidRPr="008A1DB4">
        <w:rPr>
          <w:spacing w:val="-2"/>
          <w:lang w:val="en-US"/>
        </w:rPr>
        <w:t>or required by</w:t>
      </w:r>
      <w:r w:rsidR="00775AD4" w:rsidRPr="008A1DB4">
        <w:rPr>
          <w:spacing w:val="-2"/>
          <w:lang w:val="en-US"/>
        </w:rPr>
        <w:t xml:space="preserve"> </w:t>
      </w:r>
      <w:r w:rsidR="00653211" w:rsidRPr="008A1DB4">
        <w:rPr>
          <w:spacing w:val="-2"/>
          <w:lang w:val="en-US"/>
        </w:rPr>
        <w:t>the requested State</w:t>
      </w:r>
      <w:r w:rsidR="00775AD4" w:rsidRPr="008A1DB4">
        <w:rPr>
          <w:spacing w:val="-2"/>
          <w:lang w:val="en-US"/>
        </w:rPr>
        <w:t xml:space="preserve">. </w:t>
      </w:r>
      <w:r w:rsidR="00893DA0" w:rsidRPr="008A1DB4">
        <w:rPr>
          <w:spacing w:val="-2"/>
          <w:lang w:val="en-US"/>
        </w:rPr>
        <w:t>More</w:t>
      </w:r>
      <w:r w:rsidR="005A46F1">
        <w:rPr>
          <w:spacing w:val="-2"/>
          <w:lang w:val="en-US"/>
        </w:rPr>
        <w:t>over, there is no impediment to</w:t>
      </w:r>
      <w:r w:rsidR="00893DA0" w:rsidRPr="008A1DB4">
        <w:rPr>
          <w:spacing w:val="-2"/>
          <w:lang w:val="en-US"/>
        </w:rPr>
        <w:t xml:space="preserve"> sufficient assurances </w:t>
      </w:r>
      <w:r w:rsidR="005A46F1">
        <w:rPr>
          <w:spacing w:val="-2"/>
          <w:lang w:val="en-US"/>
        </w:rPr>
        <w:t>being</w:t>
      </w:r>
      <w:r w:rsidR="00893DA0" w:rsidRPr="008A1DB4">
        <w:rPr>
          <w:spacing w:val="-2"/>
          <w:lang w:val="en-US"/>
        </w:rPr>
        <w:t xml:space="preserve"> provided progressively</w:t>
      </w:r>
      <w:r w:rsidR="005A46F1">
        <w:rPr>
          <w:spacing w:val="-2"/>
          <w:lang w:val="en-US"/>
        </w:rPr>
        <w:t xml:space="preserve"> and increasingly</w:t>
      </w:r>
      <w:r w:rsidR="00893DA0" w:rsidRPr="008A1DB4">
        <w:rPr>
          <w:spacing w:val="-2"/>
          <w:lang w:val="en-US"/>
        </w:rPr>
        <w:t xml:space="preserve">. As mentioned throughout this Judgment, in order to determine whether Wong Ho Wing would face a risk that would </w:t>
      </w:r>
      <w:r w:rsidR="00C60E55">
        <w:rPr>
          <w:spacing w:val="-2"/>
          <w:lang w:val="en-US"/>
        </w:rPr>
        <w:t xml:space="preserve">harm his right if he were </w:t>
      </w:r>
      <w:r w:rsidR="00893DA0" w:rsidRPr="008A1DB4">
        <w:rPr>
          <w:spacing w:val="-2"/>
          <w:lang w:val="en-US"/>
        </w:rPr>
        <w:t>extradited, this Court must examine and assess all the information currently available, because the extradition has not taken place yet. The possibility of obtaining the necessary and sufficient assurances progressively could be restricted by the guarantees of due process that protect</w:t>
      </w:r>
      <w:r w:rsidR="00C60E55">
        <w:rPr>
          <w:spacing w:val="-2"/>
          <w:lang w:val="en-US"/>
        </w:rPr>
        <w:t>s</w:t>
      </w:r>
      <w:r w:rsidR="00893DA0" w:rsidRPr="008A1DB4">
        <w:rPr>
          <w:spacing w:val="-2"/>
          <w:lang w:val="en-US"/>
        </w:rPr>
        <w:t xml:space="preserve"> every person under the jurisdiction of a State, if there was a limit in this sense in the domestic law of the State in question or, in any case, owing to the obligation to hold the trial within a reasonable time, but this does not mean that the </w:t>
      </w:r>
      <w:r w:rsidR="0079515C" w:rsidRPr="008A1DB4">
        <w:rPr>
          <w:spacing w:val="-2"/>
          <w:lang w:val="en-US"/>
        </w:rPr>
        <w:t>Court</w:t>
      </w:r>
      <w:r w:rsidR="00893DA0" w:rsidRPr="008A1DB4">
        <w:rPr>
          <w:spacing w:val="-2"/>
          <w:lang w:val="en-US"/>
        </w:rPr>
        <w:t xml:space="preserve"> cannot take these last assurances into a</w:t>
      </w:r>
      <w:r w:rsidR="00C60E55">
        <w:rPr>
          <w:spacing w:val="-2"/>
          <w:lang w:val="en-US"/>
        </w:rPr>
        <w:t xml:space="preserve">ccount in order to determine </w:t>
      </w:r>
      <w:r w:rsidR="00C60E55" w:rsidRPr="008A1DB4">
        <w:rPr>
          <w:spacing w:val="-2"/>
          <w:lang w:val="en-US"/>
        </w:rPr>
        <w:t>Wong Ho Wing</w:t>
      </w:r>
      <w:r w:rsidR="00C60E55">
        <w:rPr>
          <w:spacing w:val="-2"/>
          <w:lang w:val="en-US"/>
        </w:rPr>
        <w:t>’s presumed situation of risk</w:t>
      </w:r>
      <w:r w:rsidR="00893DA0" w:rsidRPr="008A1DB4">
        <w:rPr>
          <w:spacing w:val="-2"/>
          <w:lang w:val="en-US"/>
        </w:rPr>
        <w:t xml:space="preserve"> in </w:t>
      </w:r>
      <w:r w:rsidR="00653211" w:rsidRPr="008A1DB4">
        <w:rPr>
          <w:spacing w:val="-2"/>
          <w:lang w:val="en-US"/>
        </w:rPr>
        <w:t>the requesting State</w:t>
      </w:r>
      <w:r w:rsidR="00EB6B06" w:rsidRPr="008A1DB4">
        <w:rPr>
          <w:spacing w:val="-2"/>
          <w:lang w:val="en-US"/>
        </w:rPr>
        <w:t xml:space="preserve"> </w:t>
      </w:r>
      <w:r w:rsidR="00893DA0" w:rsidRPr="008A1DB4">
        <w:rPr>
          <w:spacing w:val="-2"/>
          <w:lang w:val="en-US"/>
        </w:rPr>
        <w:t xml:space="preserve">if he were </w:t>
      </w:r>
      <w:r w:rsidR="00C60E55">
        <w:rPr>
          <w:spacing w:val="-2"/>
          <w:lang w:val="en-US"/>
        </w:rPr>
        <w:t xml:space="preserve">to be </w:t>
      </w:r>
      <w:r w:rsidR="00893DA0" w:rsidRPr="008A1DB4">
        <w:rPr>
          <w:spacing w:val="-2"/>
          <w:lang w:val="en-US"/>
        </w:rPr>
        <w:t>extradited. The possible consequences of the State’s delay in obtaining appropriate assurances must be examined when analyz</w:t>
      </w:r>
      <w:r w:rsidR="00C60E55">
        <w:rPr>
          <w:spacing w:val="-2"/>
          <w:lang w:val="en-US"/>
        </w:rPr>
        <w:t>ing the alleged violation of</w:t>
      </w:r>
      <w:r w:rsidR="00893DA0" w:rsidRPr="008A1DB4">
        <w:rPr>
          <w:spacing w:val="-2"/>
          <w:lang w:val="en-US"/>
        </w:rPr>
        <w:t xml:space="preserve"> reasonable time made in another section of this Judgment </w:t>
      </w:r>
      <w:r w:rsidR="00436D03" w:rsidRPr="008A1DB4">
        <w:rPr>
          <w:spacing w:val="-2"/>
          <w:lang w:val="en-US"/>
        </w:rPr>
        <w:t>(</w:t>
      </w:r>
      <w:r w:rsidR="00775AD4" w:rsidRPr="008A1DB4">
        <w:rPr>
          <w:i/>
          <w:spacing w:val="-2"/>
          <w:lang w:val="en-US"/>
        </w:rPr>
        <w:t>infra</w:t>
      </w:r>
      <w:r w:rsidR="00436D03" w:rsidRPr="008A1DB4">
        <w:rPr>
          <w:i/>
          <w:spacing w:val="-2"/>
          <w:lang w:val="en-US"/>
        </w:rPr>
        <w:t xml:space="preserve"> </w:t>
      </w:r>
      <w:r w:rsidR="00631F9C" w:rsidRPr="008A1DB4">
        <w:rPr>
          <w:spacing w:val="-2"/>
          <w:lang w:val="en-US"/>
        </w:rPr>
        <w:t>paras.</w:t>
      </w:r>
      <w:r w:rsidR="00436D03"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_Ref418880954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207</w:t>
      </w:r>
      <w:r w:rsidR="00BE2225" w:rsidRPr="008A1DB4">
        <w:rPr>
          <w:spacing w:val="-2"/>
          <w:lang w:val="en-US"/>
        </w:rPr>
        <w:fldChar w:fldCharType="end"/>
      </w:r>
      <w:r w:rsidR="00893DA0" w:rsidRPr="008A1DB4">
        <w:rPr>
          <w:spacing w:val="-2"/>
          <w:lang w:val="en-US"/>
        </w:rPr>
        <w:t xml:space="preserve"> to</w:t>
      </w:r>
      <w:r w:rsidR="00436D03" w:rsidRPr="008A1DB4">
        <w:rPr>
          <w:spacing w:val="-2"/>
          <w:lang w:val="en-US"/>
        </w:rPr>
        <w:t xml:space="preserve"> </w:t>
      </w:r>
      <w:r w:rsidR="00803862" w:rsidRPr="008A1DB4">
        <w:rPr>
          <w:spacing w:val="-2"/>
          <w:lang w:val="en-US"/>
        </w:rPr>
        <w:fldChar w:fldCharType="begin"/>
      </w:r>
      <w:r w:rsidR="00436D03" w:rsidRPr="008A1DB4">
        <w:rPr>
          <w:spacing w:val="-2"/>
          <w:lang w:val="en-US"/>
        </w:rPr>
        <w:instrText xml:space="preserve"> REF _Ref417307041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223</w:t>
      </w:r>
      <w:r w:rsidR="00803862" w:rsidRPr="008A1DB4">
        <w:rPr>
          <w:spacing w:val="-2"/>
          <w:lang w:val="en-US"/>
        </w:rPr>
        <w:fldChar w:fldCharType="end"/>
      </w:r>
      <w:r w:rsidR="00436D03" w:rsidRPr="008A1DB4">
        <w:rPr>
          <w:spacing w:val="-2"/>
          <w:lang w:val="en-US"/>
        </w:rPr>
        <w:t>)</w:t>
      </w:r>
    </w:p>
    <w:p w14:paraId="14315D43" w14:textId="77777777" w:rsidR="00B16E52" w:rsidRPr="008A1DB4" w:rsidRDefault="00B16E52" w:rsidP="00956E97">
      <w:pPr>
        <w:pStyle w:val="ListParagraph"/>
        <w:tabs>
          <w:tab w:val="left" w:pos="284"/>
          <w:tab w:val="left" w:pos="567"/>
        </w:tabs>
        <w:ind w:left="0"/>
        <w:rPr>
          <w:spacing w:val="-2"/>
          <w:lang w:val="en-US"/>
        </w:rPr>
      </w:pPr>
    </w:p>
    <w:p w14:paraId="44D38E9C" w14:textId="40A57ADF" w:rsidR="00EA679A" w:rsidRPr="008A1DB4" w:rsidRDefault="00893DA0" w:rsidP="00956E97">
      <w:pPr>
        <w:pStyle w:val="PrrafodeSentencia"/>
        <w:rPr>
          <w:rFonts w:cs="ArialNarrow"/>
          <w:b/>
          <w:spacing w:val="-2"/>
          <w:lang w:val="en-US"/>
        </w:rPr>
      </w:pPr>
      <w:r w:rsidRPr="008A1DB4">
        <w:rPr>
          <w:spacing w:val="-2"/>
          <w:lang w:val="en-US"/>
        </w:rPr>
        <w:t>The</w:t>
      </w:r>
      <w:r w:rsidR="00C45946" w:rsidRPr="008A1DB4">
        <w:rPr>
          <w:spacing w:val="-2"/>
          <w:lang w:val="en-US"/>
        </w:rPr>
        <w:t xml:space="preserve"> representative</w:t>
      </w:r>
      <w:r w:rsidR="00B16E52" w:rsidRPr="008A1DB4">
        <w:rPr>
          <w:spacing w:val="-2"/>
          <w:lang w:val="en-US"/>
        </w:rPr>
        <w:t xml:space="preserve"> </w:t>
      </w:r>
      <w:r w:rsidRPr="008A1DB4">
        <w:rPr>
          <w:spacing w:val="-2"/>
          <w:lang w:val="en-US"/>
        </w:rPr>
        <w:t>also argued that th</w:t>
      </w:r>
      <w:r w:rsidR="00C60E55">
        <w:rPr>
          <w:spacing w:val="-2"/>
          <w:lang w:val="en-US"/>
        </w:rPr>
        <w:t>e assurances provided by China we</w:t>
      </w:r>
      <w:r w:rsidRPr="008A1DB4">
        <w:rPr>
          <w:spacing w:val="-2"/>
          <w:lang w:val="en-US"/>
        </w:rPr>
        <w:t xml:space="preserve">re not reliable, because in three other cases where, presumably, </w:t>
      </w:r>
      <w:r w:rsidR="002D1CFC" w:rsidRPr="008A1DB4">
        <w:rPr>
          <w:spacing w:val="-2"/>
          <w:lang w:val="en-US"/>
        </w:rPr>
        <w:t xml:space="preserve">the </w:t>
      </w:r>
      <w:r w:rsidRPr="008A1DB4">
        <w:rPr>
          <w:spacing w:val="-2"/>
          <w:lang w:val="en-US"/>
        </w:rPr>
        <w:t xml:space="preserve">Chinese </w:t>
      </w:r>
      <w:r w:rsidR="002D1CFC" w:rsidRPr="008A1DB4">
        <w:rPr>
          <w:spacing w:val="-2"/>
          <w:lang w:val="en-US"/>
        </w:rPr>
        <w:t>Government</w:t>
      </w:r>
      <w:r w:rsidR="00A41435" w:rsidRPr="008A1DB4">
        <w:rPr>
          <w:spacing w:val="-2"/>
          <w:lang w:val="en-US"/>
        </w:rPr>
        <w:t xml:space="preserve"> </w:t>
      </w:r>
      <w:r w:rsidR="00C60E55">
        <w:rPr>
          <w:spacing w:val="-2"/>
          <w:lang w:val="en-US"/>
        </w:rPr>
        <w:t>had provided assurances, these</w:t>
      </w:r>
      <w:r w:rsidRPr="008A1DB4">
        <w:rPr>
          <w:spacing w:val="-2"/>
          <w:lang w:val="en-US"/>
        </w:rPr>
        <w:t xml:space="preserve"> had not been fulfilled.</w:t>
      </w:r>
      <w:r w:rsidR="00B16E52" w:rsidRPr="008A1DB4">
        <w:rPr>
          <w:rStyle w:val="FootnoteReference"/>
          <w:rFonts w:cs="ArialNarrow"/>
          <w:spacing w:val="-2"/>
          <w:lang w:val="en-US"/>
        </w:rPr>
        <w:footnoteReference w:id="261"/>
      </w:r>
      <w:r w:rsidRPr="008A1DB4">
        <w:rPr>
          <w:rFonts w:cs="ArialNarrow"/>
          <w:spacing w:val="-2"/>
          <w:lang w:val="en-US"/>
        </w:rPr>
        <w:t xml:space="preserve"> In this regard, the Court notes that</w:t>
      </w:r>
      <w:r w:rsidR="00B16E52" w:rsidRPr="008A1DB4">
        <w:rPr>
          <w:rFonts w:cs="ArialNarrow"/>
          <w:spacing w:val="-2"/>
          <w:lang w:val="en-US"/>
        </w:rPr>
        <w:t xml:space="preserve"> </w:t>
      </w:r>
      <w:r w:rsidR="00C45946" w:rsidRPr="008A1DB4">
        <w:rPr>
          <w:rFonts w:cs="ArialNarrow"/>
          <w:spacing w:val="-2"/>
          <w:lang w:val="en-US"/>
        </w:rPr>
        <w:t>the representative</w:t>
      </w:r>
      <w:r w:rsidR="00B16E52" w:rsidRPr="008A1DB4">
        <w:rPr>
          <w:rFonts w:cs="ArialNarrow"/>
          <w:spacing w:val="-2"/>
          <w:lang w:val="en-US"/>
        </w:rPr>
        <w:t xml:space="preserve"> </w:t>
      </w:r>
      <w:r w:rsidRPr="008A1DB4">
        <w:rPr>
          <w:rFonts w:cs="ArialNarrow"/>
          <w:spacing w:val="-2"/>
          <w:lang w:val="en-US"/>
        </w:rPr>
        <w:lastRenderedPageBreak/>
        <w:t xml:space="preserve">did not provide any evidence for this affirmation. In addition, the representative’s arguments refer to the presumed risk of the application of the death penalty, which, as the Court has reiterated, was eliminated with </w:t>
      </w:r>
      <w:r w:rsidR="00AB4E6D" w:rsidRPr="008A1DB4">
        <w:rPr>
          <w:rFonts w:cs="ArialNarrow"/>
          <w:spacing w:val="-2"/>
          <w:lang w:val="en-US"/>
        </w:rPr>
        <w:t>the eighth amendment</w:t>
      </w:r>
      <w:r w:rsidR="00B16E52" w:rsidRPr="008A1DB4">
        <w:rPr>
          <w:rFonts w:cs="ArialNarrow"/>
          <w:spacing w:val="-2"/>
          <w:lang w:val="en-US"/>
        </w:rPr>
        <w:t xml:space="preserve"> </w:t>
      </w:r>
      <w:r w:rsidRPr="008A1DB4">
        <w:rPr>
          <w:rFonts w:cs="ArialNarrow"/>
          <w:spacing w:val="-2"/>
          <w:lang w:val="en-US"/>
        </w:rPr>
        <w:t xml:space="preserve">to the </w:t>
      </w:r>
      <w:r w:rsidR="00087CF8" w:rsidRPr="008A1DB4">
        <w:rPr>
          <w:rFonts w:cs="ArialNarrow"/>
          <w:spacing w:val="-2"/>
          <w:lang w:val="en-US"/>
        </w:rPr>
        <w:t>Chinese Criminal Code</w:t>
      </w:r>
      <w:r w:rsidR="00B16E52" w:rsidRPr="008A1DB4">
        <w:rPr>
          <w:rFonts w:cs="ArialNarrow"/>
          <w:spacing w:val="-2"/>
          <w:lang w:val="en-US"/>
        </w:rPr>
        <w:t xml:space="preserve"> (</w:t>
      </w:r>
      <w:r w:rsidR="00B16E52" w:rsidRPr="008A1DB4">
        <w:rPr>
          <w:rFonts w:cs="ArialNarrow"/>
          <w:i/>
          <w:spacing w:val="-2"/>
          <w:lang w:val="en-US"/>
        </w:rPr>
        <w:t>supra</w:t>
      </w:r>
      <w:r w:rsidR="00B16E52" w:rsidRPr="008A1DB4">
        <w:rPr>
          <w:rFonts w:cs="ArialNarrow"/>
          <w:spacing w:val="-2"/>
          <w:lang w:val="en-US"/>
        </w:rPr>
        <w:t xml:space="preserve"> </w:t>
      </w:r>
      <w:r w:rsidR="00C45946" w:rsidRPr="008A1DB4">
        <w:rPr>
          <w:rFonts w:cs="ArialNarrow"/>
          <w:spacing w:val="-2"/>
          <w:lang w:val="en-US"/>
        </w:rPr>
        <w:t xml:space="preserve">para. </w:t>
      </w:r>
      <w:r w:rsidR="00A41435" w:rsidRPr="008A1DB4">
        <w:rPr>
          <w:rFonts w:cs="ArialNarrow"/>
          <w:spacing w:val="-2"/>
          <w:lang w:val="en-US"/>
        </w:rPr>
        <w:fldChar w:fldCharType="begin"/>
      </w:r>
      <w:r w:rsidR="00A41435" w:rsidRPr="008A1DB4">
        <w:rPr>
          <w:rFonts w:cs="ArialNarrow"/>
          <w:spacing w:val="-2"/>
          <w:lang w:val="en-US"/>
        </w:rPr>
        <w:instrText xml:space="preserve"> REF _Ref418863070 \r \h </w:instrText>
      </w:r>
      <w:r w:rsidR="00DC41F4" w:rsidRPr="008A1DB4">
        <w:rPr>
          <w:rFonts w:cs="ArialNarrow"/>
          <w:spacing w:val="-2"/>
          <w:lang w:val="en-US"/>
        </w:rPr>
        <w:instrText xml:space="preserve"> \* MERGEFORMAT </w:instrText>
      </w:r>
      <w:r w:rsidR="00A41435" w:rsidRPr="008A1DB4">
        <w:rPr>
          <w:rFonts w:cs="ArialNarrow"/>
          <w:spacing w:val="-2"/>
          <w:lang w:val="en-US"/>
        </w:rPr>
      </w:r>
      <w:r w:rsidR="00A41435" w:rsidRPr="008A1DB4">
        <w:rPr>
          <w:rFonts w:cs="ArialNarrow"/>
          <w:spacing w:val="-2"/>
          <w:lang w:val="en-US"/>
        </w:rPr>
        <w:fldChar w:fldCharType="separate"/>
      </w:r>
      <w:r w:rsidR="00E961FA" w:rsidRPr="008A1DB4">
        <w:rPr>
          <w:rFonts w:cs="ArialNarrow"/>
          <w:spacing w:val="-2"/>
          <w:lang w:val="en-US"/>
        </w:rPr>
        <w:t>151</w:t>
      </w:r>
      <w:r w:rsidR="00A41435" w:rsidRPr="008A1DB4">
        <w:rPr>
          <w:rFonts w:cs="ArialNarrow"/>
          <w:spacing w:val="-2"/>
          <w:lang w:val="en-US"/>
        </w:rPr>
        <w:fldChar w:fldCharType="end"/>
      </w:r>
      <w:r w:rsidR="00B16E52" w:rsidRPr="008A1DB4">
        <w:rPr>
          <w:rFonts w:cs="ArialNarrow"/>
          <w:spacing w:val="-2"/>
          <w:lang w:val="en-US"/>
        </w:rPr>
        <w:t xml:space="preserve">). </w:t>
      </w:r>
      <w:r w:rsidRPr="008A1DB4">
        <w:rPr>
          <w:rFonts w:cs="ArialNarrow"/>
          <w:spacing w:val="-2"/>
          <w:lang w:val="en-US"/>
        </w:rPr>
        <w:t>The</w:t>
      </w:r>
      <w:r w:rsidR="00F36400" w:rsidRPr="008A1DB4">
        <w:rPr>
          <w:rFonts w:cs="ArialNarrow"/>
          <w:spacing w:val="-2"/>
          <w:lang w:val="en-US"/>
        </w:rPr>
        <w:t xml:space="preserve"> Commission</w:t>
      </w:r>
      <w:r w:rsidR="00837BA0" w:rsidRPr="008A1DB4">
        <w:rPr>
          <w:rFonts w:cs="ArialNarrow"/>
          <w:spacing w:val="-2"/>
          <w:lang w:val="en-US"/>
        </w:rPr>
        <w:t xml:space="preserve"> a</w:t>
      </w:r>
      <w:r w:rsidRPr="008A1DB4">
        <w:rPr>
          <w:rFonts w:cs="ArialNarrow"/>
          <w:spacing w:val="-2"/>
          <w:lang w:val="en-US"/>
        </w:rPr>
        <w:t xml:space="preserve">rgued that there are no judicial mechanisms to implement the said assurances. However, the Court takes note of the opinion of </w:t>
      </w:r>
      <w:r w:rsidR="00127339" w:rsidRPr="008A1DB4">
        <w:rPr>
          <w:rFonts w:cs="ArialNarrow"/>
          <w:spacing w:val="-2"/>
          <w:lang w:val="en-US"/>
        </w:rPr>
        <w:t>expert witness</w:t>
      </w:r>
      <w:r w:rsidR="00B16E52" w:rsidRPr="008A1DB4">
        <w:rPr>
          <w:rFonts w:cs="ArialNarrow"/>
          <w:spacing w:val="-2"/>
          <w:lang w:val="en-US"/>
        </w:rPr>
        <w:t xml:space="preserve"> </w:t>
      </w:r>
      <w:proofErr w:type="spellStart"/>
      <w:r w:rsidR="00B16E52" w:rsidRPr="008A1DB4">
        <w:rPr>
          <w:rFonts w:cs="ArialNarrow"/>
          <w:spacing w:val="-2"/>
          <w:lang w:val="en-US"/>
        </w:rPr>
        <w:t>Ang</w:t>
      </w:r>
      <w:proofErr w:type="spellEnd"/>
      <w:r w:rsidR="00B16E52" w:rsidRPr="008A1DB4">
        <w:rPr>
          <w:rFonts w:cs="ArialNarrow"/>
          <w:spacing w:val="-2"/>
          <w:lang w:val="en-US"/>
        </w:rPr>
        <w:t xml:space="preserve"> Sun, </w:t>
      </w:r>
      <w:r w:rsidRPr="008A1DB4">
        <w:rPr>
          <w:rFonts w:cs="ArialNarrow"/>
          <w:spacing w:val="-2"/>
          <w:lang w:val="en-US"/>
        </w:rPr>
        <w:t>according to which</w:t>
      </w:r>
      <w:r w:rsidR="008C2CD9">
        <w:rPr>
          <w:rFonts w:cs="ArialNarrow"/>
          <w:spacing w:val="-2"/>
          <w:lang w:val="en-US"/>
        </w:rPr>
        <w:t>,</w:t>
      </w:r>
      <w:r w:rsidRPr="008A1DB4">
        <w:rPr>
          <w:rFonts w:cs="ArialNarrow"/>
          <w:spacing w:val="-2"/>
          <w:lang w:val="en-US"/>
        </w:rPr>
        <w:t xml:space="preserve"> “following the offer of </w:t>
      </w:r>
      <w:r w:rsidR="00945E57" w:rsidRPr="008A1DB4">
        <w:rPr>
          <w:rFonts w:cs="ArialNarrow"/>
          <w:spacing w:val="-2"/>
          <w:lang w:val="en-US"/>
        </w:rPr>
        <w:t>diplomatic assurances</w:t>
      </w:r>
      <w:r w:rsidRPr="008A1DB4">
        <w:rPr>
          <w:rFonts w:cs="ArialNarrow"/>
          <w:spacing w:val="-2"/>
          <w:lang w:val="en-US"/>
        </w:rPr>
        <w:t xml:space="preserve"> by</w:t>
      </w:r>
      <w:r w:rsidR="00B16E52" w:rsidRPr="008A1DB4">
        <w:rPr>
          <w:rFonts w:cs="ArialNarrow"/>
          <w:spacing w:val="-2"/>
          <w:lang w:val="en-US"/>
        </w:rPr>
        <w:t xml:space="preserve"> </w:t>
      </w:r>
      <w:r w:rsidR="002D1CFC" w:rsidRPr="008A1DB4">
        <w:rPr>
          <w:rFonts w:cs="ArialNarrow"/>
          <w:spacing w:val="-2"/>
          <w:lang w:val="en-US"/>
        </w:rPr>
        <w:t>the Ministry of Foreign Affairs</w:t>
      </w:r>
      <w:r w:rsidRPr="008A1DB4">
        <w:rPr>
          <w:rFonts w:cs="ArialNarrow"/>
          <w:spacing w:val="-2"/>
          <w:lang w:val="en-US"/>
        </w:rPr>
        <w:t xml:space="preserve"> of</w:t>
      </w:r>
      <w:r w:rsidR="00B16E52" w:rsidRPr="008A1DB4">
        <w:rPr>
          <w:rFonts w:cs="ArialNarrow"/>
          <w:spacing w:val="-2"/>
          <w:lang w:val="en-US"/>
        </w:rPr>
        <w:t xml:space="preserve"> China, </w:t>
      </w:r>
      <w:r w:rsidRPr="008A1DB4">
        <w:rPr>
          <w:rFonts w:cs="ArialNarrow"/>
          <w:spacing w:val="-2"/>
          <w:lang w:val="en-US"/>
        </w:rPr>
        <w:t>such assurances are binding for all Chinese courts," pursuant to a</w:t>
      </w:r>
      <w:r w:rsidR="00F36400" w:rsidRPr="008A1DB4">
        <w:rPr>
          <w:rFonts w:cs="ArialNarrow"/>
          <w:spacing w:val="-2"/>
          <w:lang w:val="en-US"/>
        </w:rPr>
        <w:t>rticle</w:t>
      </w:r>
      <w:r w:rsidR="00B16E52" w:rsidRPr="008A1DB4">
        <w:rPr>
          <w:rFonts w:cs="ArialNarrow"/>
          <w:spacing w:val="-2"/>
          <w:lang w:val="en-US"/>
        </w:rPr>
        <w:t xml:space="preserve"> 50 </w:t>
      </w:r>
      <w:r w:rsidRPr="008A1DB4">
        <w:rPr>
          <w:rFonts w:cs="ArialNarrow"/>
          <w:spacing w:val="-2"/>
          <w:lang w:val="en-US"/>
        </w:rPr>
        <w:t>of the Chinese Extradition Law.</w:t>
      </w:r>
      <w:r w:rsidR="00B16E52" w:rsidRPr="008A1DB4">
        <w:rPr>
          <w:rStyle w:val="FootnoteReference"/>
          <w:rFonts w:cs="ArialNarrow"/>
          <w:spacing w:val="-2"/>
          <w:lang w:val="en-US"/>
        </w:rPr>
        <w:footnoteReference w:id="262"/>
      </w:r>
      <w:r w:rsidR="00B16E52" w:rsidRPr="008A1DB4">
        <w:rPr>
          <w:rFonts w:cs="ArialNarrow"/>
          <w:spacing w:val="-2"/>
          <w:lang w:val="en-US"/>
        </w:rPr>
        <w:t xml:space="preserve"> </w:t>
      </w:r>
      <w:r w:rsidR="00F36400" w:rsidRPr="008A1DB4">
        <w:rPr>
          <w:spacing w:val="-2"/>
          <w:lang w:val="en-US"/>
        </w:rPr>
        <w:t>This Court</w:t>
      </w:r>
      <w:r w:rsidR="00437A32" w:rsidRPr="008A1DB4">
        <w:rPr>
          <w:spacing w:val="-2"/>
          <w:lang w:val="en-US"/>
        </w:rPr>
        <w:t xml:space="preserve"> consider</w:t>
      </w:r>
      <w:r w:rsidRPr="008A1DB4">
        <w:rPr>
          <w:spacing w:val="-2"/>
          <w:lang w:val="en-US"/>
        </w:rPr>
        <w:t>s that, in the particular circumstances of this case, the assurances and the monitoring mechanisms offered are sufficient.</w:t>
      </w:r>
    </w:p>
    <w:p w14:paraId="0312C427" w14:textId="77777777" w:rsidR="00013F50" w:rsidRPr="008A1DB4" w:rsidRDefault="00013F50" w:rsidP="00956E97">
      <w:pPr>
        <w:pStyle w:val="PrrafodeSentencia"/>
        <w:numPr>
          <w:ilvl w:val="0"/>
          <w:numId w:val="0"/>
        </w:numPr>
        <w:rPr>
          <w:spacing w:val="-2"/>
          <w:lang w:val="en-US"/>
        </w:rPr>
      </w:pPr>
    </w:p>
    <w:p w14:paraId="01FBB89B" w14:textId="79B90FB4" w:rsidR="00EA679A" w:rsidRPr="008A1DB4" w:rsidRDefault="00B16E52" w:rsidP="00956E97">
      <w:pPr>
        <w:pStyle w:val="Heading2"/>
        <w:ind w:left="1440" w:firstLine="0"/>
        <w:rPr>
          <w:spacing w:val="-2"/>
          <w:lang w:val="en-US"/>
        </w:rPr>
      </w:pPr>
      <w:bookmarkStart w:id="762" w:name="_Toc418912620"/>
      <w:bookmarkStart w:id="763" w:name="_Toc419394408"/>
      <w:bookmarkStart w:id="764" w:name="_Toc429490273"/>
      <w:bookmarkStart w:id="765" w:name="_Toc429503787"/>
      <w:bookmarkStart w:id="766" w:name="_Toc429504293"/>
      <w:bookmarkStart w:id="767" w:name="_Toc429678006"/>
      <w:bookmarkStart w:id="768" w:name="_Toc430017169"/>
      <w:bookmarkStart w:id="769" w:name="_Toc430017398"/>
      <w:bookmarkStart w:id="770" w:name="_Toc430018680"/>
      <w:bookmarkStart w:id="771" w:name="_Toc430125278"/>
      <w:bookmarkStart w:id="772" w:name="_Toc430125386"/>
      <w:r w:rsidRPr="008A1DB4">
        <w:rPr>
          <w:spacing w:val="-2"/>
          <w:lang w:val="en-US"/>
        </w:rPr>
        <w:t>B.</w:t>
      </w:r>
      <w:r w:rsidR="009A628B" w:rsidRPr="008A1DB4">
        <w:rPr>
          <w:spacing w:val="-2"/>
          <w:lang w:val="en-US"/>
        </w:rPr>
        <w:t>5</w:t>
      </w:r>
      <w:r w:rsidRPr="008A1DB4">
        <w:rPr>
          <w:spacing w:val="-2"/>
          <w:lang w:val="en-US"/>
        </w:rPr>
        <w:t xml:space="preserve">) </w:t>
      </w:r>
      <w:r w:rsidR="00893DA0" w:rsidRPr="008A1DB4">
        <w:rPr>
          <w:spacing w:val="-2"/>
          <w:lang w:val="en-US"/>
        </w:rPr>
        <w:t>General conclusion on the alleged risk of violation of the</w:t>
      </w:r>
      <w:r w:rsidR="00EA679A" w:rsidRPr="008A1DB4">
        <w:rPr>
          <w:spacing w:val="-2"/>
          <w:lang w:val="en-US"/>
        </w:rPr>
        <w:t xml:space="preserve"> </w:t>
      </w:r>
      <w:r w:rsidR="00775124" w:rsidRPr="008A1DB4">
        <w:rPr>
          <w:spacing w:val="-2"/>
          <w:lang w:val="en-US"/>
        </w:rPr>
        <w:t>right</w:t>
      </w:r>
      <w:r w:rsidR="00012D98" w:rsidRPr="008A1DB4">
        <w:rPr>
          <w:spacing w:val="-2"/>
          <w:lang w:val="en-US"/>
        </w:rPr>
        <w:t>s</w:t>
      </w:r>
      <w:r w:rsidR="00775124" w:rsidRPr="008A1DB4">
        <w:rPr>
          <w:spacing w:val="-2"/>
          <w:lang w:val="en-US"/>
        </w:rPr>
        <w:t xml:space="preserve"> to life</w:t>
      </w:r>
      <w:r w:rsidR="00F36400" w:rsidRPr="008A1DB4">
        <w:rPr>
          <w:spacing w:val="-2"/>
          <w:lang w:val="en-US"/>
        </w:rPr>
        <w:t xml:space="preserve"> and </w:t>
      </w:r>
      <w:r w:rsidR="00776D24" w:rsidRPr="008A1DB4">
        <w:rPr>
          <w:spacing w:val="-2"/>
          <w:lang w:val="en-US"/>
        </w:rPr>
        <w:t>personal integrity</w:t>
      </w:r>
      <w:r w:rsidR="00EA679A" w:rsidRPr="008A1DB4">
        <w:rPr>
          <w:spacing w:val="-2"/>
          <w:lang w:val="en-US"/>
        </w:rPr>
        <w:t xml:space="preserve"> </w:t>
      </w:r>
      <w:r w:rsidR="00B43F84" w:rsidRPr="008A1DB4">
        <w:rPr>
          <w:spacing w:val="-2"/>
          <w:lang w:val="en-US"/>
        </w:rPr>
        <w:t>of Wong</w:t>
      </w:r>
      <w:r w:rsidR="00EA679A" w:rsidRPr="008A1DB4">
        <w:rPr>
          <w:spacing w:val="-2"/>
          <w:lang w:val="en-US"/>
        </w:rPr>
        <w:t xml:space="preserve"> Ho Wing </w:t>
      </w:r>
      <w:r w:rsidR="00893DA0" w:rsidRPr="008A1DB4">
        <w:rPr>
          <w:spacing w:val="-2"/>
          <w:lang w:val="en-US"/>
        </w:rPr>
        <w:t>if he is extradited</w:t>
      </w:r>
      <w:bookmarkEnd w:id="762"/>
      <w:bookmarkEnd w:id="763"/>
      <w:bookmarkEnd w:id="764"/>
      <w:bookmarkEnd w:id="765"/>
      <w:bookmarkEnd w:id="766"/>
      <w:bookmarkEnd w:id="767"/>
      <w:bookmarkEnd w:id="768"/>
      <w:bookmarkEnd w:id="769"/>
      <w:bookmarkEnd w:id="770"/>
      <w:bookmarkEnd w:id="771"/>
      <w:bookmarkEnd w:id="772"/>
    </w:p>
    <w:p w14:paraId="30E5BAC6" w14:textId="77777777" w:rsidR="00EA679A" w:rsidRPr="008A1DB4" w:rsidRDefault="00EA679A" w:rsidP="00956E97">
      <w:pPr>
        <w:rPr>
          <w:spacing w:val="-2"/>
          <w:lang w:val="en-US"/>
        </w:rPr>
      </w:pPr>
    </w:p>
    <w:p w14:paraId="783B0BB3" w14:textId="4B3E4470" w:rsidR="00E97730" w:rsidRPr="008A1DB4" w:rsidRDefault="00214593" w:rsidP="00956E97">
      <w:pPr>
        <w:pStyle w:val="PrrafodeSentencia"/>
        <w:rPr>
          <w:rFonts w:cs="ArialNarrow"/>
          <w:b/>
          <w:spacing w:val="-2"/>
          <w:lang w:val="en-US"/>
        </w:rPr>
      </w:pPr>
      <w:bookmarkStart w:id="773" w:name="_Ref419395420"/>
      <w:r w:rsidRPr="008A1DB4">
        <w:rPr>
          <w:spacing w:val="-2"/>
          <w:lang w:val="en-US"/>
        </w:rPr>
        <w:t xml:space="preserve">Based on all the preceding conclusions, the Court finds that, at the present time, it would not be legally possible to impose </w:t>
      </w:r>
      <w:r w:rsidR="00BB44A4" w:rsidRPr="008A1DB4">
        <w:rPr>
          <w:spacing w:val="-2"/>
          <w:lang w:val="en-US"/>
        </w:rPr>
        <w:t xml:space="preserve">the </w:t>
      </w:r>
      <w:r w:rsidR="00A3310A" w:rsidRPr="008A1DB4">
        <w:rPr>
          <w:spacing w:val="-2"/>
          <w:lang w:val="en-US"/>
        </w:rPr>
        <w:t>death penalty</w:t>
      </w:r>
      <w:r w:rsidR="00243661" w:rsidRPr="008A1DB4">
        <w:rPr>
          <w:spacing w:val="-2"/>
          <w:lang w:val="en-US"/>
        </w:rPr>
        <w:t xml:space="preserve"> </w:t>
      </w:r>
      <w:r w:rsidRPr="008A1DB4">
        <w:rPr>
          <w:spacing w:val="-2"/>
          <w:lang w:val="en-US"/>
        </w:rPr>
        <w:t xml:space="preserve">for the offense of </w:t>
      </w:r>
      <w:r w:rsidR="00127339" w:rsidRPr="008A1DB4">
        <w:rPr>
          <w:spacing w:val="-2"/>
          <w:lang w:val="en-US"/>
        </w:rPr>
        <w:t>smuggling ordinary merchandise</w:t>
      </w:r>
      <w:r w:rsidR="00243661" w:rsidRPr="008A1DB4">
        <w:rPr>
          <w:spacing w:val="-2"/>
          <w:lang w:val="en-US"/>
        </w:rPr>
        <w:t xml:space="preserve">, </w:t>
      </w:r>
      <w:r w:rsidRPr="008A1DB4">
        <w:rPr>
          <w:spacing w:val="-2"/>
          <w:lang w:val="en-US"/>
        </w:rPr>
        <w:t>for which the extradition</w:t>
      </w:r>
      <w:r w:rsidR="00671241" w:rsidRPr="008A1DB4">
        <w:rPr>
          <w:spacing w:val="-2"/>
          <w:lang w:val="en-US"/>
        </w:rPr>
        <w:t xml:space="preserve"> </w:t>
      </w:r>
      <w:r w:rsidR="00B43F84" w:rsidRPr="008A1DB4">
        <w:rPr>
          <w:spacing w:val="-2"/>
          <w:lang w:val="en-US"/>
        </w:rPr>
        <w:t>of Wong</w:t>
      </w:r>
      <w:r w:rsidR="00671241" w:rsidRPr="008A1DB4">
        <w:rPr>
          <w:spacing w:val="-2"/>
          <w:lang w:val="en-US"/>
        </w:rPr>
        <w:t xml:space="preserve"> Ho Wing </w:t>
      </w:r>
      <w:r w:rsidRPr="008A1DB4">
        <w:rPr>
          <w:spacing w:val="-2"/>
          <w:lang w:val="en-US"/>
        </w:rPr>
        <w:t xml:space="preserve">has been requested. In addition, it has not </w:t>
      </w:r>
      <w:r w:rsidR="0079515C" w:rsidRPr="008A1DB4">
        <w:rPr>
          <w:spacing w:val="-2"/>
          <w:lang w:val="en-US"/>
        </w:rPr>
        <w:t>been</w:t>
      </w:r>
      <w:r w:rsidRPr="008A1DB4">
        <w:rPr>
          <w:spacing w:val="-2"/>
          <w:lang w:val="en-US"/>
        </w:rPr>
        <w:t xml:space="preserve"> proved</w:t>
      </w:r>
      <w:r w:rsidR="008C2CD9">
        <w:rPr>
          <w:spacing w:val="-2"/>
          <w:lang w:val="en-US"/>
        </w:rPr>
        <w:t xml:space="preserve"> that the extradition of Wong Ho</w:t>
      </w:r>
      <w:r w:rsidRPr="008A1DB4">
        <w:rPr>
          <w:spacing w:val="-2"/>
          <w:lang w:val="en-US"/>
        </w:rPr>
        <w:t xml:space="preserve"> Wing would expose him to a </w:t>
      </w:r>
      <w:r w:rsidR="00030FA9" w:rsidRPr="008A1DB4">
        <w:rPr>
          <w:spacing w:val="-2"/>
          <w:lang w:val="en-US"/>
        </w:rPr>
        <w:t>real, foreseeable and personal risk</w:t>
      </w:r>
      <w:r w:rsidR="004E72F8" w:rsidRPr="008A1DB4">
        <w:rPr>
          <w:spacing w:val="-2"/>
          <w:lang w:val="en-US"/>
        </w:rPr>
        <w:t xml:space="preserve"> </w:t>
      </w:r>
      <w:r w:rsidRPr="008A1DB4">
        <w:rPr>
          <w:spacing w:val="-2"/>
          <w:lang w:val="en-US"/>
        </w:rPr>
        <w:t>of being subje</w:t>
      </w:r>
      <w:r w:rsidR="00196CB7">
        <w:rPr>
          <w:spacing w:val="-2"/>
          <w:lang w:val="en-US"/>
        </w:rPr>
        <w:t>ct</w:t>
      </w:r>
      <w:r w:rsidRPr="008A1DB4">
        <w:rPr>
          <w:spacing w:val="-2"/>
          <w:lang w:val="en-US"/>
        </w:rPr>
        <w:t xml:space="preserve"> to </w:t>
      </w:r>
      <w:r w:rsidR="00030FA9" w:rsidRPr="008A1DB4">
        <w:rPr>
          <w:spacing w:val="-2"/>
          <w:lang w:val="en-US"/>
        </w:rPr>
        <w:t>treatment contrary to the prohibition of</w:t>
      </w:r>
      <w:r w:rsidR="00E97730" w:rsidRPr="008A1DB4">
        <w:rPr>
          <w:spacing w:val="-2"/>
          <w:lang w:val="en-US"/>
        </w:rPr>
        <w:t xml:space="preserve"> </w:t>
      </w:r>
      <w:r w:rsidR="00945E57" w:rsidRPr="008A1DB4">
        <w:rPr>
          <w:spacing w:val="-2"/>
          <w:lang w:val="en-US"/>
        </w:rPr>
        <w:t>torture or</w:t>
      </w:r>
      <w:r w:rsidR="0079515C">
        <w:rPr>
          <w:spacing w:val="-2"/>
          <w:lang w:val="en-US"/>
        </w:rPr>
        <w:t xml:space="preserve"> other</w:t>
      </w:r>
      <w:r w:rsidR="00E97730" w:rsidRPr="008A1DB4">
        <w:rPr>
          <w:spacing w:val="-2"/>
          <w:lang w:val="en-US"/>
        </w:rPr>
        <w:t xml:space="preserve"> </w:t>
      </w:r>
      <w:r w:rsidR="00CC6F1B" w:rsidRPr="008A1DB4">
        <w:rPr>
          <w:spacing w:val="-2"/>
          <w:lang w:val="en-US"/>
        </w:rPr>
        <w:t>cruel, inhuman or degrading treatment</w:t>
      </w:r>
      <w:r w:rsidR="00E97730" w:rsidRPr="008A1DB4">
        <w:rPr>
          <w:spacing w:val="-2"/>
          <w:lang w:val="en-US"/>
        </w:rPr>
        <w:t>.</w:t>
      </w:r>
      <w:bookmarkEnd w:id="773"/>
      <w:r w:rsidR="00E97730" w:rsidRPr="008A1DB4">
        <w:rPr>
          <w:spacing w:val="-2"/>
          <w:lang w:val="en-US"/>
        </w:rPr>
        <w:t xml:space="preserve"> </w:t>
      </w:r>
    </w:p>
    <w:p w14:paraId="0C3CB90F" w14:textId="77777777" w:rsidR="004E72F8" w:rsidRPr="008A1DB4" w:rsidRDefault="004E72F8" w:rsidP="00956E97">
      <w:pPr>
        <w:pStyle w:val="PrrafodeSentencia"/>
        <w:numPr>
          <w:ilvl w:val="0"/>
          <w:numId w:val="0"/>
        </w:numPr>
        <w:rPr>
          <w:spacing w:val="-2"/>
          <w:lang w:val="en-US"/>
        </w:rPr>
      </w:pPr>
    </w:p>
    <w:p w14:paraId="10941EA3" w14:textId="5FA75DBF" w:rsidR="009C632B" w:rsidRPr="008A1DB4" w:rsidRDefault="00214593" w:rsidP="00956E97">
      <w:pPr>
        <w:pStyle w:val="PrrafodeSentencia"/>
        <w:rPr>
          <w:rFonts w:cs="ArialNarrow"/>
          <w:b/>
          <w:spacing w:val="-2"/>
          <w:lang w:val="en-US"/>
        </w:rPr>
      </w:pPr>
      <w:bookmarkStart w:id="774" w:name="_Ref419391696"/>
      <w:r w:rsidRPr="008A1DB4">
        <w:rPr>
          <w:spacing w:val="-2"/>
          <w:lang w:val="en-US"/>
        </w:rPr>
        <w:t>Therefore, the Court concludes that, if Wong Ho Wing is extradited in the current circumstances</w:t>
      </w:r>
      <w:r w:rsidR="008C2CD9">
        <w:rPr>
          <w:spacing w:val="-2"/>
          <w:lang w:val="en-US"/>
        </w:rPr>
        <w:t>,</w:t>
      </w:r>
      <w:r w:rsidRPr="008A1DB4">
        <w:rPr>
          <w:spacing w:val="-2"/>
          <w:lang w:val="en-US"/>
        </w:rPr>
        <w:t xml:space="preserve"> the State would not be responsible for violating its obligation to ensure his right</w:t>
      </w:r>
      <w:r w:rsidR="008C2CD9">
        <w:rPr>
          <w:spacing w:val="-2"/>
          <w:lang w:val="en-US"/>
        </w:rPr>
        <w:t>s</w:t>
      </w:r>
      <w:r w:rsidRPr="008A1DB4">
        <w:rPr>
          <w:spacing w:val="-2"/>
          <w:lang w:val="en-US"/>
        </w:rPr>
        <w:t xml:space="preserve"> to life and </w:t>
      </w:r>
      <w:r w:rsidR="008C2CD9">
        <w:rPr>
          <w:spacing w:val="-2"/>
          <w:lang w:val="en-US"/>
        </w:rPr>
        <w:t xml:space="preserve">to </w:t>
      </w:r>
      <w:r w:rsidR="00776D24" w:rsidRPr="008A1DB4">
        <w:rPr>
          <w:spacing w:val="-2"/>
          <w:lang w:val="en-US"/>
        </w:rPr>
        <w:t>personal integrity</w:t>
      </w:r>
      <w:r w:rsidRPr="008A1DB4">
        <w:rPr>
          <w:spacing w:val="-2"/>
          <w:lang w:val="en-US"/>
        </w:rPr>
        <w:t xml:space="preserve"> recognized in</w:t>
      </w:r>
      <w:r w:rsidR="009C632B" w:rsidRPr="008A1DB4">
        <w:rPr>
          <w:spacing w:val="-2"/>
          <w:lang w:val="en-US"/>
        </w:rPr>
        <w:t xml:space="preserve"> </w:t>
      </w:r>
      <w:r w:rsidR="00F36400" w:rsidRPr="008A1DB4">
        <w:rPr>
          <w:spacing w:val="-2"/>
          <w:lang w:val="en-US"/>
        </w:rPr>
        <w:t>Article</w:t>
      </w:r>
      <w:r w:rsidR="009C632B" w:rsidRPr="008A1DB4">
        <w:rPr>
          <w:spacing w:val="-2"/>
          <w:lang w:val="en-US"/>
        </w:rPr>
        <w:t>s 4</w:t>
      </w:r>
      <w:r w:rsidR="00F36400" w:rsidRPr="008A1DB4">
        <w:rPr>
          <w:spacing w:val="-2"/>
          <w:lang w:val="en-US"/>
        </w:rPr>
        <w:t xml:space="preserve"> and </w:t>
      </w:r>
      <w:r w:rsidR="009C632B" w:rsidRPr="008A1DB4">
        <w:rPr>
          <w:spacing w:val="-2"/>
          <w:lang w:val="en-US"/>
        </w:rPr>
        <w:t>5</w:t>
      </w:r>
      <w:r w:rsidR="00F36400" w:rsidRPr="008A1DB4">
        <w:rPr>
          <w:spacing w:val="-2"/>
          <w:lang w:val="en-US"/>
        </w:rPr>
        <w:t xml:space="preserve"> of the Convention</w:t>
      </w:r>
      <w:r w:rsidR="00030BE3" w:rsidRPr="008A1DB4">
        <w:rPr>
          <w:spacing w:val="-2"/>
          <w:lang w:val="en-US"/>
        </w:rPr>
        <w:t>,</w:t>
      </w:r>
      <w:r w:rsidR="009C632B" w:rsidRPr="008A1DB4">
        <w:rPr>
          <w:spacing w:val="-2"/>
          <w:lang w:val="en-US"/>
        </w:rPr>
        <w:t xml:space="preserve"> </w:t>
      </w:r>
      <w:r w:rsidRPr="008A1DB4">
        <w:rPr>
          <w:spacing w:val="-2"/>
          <w:lang w:val="en-US"/>
        </w:rPr>
        <w:t>in relation to</w:t>
      </w:r>
      <w:r w:rsidR="009C632B" w:rsidRPr="008A1DB4">
        <w:rPr>
          <w:spacing w:val="-2"/>
          <w:lang w:val="en-US"/>
        </w:rPr>
        <w:t xml:space="preserve"> </w:t>
      </w:r>
      <w:r w:rsidR="00F36400" w:rsidRPr="008A1DB4">
        <w:rPr>
          <w:spacing w:val="-2"/>
          <w:lang w:val="en-US"/>
        </w:rPr>
        <w:t>Article 1(1)</w:t>
      </w:r>
      <w:r w:rsidR="009C632B" w:rsidRPr="008A1DB4">
        <w:rPr>
          <w:spacing w:val="-2"/>
          <w:lang w:val="en-US"/>
        </w:rPr>
        <w:t xml:space="preserve"> </w:t>
      </w:r>
      <w:r w:rsidRPr="008A1DB4">
        <w:rPr>
          <w:spacing w:val="-2"/>
          <w:lang w:val="en-US"/>
        </w:rPr>
        <w:t xml:space="preserve">of this instrument, or the prohibition </w:t>
      </w:r>
      <w:r w:rsidR="00071662" w:rsidRPr="008A1DB4">
        <w:rPr>
          <w:spacing w:val="-2"/>
          <w:lang w:val="en-US"/>
        </w:rPr>
        <w:t>of non-</w:t>
      </w:r>
      <w:proofErr w:type="spellStart"/>
      <w:r w:rsidR="00071662" w:rsidRPr="008A1DB4">
        <w:rPr>
          <w:spacing w:val="-2"/>
          <w:lang w:val="en-US"/>
        </w:rPr>
        <w:t>refoulement</w:t>
      </w:r>
      <w:proofErr w:type="spellEnd"/>
      <w:r w:rsidR="009C632B" w:rsidRPr="008A1DB4">
        <w:rPr>
          <w:spacing w:val="-2"/>
          <w:lang w:val="en-US"/>
        </w:rPr>
        <w:t xml:space="preserve"> </w:t>
      </w:r>
      <w:r w:rsidRPr="008A1DB4">
        <w:rPr>
          <w:spacing w:val="-2"/>
          <w:lang w:val="en-US"/>
        </w:rPr>
        <w:t>established in</w:t>
      </w:r>
      <w:r w:rsidR="009C632B" w:rsidRPr="008A1DB4">
        <w:rPr>
          <w:spacing w:val="-2"/>
          <w:lang w:val="en-US"/>
        </w:rPr>
        <w:t xml:space="preserve"> </w:t>
      </w:r>
      <w:r w:rsidR="00F36400" w:rsidRPr="008A1DB4">
        <w:rPr>
          <w:spacing w:val="-2"/>
          <w:lang w:val="en-US"/>
        </w:rPr>
        <w:t>Article</w:t>
      </w:r>
      <w:r w:rsidR="009C632B" w:rsidRPr="008A1DB4">
        <w:rPr>
          <w:spacing w:val="-2"/>
          <w:lang w:val="en-US"/>
        </w:rPr>
        <w:t xml:space="preserve"> 13 (</w:t>
      </w:r>
      <w:r w:rsidR="00776D24" w:rsidRPr="008A1DB4">
        <w:rPr>
          <w:spacing w:val="-2"/>
          <w:lang w:val="en-US"/>
        </w:rPr>
        <w:t>paragraph</w:t>
      </w:r>
      <w:r w:rsidR="009C632B" w:rsidRPr="008A1DB4">
        <w:rPr>
          <w:spacing w:val="-2"/>
          <w:lang w:val="en-US"/>
        </w:rPr>
        <w:t xml:space="preserve"> 4)</w:t>
      </w:r>
      <w:r w:rsidR="00F36400" w:rsidRPr="008A1DB4">
        <w:rPr>
          <w:spacing w:val="-2"/>
          <w:lang w:val="en-US"/>
        </w:rPr>
        <w:t xml:space="preserve"> of the </w:t>
      </w:r>
      <w:r w:rsidR="00071662" w:rsidRPr="008A1DB4">
        <w:rPr>
          <w:spacing w:val="-2"/>
          <w:lang w:val="en-US"/>
        </w:rPr>
        <w:t>Inter-American Convention to Prevent and Punish Torture</w:t>
      </w:r>
      <w:r w:rsidR="009C632B" w:rsidRPr="008A1DB4">
        <w:rPr>
          <w:spacing w:val="-2"/>
          <w:lang w:val="en-US"/>
        </w:rPr>
        <w:t>.</w:t>
      </w:r>
      <w:bookmarkEnd w:id="774"/>
    </w:p>
    <w:p w14:paraId="1D6810CF" w14:textId="77777777" w:rsidR="00B03BAE" w:rsidRPr="008A1DB4" w:rsidRDefault="00B03BAE" w:rsidP="00956E97">
      <w:pPr>
        <w:rPr>
          <w:spacing w:val="-2"/>
          <w:lang w:val="en-US"/>
        </w:rPr>
      </w:pPr>
    </w:p>
    <w:p w14:paraId="3C599484" w14:textId="77777777" w:rsidR="00A32A5F" w:rsidRPr="008A1DB4" w:rsidRDefault="00A32A5F" w:rsidP="00956E97">
      <w:pPr>
        <w:pStyle w:val="Title"/>
        <w:rPr>
          <w:spacing w:val="-2"/>
          <w:lang w:val="en-US"/>
        </w:rPr>
      </w:pPr>
      <w:bookmarkStart w:id="775" w:name="_Toc429490274"/>
      <w:bookmarkStart w:id="776" w:name="_Toc429503788"/>
      <w:bookmarkStart w:id="777" w:name="_Toc429504294"/>
      <w:bookmarkStart w:id="778" w:name="_Toc429678007"/>
      <w:bookmarkStart w:id="779" w:name="_Toc430017170"/>
      <w:bookmarkStart w:id="780" w:name="_Toc430017399"/>
      <w:bookmarkStart w:id="781" w:name="_Toc430018681"/>
      <w:bookmarkStart w:id="782" w:name="_Toc430125279"/>
      <w:bookmarkStart w:id="783" w:name="_Toc430125387"/>
      <w:bookmarkStart w:id="784" w:name="_Toc418912621"/>
      <w:bookmarkStart w:id="785" w:name="_Toc419394409"/>
      <w:r w:rsidRPr="008A1DB4">
        <w:rPr>
          <w:spacing w:val="-2"/>
          <w:lang w:val="en-US"/>
        </w:rPr>
        <w:t>X</w:t>
      </w:r>
      <w:bookmarkEnd w:id="775"/>
      <w:bookmarkEnd w:id="776"/>
      <w:bookmarkEnd w:id="777"/>
      <w:bookmarkEnd w:id="778"/>
      <w:bookmarkEnd w:id="779"/>
      <w:bookmarkEnd w:id="780"/>
      <w:bookmarkEnd w:id="781"/>
      <w:bookmarkEnd w:id="782"/>
      <w:bookmarkEnd w:id="783"/>
      <w:r w:rsidR="00666CEE" w:rsidRPr="008A1DB4">
        <w:rPr>
          <w:spacing w:val="-2"/>
          <w:lang w:val="en-US"/>
        </w:rPr>
        <w:t xml:space="preserve"> </w:t>
      </w:r>
    </w:p>
    <w:p w14:paraId="53A35216" w14:textId="169449A0" w:rsidR="00B16E52" w:rsidRPr="008A1DB4" w:rsidRDefault="00214593" w:rsidP="00956E97">
      <w:pPr>
        <w:pStyle w:val="Title"/>
        <w:rPr>
          <w:spacing w:val="-2"/>
          <w:lang w:val="en-US"/>
        </w:rPr>
      </w:pPr>
      <w:bookmarkStart w:id="786" w:name="_Toc429490275"/>
      <w:bookmarkStart w:id="787" w:name="_Toc429503789"/>
      <w:bookmarkStart w:id="788" w:name="_Toc429503897"/>
      <w:bookmarkStart w:id="789" w:name="_Toc429504295"/>
      <w:bookmarkStart w:id="790" w:name="_Toc429504397"/>
      <w:bookmarkStart w:id="791" w:name="_Toc429678008"/>
      <w:bookmarkStart w:id="792" w:name="_Toc429678116"/>
      <w:bookmarkStart w:id="793" w:name="_Toc430017171"/>
      <w:bookmarkStart w:id="794" w:name="_Toc430017400"/>
      <w:bookmarkStart w:id="795" w:name="_Toc430017705"/>
      <w:bookmarkStart w:id="796" w:name="_Toc430018682"/>
      <w:bookmarkStart w:id="797" w:name="_Toc430018784"/>
      <w:bookmarkStart w:id="798" w:name="_Toc430125280"/>
      <w:bookmarkStart w:id="799" w:name="_Toc430125388"/>
      <w:bookmarkStart w:id="800" w:name="_Toc423359757"/>
      <w:bookmarkStart w:id="801" w:name="_Toc423361014"/>
      <w:r w:rsidRPr="008A1DB4">
        <w:rPr>
          <w:spacing w:val="-2"/>
          <w:lang w:val="en-US"/>
        </w:rPr>
        <w:t>RIGHT</w:t>
      </w:r>
      <w:r w:rsidR="00851076" w:rsidRPr="008A1DB4">
        <w:rPr>
          <w:spacing w:val="-2"/>
          <w:lang w:val="en-US"/>
        </w:rPr>
        <w:t>S</w:t>
      </w:r>
      <w:r w:rsidRPr="008A1DB4">
        <w:rPr>
          <w:spacing w:val="-2"/>
          <w:lang w:val="en-US"/>
        </w:rPr>
        <w:t xml:space="preserve"> TO JUDICIAL PROTECTION AND JUDICIAL GUARANTEES</w:t>
      </w:r>
      <w:r w:rsidR="00C268C3" w:rsidRPr="008A1DB4">
        <w:rPr>
          <w:spacing w:val="-2"/>
          <w:lang w:val="en-US"/>
        </w:rPr>
        <w:t xml:space="preserve">, </w:t>
      </w:r>
      <w:r w:rsidRPr="008A1DB4">
        <w:rPr>
          <w:spacing w:val="-2"/>
          <w:lang w:val="en-US"/>
        </w:rPr>
        <w:t>IN RELATION TO THE OBLIGATION TO RESPECT AND ENSURE RIGHTS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000214AE" w:rsidRPr="008A1DB4">
        <w:rPr>
          <w:spacing w:val="-2"/>
          <w:lang w:val="en-US"/>
        </w:rPr>
        <w:t xml:space="preserve"> </w:t>
      </w:r>
      <w:bookmarkEnd w:id="784"/>
      <w:bookmarkEnd w:id="785"/>
      <w:bookmarkEnd w:id="800"/>
      <w:bookmarkEnd w:id="801"/>
    </w:p>
    <w:p w14:paraId="3B90F06E" w14:textId="77777777" w:rsidR="00A32A5F" w:rsidRPr="008A1DB4" w:rsidRDefault="00A32A5F" w:rsidP="00956E97">
      <w:pPr>
        <w:rPr>
          <w:spacing w:val="-2"/>
          <w:lang w:val="en-US"/>
        </w:rPr>
      </w:pPr>
    </w:p>
    <w:p w14:paraId="42648F04" w14:textId="19607F74" w:rsidR="00A32A5F" w:rsidRPr="008A1DB4" w:rsidRDefault="008C2CD9" w:rsidP="00956E97">
      <w:pPr>
        <w:pStyle w:val="PrrafodeSentencia"/>
        <w:rPr>
          <w:spacing w:val="-2"/>
          <w:lang w:val="en-US"/>
        </w:rPr>
      </w:pPr>
      <w:r>
        <w:rPr>
          <w:spacing w:val="-2"/>
          <w:lang w:val="en-US"/>
        </w:rPr>
        <w:t>Despite the</w:t>
      </w:r>
      <w:r w:rsidR="00A839BF" w:rsidRPr="008A1DB4">
        <w:rPr>
          <w:spacing w:val="-2"/>
          <w:lang w:val="en-US"/>
        </w:rPr>
        <w:t xml:space="preserve"> Court’s conclusion concerning the risk of violation of the rights to life and to </w:t>
      </w:r>
      <w:r w:rsidR="00776D24" w:rsidRPr="008A1DB4">
        <w:rPr>
          <w:spacing w:val="-2"/>
          <w:lang w:val="en-US"/>
        </w:rPr>
        <w:t>personal integrity</w:t>
      </w:r>
      <w:r w:rsidR="00A32A5F" w:rsidRPr="008A1DB4">
        <w:rPr>
          <w:spacing w:val="-2"/>
          <w:lang w:val="en-US"/>
        </w:rPr>
        <w:t xml:space="preserve"> (</w:t>
      </w:r>
      <w:r w:rsidR="00A32A5F" w:rsidRPr="008A1DB4">
        <w:rPr>
          <w:i/>
          <w:spacing w:val="-2"/>
          <w:lang w:val="en-US"/>
        </w:rPr>
        <w:t>supra</w:t>
      </w:r>
      <w:r w:rsidR="00A32A5F"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_Ref419391696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188</w:t>
      </w:r>
      <w:r w:rsidR="00BE2225" w:rsidRPr="008A1DB4">
        <w:rPr>
          <w:spacing w:val="-2"/>
          <w:lang w:val="en-US"/>
        </w:rPr>
        <w:fldChar w:fldCharType="end"/>
      </w:r>
      <w:r w:rsidR="00A32A5F" w:rsidRPr="008A1DB4">
        <w:rPr>
          <w:spacing w:val="-2"/>
          <w:lang w:val="en-US"/>
        </w:rPr>
        <w:t xml:space="preserve">), </w:t>
      </w:r>
      <w:r w:rsidR="00A839BF" w:rsidRPr="008A1DB4">
        <w:rPr>
          <w:spacing w:val="-2"/>
          <w:lang w:val="en-US"/>
        </w:rPr>
        <w:t xml:space="preserve">in this case, </w:t>
      </w:r>
      <w:r>
        <w:rPr>
          <w:spacing w:val="-2"/>
          <w:lang w:val="en-US"/>
        </w:rPr>
        <w:t xml:space="preserve">the </w:t>
      </w:r>
      <w:r w:rsidR="00A839BF" w:rsidRPr="008A1DB4">
        <w:rPr>
          <w:spacing w:val="-2"/>
          <w:lang w:val="en-US"/>
        </w:rPr>
        <w:t>relevant fact</w:t>
      </w:r>
      <w:r>
        <w:rPr>
          <w:spacing w:val="-2"/>
          <w:lang w:val="en-US"/>
        </w:rPr>
        <w:t>or</w:t>
      </w:r>
      <w:r w:rsidR="00A839BF" w:rsidRPr="008A1DB4">
        <w:rPr>
          <w:spacing w:val="-2"/>
          <w:lang w:val="en-US"/>
        </w:rPr>
        <w:t xml:space="preserve"> is that, following</w:t>
      </w:r>
      <w:r w:rsidR="00F36400" w:rsidRPr="008A1DB4">
        <w:rPr>
          <w:spacing w:val="-2"/>
          <w:lang w:val="en-US"/>
        </w:rPr>
        <w:t xml:space="preserve"> </w:t>
      </w:r>
      <w:r w:rsidR="00B67AC5" w:rsidRPr="008A1DB4">
        <w:rPr>
          <w:spacing w:val="-2"/>
          <w:lang w:val="en-US"/>
        </w:rPr>
        <w:t>the Supreme Court</w:t>
      </w:r>
      <w:r w:rsidR="00A839BF" w:rsidRPr="008A1DB4">
        <w:rPr>
          <w:spacing w:val="-2"/>
          <w:lang w:val="en-US"/>
        </w:rPr>
        <w:t>’s second advisory decision</w:t>
      </w:r>
      <w:r w:rsidR="00A32A5F"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BA1B57" w:rsidRPr="008A1DB4">
        <w:rPr>
          <w:spacing w:val="-2"/>
          <w:lang w:val="en-US"/>
        </w:rPr>
        <w:t xml:space="preserve"> orde</w:t>
      </w:r>
      <w:r w:rsidR="00A839BF" w:rsidRPr="008A1DB4">
        <w:rPr>
          <w:spacing w:val="-2"/>
          <w:lang w:val="en-US"/>
        </w:rPr>
        <w:t xml:space="preserve">red the </w:t>
      </w:r>
      <w:r w:rsidR="00B43F84" w:rsidRPr="008A1DB4">
        <w:rPr>
          <w:spacing w:val="-2"/>
          <w:lang w:val="en-US"/>
        </w:rPr>
        <w:t>Executive Branch</w:t>
      </w:r>
      <w:r w:rsidR="00A32A5F" w:rsidRPr="008A1DB4">
        <w:rPr>
          <w:spacing w:val="-2"/>
          <w:lang w:val="en-US"/>
        </w:rPr>
        <w:t xml:space="preserve"> </w:t>
      </w:r>
      <w:r w:rsidR="00A839BF" w:rsidRPr="008A1DB4">
        <w:rPr>
          <w:spacing w:val="-2"/>
          <w:lang w:val="en-US"/>
        </w:rPr>
        <w:t>to refrain from extraditing</w:t>
      </w:r>
      <w:r w:rsidR="00C268C3" w:rsidRPr="008A1DB4">
        <w:rPr>
          <w:spacing w:val="-2"/>
          <w:lang w:val="en-US"/>
        </w:rPr>
        <w:t xml:space="preserve"> </w:t>
      </w:r>
      <w:r w:rsidR="00B43F84" w:rsidRPr="008A1DB4">
        <w:rPr>
          <w:spacing w:val="-2"/>
          <w:lang w:val="en-US"/>
        </w:rPr>
        <w:t>Wong</w:t>
      </w:r>
      <w:r w:rsidR="00C268C3" w:rsidRPr="008A1DB4">
        <w:rPr>
          <w:spacing w:val="-2"/>
          <w:lang w:val="en-US"/>
        </w:rPr>
        <w:t xml:space="preserve"> Ho Wing</w:t>
      </w:r>
      <w:r w:rsidR="00A32A5F" w:rsidRPr="008A1DB4">
        <w:rPr>
          <w:spacing w:val="-2"/>
          <w:lang w:val="en-US"/>
        </w:rPr>
        <w:t xml:space="preserve"> </w:t>
      </w:r>
      <w:r w:rsidR="00A839BF" w:rsidRPr="008A1DB4">
        <w:rPr>
          <w:spacing w:val="-2"/>
          <w:lang w:val="en-US"/>
        </w:rPr>
        <w:t xml:space="preserve">to </w:t>
      </w:r>
      <w:r w:rsidR="00A32A5F" w:rsidRPr="008A1DB4">
        <w:rPr>
          <w:spacing w:val="-2"/>
          <w:lang w:val="en-US"/>
        </w:rPr>
        <w:t>China (</w:t>
      </w:r>
      <w:r w:rsidR="00A32A5F" w:rsidRPr="008A1DB4">
        <w:rPr>
          <w:i/>
          <w:spacing w:val="-2"/>
          <w:lang w:val="en-US"/>
        </w:rPr>
        <w:t>supra</w:t>
      </w:r>
      <w:r w:rsidR="00A32A5F" w:rsidRPr="008A1DB4">
        <w:rPr>
          <w:spacing w:val="-2"/>
          <w:lang w:val="en-US"/>
        </w:rPr>
        <w:t xml:space="preserve"> </w:t>
      </w:r>
      <w:r w:rsidR="00631F9C" w:rsidRPr="008A1DB4">
        <w:rPr>
          <w:spacing w:val="-2"/>
          <w:lang w:val="en-US"/>
        </w:rPr>
        <w:t>paras.</w:t>
      </w:r>
      <w:r w:rsidR="00A32A5F" w:rsidRPr="008A1DB4">
        <w:rPr>
          <w:spacing w:val="-2"/>
          <w:lang w:val="en-US"/>
        </w:rPr>
        <w:t xml:space="preserve"> </w:t>
      </w:r>
      <w:r w:rsidR="00C268C3" w:rsidRPr="008A1DB4">
        <w:rPr>
          <w:spacing w:val="-2"/>
          <w:lang w:val="en-US"/>
        </w:rPr>
        <w:fldChar w:fldCharType="begin"/>
      </w:r>
      <w:r w:rsidR="00C268C3" w:rsidRPr="008A1DB4">
        <w:rPr>
          <w:spacing w:val="-2"/>
          <w:lang w:val="en-US"/>
        </w:rPr>
        <w:instrText xml:space="preserve"> REF _Ref402187094 \r \h </w:instrText>
      </w:r>
      <w:r w:rsidR="00DC41F4" w:rsidRPr="008A1DB4">
        <w:rPr>
          <w:spacing w:val="-2"/>
          <w:lang w:val="en-US"/>
        </w:rPr>
        <w:instrText xml:space="preserve"> \* MERGEFORMAT </w:instrText>
      </w:r>
      <w:r w:rsidR="00C268C3" w:rsidRPr="008A1DB4">
        <w:rPr>
          <w:spacing w:val="-2"/>
          <w:lang w:val="en-US"/>
        </w:rPr>
      </w:r>
      <w:r w:rsidR="00C268C3" w:rsidRPr="008A1DB4">
        <w:rPr>
          <w:spacing w:val="-2"/>
          <w:lang w:val="en-US"/>
        </w:rPr>
        <w:fldChar w:fldCharType="separate"/>
      </w:r>
      <w:r w:rsidR="00E961FA" w:rsidRPr="008A1DB4">
        <w:rPr>
          <w:spacing w:val="-2"/>
          <w:lang w:val="en-US"/>
        </w:rPr>
        <w:t>81</w:t>
      </w:r>
      <w:r w:rsidR="00C268C3" w:rsidRPr="008A1DB4">
        <w:rPr>
          <w:spacing w:val="-2"/>
          <w:lang w:val="en-US"/>
        </w:rPr>
        <w:fldChar w:fldCharType="end"/>
      </w:r>
      <w:r w:rsidR="00A32A5F" w:rsidRPr="008A1DB4">
        <w:rPr>
          <w:spacing w:val="-2"/>
          <w:lang w:val="en-US"/>
        </w:rPr>
        <w:t xml:space="preserve"> </w:t>
      </w:r>
      <w:r w:rsidR="00A839BF" w:rsidRPr="008A1DB4">
        <w:rPr>
          <w:spacing w:val="-2"/>
          <w:lang w:val="en-US"/>
        </w:rPr>
        <w:t>to</w:t>
      </w:r>
      <w:r w:rsidR="00A32A5F" w:rsidRPr="008A1DB4">
        <w:rPr>
          <w:spacing w:val="-2"/>
          <w:lang w:val="en-US"/>
        </w:rPr>
        <w:t xml:space="preserve"> </w:t>
      </w:r>
      <w:r w:rsidR="00C268C3" w:rsidRPr="008A1DB4">
        <w:rPr>
          <w:spacing w:val="-2"/>
          <w:lang w:val="en-US"/>
        </w:rPr>
        <w:fldChar w:fldCharType="begin"/>
      </w:r>
      <w:r w:rsidR="00C268C3" w:rsidRPr="008A1DB4">
        <w:rPr>
          <w:spacing w:val="-2"/>
          <w:lang w:val="en-US"/>
        </w:rPr>
        <w:instrText xml:space="preserve"> REF _Ref429129855 \r \h </w:instrText>
      </w:r>
      <w:r w:rsidR="00DC41F4" w:rsidRPr="008A1DB4">
        <w:rPr>
          <w:spacing w:val="-2"/>
          <w:lang w:val="en-US"/>
        </w:rPr>
        <w:instrText xml:space="preserve"> \* MERGEFORMAT </w:instrText>
      </w:r>
      <w:r w:rsidR="00C268C3" w:rsidRPr="008A1DB4">
        <w:rPr>
          <w:spacing w:val="-2"/>
          <w:lang w:val="en-US"/>
        </w:rPr>
      </w:r>
      <w:r w:rsidR="00C268C3" w:rsidRPr="008A1DB4">
        <w:rPr>
          <w:spacing w:val="-2"/>
          <w:lang w:val="en-US"/>
        </w:rPr>
        <w:fldChar w:fldCharType="separate"/>
      </w:r>
      <w:r w:rsidR="00E961FA" w:rsidRPr="008A1DB4">
        <w:rPr>
          <w:spacing w:val="-2"/>
          <w:lang w:val="en-US"/>
        </w:rPr>
        <w:t>85</w:t>
      </w:r>
      <w:r w:rsidR="00C268C3" w:rsidRPr="008A1DB4">
        <w:rPr>
          <w:spacing w:val="-2"/>
          <w:lang w:val="en-US"/>
        </w:rPr>
        <w:fldChar w:fldCharType="end"/>
      </w:r>
      <w:r w:rsidR="00A32A5F" w:rsidRPr="008A1DB4">
        <w:rPr>
          <w:spacing w:val="-2"/>
          <w:lang w:val="en-US"/>
        </w:rPr>
        <w:t xml:space="preserve">). </w:t>
      </w:r>
      <w:r w:rsidR="00A839BF" w:rsidRPr="008A1DB4">
        <w:rPr>
          <w:spacing w:val="-2"/>
          <w:lang w:val="en-US"/>
        </w:rPr>
        <w:t>Therefore, this Court must decide whether, notwithstanding the inexistence of a risk at this time, the State may extradite</w:t>
      </w:r>
      <w:r w:rsidR="00A32A5F" w:rsidRPr="008A1DB4">
        <w:rPr>
          <w:spacing w:val="-2"/>
          <w:lang w:val="en-US"/>
        </w:rPr>
        <w:t xml:space="preserve"> </w:t>
      </w:r>
      <w:r w:rsidR="00B43F84" w:rsidRPr="008A1DB4">
        <w:rPr>
          <w:spacing w:val="-2"/>
          <w:lang w:val="en-US"/>
        </w:rPr>
        <w:t>Wong</w:t>
      </w:r>
      <w:r w:rsidR="00A32A5F" w:rsidRPr="008A1DB4">
        <w:rPr>
          <w:spacing w:val="-2"/>
          <w:lang w:val="en-US"/>
        </w:rPr>
        <w:t xml:space="preserve"> Ho Wing </w:t>
      </w:r>
      <w:r w:rsidR="00A839BF" w:rsidRPr="008A1DB4">
        <w:rPr>
          <w:spacing w:val="-2"/>
          <w:lang w:val="en-US"/>
        </w:rPr>
        <w:t>without being in non-compliance with other obligations derived from</w:t>
      </w:r>
      <w:r w:rsidR="00F36400" w:rsidRPr="008A1DB4">
        <w:rPr>
          <w:spacing w:val="-2"/>
          <w:lang w:val="en-US"/>
        </w:rPr>
        <w:t xml:space="preserve"> the Convention</w:t>
      </w:r>
      <w:r w:rsidR="00A32A5F" w:rsidRPr="008A1DB4">
        <w:rPr>
          <w:spacing w:val="-2"/>
          <w:lang w:val="en-US"/>
        </w:rPr>
        <w:t xml:space="preserve">, </w:t>
      </w:r>
      <w:r w:rsidR="00A839BF" w:rsidRPr="008A1DB4">
        <w:rPr>
          <w:spacing w:val="-2"/>
          <w:lang w:val="en-US"/>
        </w:rPr>
        <w:t xml:space="preserve">such as the right to </w:t>
      </w:r>
      <w:r w:rsidR="00216773" w:rsidRPr="008A1DB4">
        <w:rPr>
          <w:spacing w:val="-2"/>
          <w:lang w:val="en-US"/>
        </w:rPr>
        <w:t>judicial protection</w:t>
      </w:r>
      <w:r w:rsidR="00F36400" w:rsidRPr="008A1DB4">
        <w:rPr>
          <w:spacing w:val="-2"/>
          <w:lang w:val="en-US"/>
        </w:rPr>
        <w:t xml:space="preserve"> and </w:t>
      </w:r>
      <w:r w:rsidR="00A839BF" w:rsidRPr="008A1DB4">
        <w:rPr>
          <w:spacing w:val="-2"/>
          <w:lang w:val="en-US"/>
        </w:rPr>
        <w:t>the enforcement of final judicial decisions, established in</w:t>
      </w:r>
      <w:r w:rsidR="00A32A5F" w:rsidRPr="008A1DB4">
        <w:rPr>
          <w:spacing w:val="-2"/>
          <w:lang w:val="en-US"/>
        </w:rPr>
        <w:t xml:space="preserve"> </w:t>
      </w:r>
      <w:r w:rsidR="00F36400" w:rsidRPr="008A1DB4">
        <w:rPr>
          <w:spacing w:val="-2"/>
          <w:lang w:val="en-US"/>
        </w:rPr>
        <w:t>Article</w:t>
      </w:r>
      <w:r w:rsidR="00A32A5F" w:rsidRPr="008A1DB4">
        <w:rPr>
          <w:spacing w:val="-2"/>
          <w:lang w:val="en-US"/>
        </w:rPr>
        <w:t xml:space="preserve"> 25</w:t>
      </w:r>
      <w:r w:rsidR="00E011C4" w:rsidRPr="008A1DB4">
        <w:rPr>
          <w:rStyle w:val="FootnoteReference"/>
          <w:spacing w:val="-2"/>
          <w:lang w:val="en-US"/>
        </w:rPr>
        <w:footnoteReference w:id="263"/>
      </w:r>
      <w:r w:rsidR="00F36400" w:rsidRPr="008A1DB4">
        <w:rPr>
          <w:spacing w:val="-2"/>
          <w:lang w:val="en-US"/>
        </w:rPr>
        <w:t xml:space="preserve"> of the American Convention</w:t>
      </w:r>
      <w:r w:rsidR="00A21C7D" w:rsidRPr="008A1DB4">
        <w:rPr>
          <w:spacing w:val="-2"/>
          <w:lang w:val="en-US"/>
        </w:rPr>
        <w:t>,</w:t>
      </w:r>
      <w:r w:rsidR="00A839BF" w:rsidRPr="008A1DB4">
        <w:rPr>
          <w:spacing w:val="-2"/>
          <w:lang w:val="en-US"/>
        </w:rPr>
        <w:t xml:space="preserve"> as argued by </w:t>
      </w:r>
      <w:r w:rsidR="00F36400" w:rsidRPr="008A1DB4">
        <w:rPr>
          <w:spacing w:val="-2"/>
          <w:lang w:val="en-US"/>
        </w:rPr>
        <w:t xml:space="preserve">the Commission and </w:t>
      </w:r>
      <w:r w:rsidR="00C45946" w:rsidRPr="008A1DB4">
        <w:rPr>
          <w:spacing w:val="-2"/>
          <w:lang w:val="en-US"/>
        </w:rPr>
        <w:t>the representative</w:t>
      </w:r>
      <w:r w:rsidR="00A21C7D" w:rsidRPr="008A1DB4">
        <w:rPr>
          <w:spacing w:val="-2"/>
          <w:lang w:val="en-US"/>
        </w:rPr>
        <w:t xml:space="preserve">. </w:t>
      </w:r>
      <w:r w:rsidR="00A839BF" w:rsidRPr="008A1DB4">
        <w:rPr>
          <w:spacing w:val="-2"/>
          <w:lang w:val="en-US"/>
        </w:rPr>
        <w:t>In this chapter, the Court will analyze this aspect of the dispute, as well as the alleged violations of the guarant</w:t>
      </w:r>
      <w:r>
        <w:rPr>
          <w:spacing w:val="-2"/>
          <w:lang w:val="en-US"/>
        </w:rPr>
        <w:t>ees of a reasonable time and</w:t>
      </w:r>
      <w:r w:rsidR="00A839BF" w:rsidRPr="008A1DB4">
        <w:rPr>
          <w:spacing w:val="-2"/>
          <w:lang w:val="en-US"/>
        </w:rPr>
        <w:t xml:space="preserve"> due process of law established in </w:t>
      </w:r>
      <w:r w:rsidR="00F36400" w:rsidRPr="008A1DB4">
        <w:rPr>
          <w:spacing w:val="-2"/>
          <w:lang w:val="en-US"/>
        </w:rPr>
        <w:t>Article</w:t>
      </w:r>
      <w:r w:rsidR="00A558FE" w:rsidRPr="008A1DB4">
        <w:rPr>
          <w:spacing w:val="-2"/>
          <w:lang w:val="en-US"/>
        </w:rPr>
        <w:t xml:space="preserve"> 8</w:t>
      </w:r>
      <w:r w:rsidR="00E011C4" w:rsidRPr="008A1DB4">
        <w:rPr>
          <w:rStyle w:val="FootnoteReference"/>
          <w:spacing w:val="-2"/>
          <w:lang w:val="en-US"/>
        </w:rPr>
        <w:footnoteReference w:id="264"/>
      </w:r>
      <w:r w:rsidR="00F36400" w:rsidRPr="008A1DB4">
        <w:rPr>
          <w:spacing w:val="-2"/>
          <w:lang w:val="en-US"/>
        </w:rPr>
        <w:t xml:space="preserve"> of the Convention</w:t>
      </w:r>
      <w:r w:rsidR="009A21EE" w:rsidRPr="008A1DB4">
        <w:rPr>
          <w:spacing w:val="-2"/>
          <w:lang w:val="en-US"/>
        </w:rPr>
        <w:t xml:space="preserve">. </w:t>
      </w:r>
    </w:p>
    <w:p w14:paraId="26CF6B3D" w14:textId="77777777" w:rsidR="001710CA" w:rsidRPr="008A1DB4" w:rsidRDefault="001710CA" w:rsidP="00956E97">
      <w:pPr>
        <w:rPr>
          <w:spacing w:val="-2"/>
          <w:lang w:val="en-US"/>
        </w:rPr>
      </w:pPr>
    </w:p>
    <w:p w14:paraId="7E51D461" w14:textId="5568A9D7" w:rsidR="002B29EC" w:rsidRPr="008A1DB4" w:rsidRDefault="00EA679A" w:rsidP="00956E97">
      <w:pPr>
        <w:pStyle w:val="Heading1"/>
        <w:rPr>
          <w:spacing w:val="-2"/>
          <w:lang w:val="en-US"/>
        </w:rPr>
      </w:pPr>
      <w:bookmarkStart w:id="802" w:name="_Toc418074091"/>
      <w:bookmarkStart w:id="803" w:name="_Toc418503896"/>
      <w:bookmarkStart w:id="804" w:name="_Toc418912622"/>
      <w:bookmarkStart w:id="805" w:name="_Toc419394410"/>
      <w:bookmarkStart w:id="806" w:name="_Toc429490276"/>
      <w:bookmarkStart w:id="807" w:name="_Toc429503790"/>
      <w:bookmarkStart w:id="808" w:name="_Toc429504296"/>
      <w:bookmarkStart w:id="809" w:name="_Toc429678009"/>
      <w:bookmarkStart w:id="810" w:name="_Toc430017172"/>
      <w:bookmarkStart w:id="811" w:name="_Toc430017401"/>
      <w:bookmarkStart w:id="812" w:name="_Toc430018683"/>
      <w:bookmarkStart w:id="813" w:name="_Toc430125281"/>
      <w:bookmarkStart w:id="814" w:name="_Toc430125389"/>
      <w:r w:rsidRPr="008A1DB4">
        <w:rPr>
          <w:spacing w:val="-2"/>
          <w:lang w:val="en-US"/>
        </w:rPr>
        <w:t>A</w:t>
      </w:r>
      <w:r w:rsidR="003D2602" w:rsidRPr="008A1DB4">
        <w:rPr>
          <w:spacing w:val="-2"/>
          <w:lang w:val="en-US"/>
        </w:rPr>
        <w:t>.</w:t>
      </w:r>
      <w:r w:rsidR="002B29EC" w:rsidRPr="008A1DB4">
        <w:rPr>
          <w:spacing w:val="-2"/>
          <w:lang w:val="en-US"/>
        </w:rPr>
        <w:t xml:space="preserve"> </w:t>
      </w:r>
      <w:r w:rsidR="0058668C" w:rsidRPr="008A1DB4">
        <w:rPr>
          <w:spacing w:val="-2"/>
          <w:lang w:val="en-US"/>
        </w:rPr>
        <w:t>Arguments</w:t>
      </w:r>
      <w:r w:rsidR="002B29EC"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bookmarkEnd w:id="802"/>
      <w:bookmarkEnd w:id="803"/>
      <w:bookmarkEnd w:id="804"/>
      <w:bookmarkEnd w:id="805"/>
      <w:bookmarkEnd w:id="806"/>
      <w:bookmarkEnd w:id="807"/>
      <w:bookmarkEnd w:id="808"/>
      <w:bookmarkEnd w:id="809"/>
      <w:bookmarkEnd w:id="810"/>
      <w:bookmarkEnd w:id="811"/>
      <w:r w:rsidR="00C45946" w:rsidRPr="008A1DB4">
        <w:rPr>
          <w:spacing w:val="-2"/>
          <w:lang w:val="en-US"/>
        </w:rPr>
        <w:t xml:space="preserve"> of the </w:t>
      </w:r>
      <w:r w:rsidR="00F36400" w:rsidRPr="008A1DB4">
        <w:rPr>
          <w:spacing w:val="-2"/>
          <w:lang w:val="en-US"/>
        </w:rPr>
        <w:t>Commission</w:t>
      </w:r>
      <w:bookmarkEnd w:id="812"/>
      <w:bookmarkEnd w:id="813"/>
      <w:bookmarkEnd w:id="814"/>
    </w:p>
    <w:p w14:paraId="244D898C" w14:textId="77777777" w:rsidR="002B29EC" w:rsidRPr="008A1DB4" w:rsidRDefault="002B29EC" w:rsidP="00956E97">
      <w:pPr>
        <w:tabs>
          <w:tab w:val="left" w:pos="567"/>
        </w:tabs>
        <w:rPr>
          <w:b/>
          <w:spacing w:val="-2"/>
          <w:lang w:val="en-US"/>
        </w:rPr>
      </w:pPr>
    </w:p>
    <w:p w14:paraId="4DA28086" w14:textId="51B3AD12" w:rsidR="001063D9" w:rsidRPr="008A1DB4" w:rsidRDefault="00F36400" w:rsidP="00A839BF">
      <w:pPr>
        <w:pStyle w:val="PrrafodeSentencia"/>
        <w:rPr>
          <w:b/>
          <w:spacing w:val="-2"/>
          <w:lang w:val="en-US"/>
        </w:rPr>
      </w:pPr>
      <w:r w:rsidRPr="008A1DB4">
        <w:rPr>
          <w:spacing w:val="-2"/>
          <w:lang w:val="en-US"/>
        </w:rPr>
        <w:t>The Commission</w:t>
      </w:r>
      <w:r w:rsidR="001063D9" w:rsidRPr="008A1DB4">
        <w:rPr>
          <w:spacing w:val="-2"/>
          <w:lang w:val="en-US"/>
        </w:rPr>
        <w:t xml:space="preserve"> </w:t>
      </w:r>
      <w:r w:rsidR="00A839BF" w:rsidRPr="008A1DB4">
        <w:rPr>
          <w:spacing w:val="-2"/>
          <w:lang w:val="en-US"/>
        </w:rPr>
        <w:t>indicated that “[t</w:t>
      </w:r>
      <w:r w:rsidR="001063D9" w:rsidRPr="008A1DB4">
        <w:rPr>
          <w:spacing w:val="-2"/>
          <w:lang w:val="en-US"/>
        </w:rPr>
        <w:t>]</w:t>
      </w:r>
      <w:proofErr w:type="gramStart"/>
      <w:r w:rsidR="00A839BF" w:rsidRPr="008A1DB4">
        <w:rPr>
          <w:spacing w:val="-2"/>
          <w:lang w:val="en-US"/>
        </w:rPr>
        <w:t>he</w:t>
      </w:r>
      <w:proofErr w:type="gramEnd"/>
      <w:r w:rsidR="00A839BF" w:rsidRPr="008A1DB4">
        <w:rPr>
          <w:spacing w:val="-2"/>
          <w:lang w:val="en-US"/>
        </w:rPr>
        <w:t xml:space="preserve"> order of Peru’s </w:t>
      </w:r>
      <w:r w:rsidR="00B43F84" w:rsidRPr="008A1DB4">
        <w:rPr>
          <w:spacing w:val="-2"/>
          <w:lang w:val="en-US"/>
        </w:rPr>
        <w:t>Constitutional Court</w:t>
      </w:r>
      <w:r w:rsidR="001063D9" w:rsidRPr="008A1DB4">
        <w:rPr>
          <w:spacing w:val="-2"/>
          <w:lang w:val="en-US"/>
        </w:rPr>
        <w:t xml:space="preserve"> […] </w:t>
      </w:r>
      <w:r w:rsidR="00A839BF" w:rsidRPr="008A1DB4">
        <w:rPr>
          <w:spacing w:val="-2"/>
          <w:lang w:val="en-US"/>
        </w:rPr>
        <w:t xml:space="preserve">required that </w:t>
      </w:r>
      <w:r w:rsidR="008C2CD9">
        <w:rPr>
          <w:spacing w:val="-2"/>
          <w:lang w:val="en-US"/>
        </w:rPr>
        <w:t>it was necessary that the</w:t>
      </w:r>
      <w:r w:rsidR="00A839BF" w:rsidRPr="008A1DB4">
        <w:rPr>
          <w:spacing w:val="-2"/>
          <w:lang w:val="en-US"/>
        </w:rPr>
        <w:t xml:space="preserve"> final decision in</w:t>
      </w:r>
      <w:r w:rsidR="008C2CD9">
        <w:rPr>
          <w:spacing w:val="-2"/>
          <w:lang w:val="en-US"/>
        </w:rPr>
        <w:t xml:space="preserve"> the extradition process </w:t>
      </w:r>
      <w:r w:rsidR="00A839BF" w:rsidRPr="008A1DB4">
        <w:rPr>
          <w:spacing w:val="-2"/>
          <w:lang w:val="en-US"/>
        </w:rPr>
        <w:t xml:space="preserve">deny extradition.” However, and even though Wong Ho Wing is still deprived of his liberty, the Executive Branch “has failed to take a final decision in </w:t>
      </w:r>
      <w:r w:rsidR="00FC5891" w:rsidRPr="008A1DB4">
        <w:rPr>
          <w:spacing w:val="-2"/>
          <w:lang w:val="en-US"/>
        </w:rPr>
        <w:t>the extradition process</w:t>
      </w:r>
      <w:r w:rsidR="00A839BF" w:rsidRPr="008A1DB4">
        <w:rPr>
          <w:spacing w:val="-2"/>
          <w:lang w:val="en-US"/>
        </w:rPr>
        <w:t xml:space="preserve">,” abstaining from executing the judgment and actively seeking numerous legal mechanisms to modify the scope of this ruling that protects the rights of </w:t>
      </w:r>
      <w:r w:rsidR="00B43F84" w:rsidRPr="008A1DB4">
        <w:rPr>
          <w:spacing w:val="-2"/>
          <w:lang w:val="en-US"/>
        </w:rPr>
        <w:t>Wong</w:t>
      </w:r>
      <w:r w:rsidR="001063D9" w:rsidRPr="008A1DB4">
        <w:rPr>
          <w:spacing w:val="-2"/>
          <w:lang w:val="en-US"/>
        </w:rPr>
        <w:t xml:space="preserve"> Ho Wing</w:t>
      </w:r>
      <w:r w:rsidR="006F5C2D" w:rsidRPr="008A1DB4">
        <w:rPr>
          <w:spacing w:val="-2"/>
          <w:lang w:val="en-US"/>
        </w:rPr>
        <w:t xml:space="preserve">. </w:t>
      </w:r>
      <w:r w:rsidRPr="008A1DB4">
        <w:rPr>
          <w:spacing w:val="-2"/>
          <w:lang w:val="en-US"/>
        </w:rPr>
        <w:t>The Commission</w:t>
      </w:r>
      <w:r w:rsidR="001063D9" w:rsidRPr="008A1DB4">
        <w:rPr>
          <w:spacing w:val="-2"/>
          <w:lang w:val="en-US"/>
        </w:rPr>
        <w:t xml:space="preserve"> conclu</w:t>
      </w:r>
      <w:r w:rsidR="00A839BF" w:rsidRPr="008A1DB4">
        <w:rPr>
          <w:spacing w:val="-2"/>
          <w:lang w:val="en-US"/>
        </w:rPr>
        <w:t xml:space="preserve">ded that the State had failed to comply with its obligation to implement final judicial decisions. It also argued that “the legal time frames for the advisory procedure were not met in this case and, in addition, the absence of a legal time frame for the final decision of the Executive Branch encouraged the delay.” Furthermore, in general, it </w:t>
      </w:r>
      <w:r w:rsidR="008C2CD9">
        <w:rPr>
          <w:spacing w:val="-2"/>
          <w:lang w:val="en-US"/>
        </w:rPr>
        <w:t>objected to</w:t>
      </w:r>
      <w:r w:rsidR="00A839BF" w:rsidRPr="008A1DB4">
        <w:rPr>
          <w:spacing w:val="-2"/>
          <w:lang w:val="en-US"/>
        </w:rPr>
        <w:t xml:space="preserve"> the “disproportionate time of six years that the extradition process has lasted.” In this regard, it af</w:t>
      </w:r>
      <w:r w:rsidR="008C2CD9">
        <w:rPr>
          <w:spacing w:val="-2"/>
          <w:lang w:val="en-US"/>
        </w:rPr>
        <w:t>firmed that this, “of</w:t>
      </w:r>
      <w:r w:rsidR="00A839BF" w:rsidRPr="008A1DB4">
        <w:rPr>
          <w:spacing w:val="-2"/>
          <w:lang w:val="en-US"/>
        </w:rPr>
        <w:t xml:space="preserve"> itself, violates the guarantee of a reasonable time.” It considered that “it was not [the] complexity [of the case] or the diligence in obtaining assurances that caused the delay” and that, “for long periods of time, the competent domestic authorities […] had failed to issue the final decision in </w:t>
      </w:r>
      <w:r w:rsidR="00671326" w:rsidRPr="008A1DB4">
        <w:rPr>
          <w:spacing w:val="-2"/>
          <w:lang w:val="en-US"/>
        </w:rPr>
        <w:t xml:space="preserve">the </w:t>
      </w:r>
      <w:r w:rsidR="00FC5891" w:rsidRPr="008A1DB4">
        <w:rPr>
          <w:spacing w:val="-2"/>
          <w:lang w:val="en-US"/>
        </w:rPr>
        <w:t>extradition process</w:t>
      </w:r>
      <w:r w:rsidR="00A839BF" w:rsidRPr="008A1DB4">
        <w:rPr>
          <w:spacing w:val="-2"/>
          <w:lang w:val="en-US"/>
        </w:rPr>
        <w:t xml:space="preserve">.” In addition, it clarified that the remedies filed by </w:t>
      </w:r>
      <w:r w:rsidR="001E7113" w:rsidRPr="008A1DB4">
        <w:rPr>
          <w:spacing w:val="-2"/>
          <w:lang w:val="en-US"/>
        </w:rPr>
        <w:t>Wong</w:t>
      </w:r>
      <w:r w:rsidR="001063D9" w:rsidRPr="008A1DB4">
        <w:rPr>
          <w:spacing w:val="-2"/>
          <w:lang w:val="en-US"/>
        </w:rPr>
        <w:t xml:space="preserve"> Ho Wing </w:t>
      </w:r>
      <w:r w:rsidR="00A839BF" w:rsidRPr="008A1DB4">
        <w:rPr>
          <w:spacing w:val="-2"/>
          <w:lang w:val="en-US"/>
        </w:rPr>
        <w:t>formed part of the mechanisms established for his defense. Regarding the analysis of the legal situation of the person concerned, it underscored that “the delay in the final decision in the extradition process […] has mean</w:t>
      </w:r>
      <w:r w:rsidR="008C2CD9">
        <w:rPr>
          <w:spacing w:val="-2"/>
          <w:lang w:val="en-US"/>
        </w:rPr>
        <w:t>t</w:t>
      </w:r>
      <w:r w:rsidR="00A839BF" w:rsidRPr="008A1DB4">
        <w:rPr>
          <w:spacing w:val="-2"/>
          <w:lang w:val="en-US"/>
        </w:rPr>
        <w:t xml:space="preserve"> that </w:t>
      </w:r>
      <w:r w:rsidR="001E7113" w:rsidRPr="008A1DB4">
        <w:rPr>
          <w:spacing w:val="-2"/>
          <w:lang w:val="en-US"/>
        </w:rPr>
        <w:t>Wong</w:t>
      </w:r>
      <w:r w:rsidR="001063D9" w:rsidRPr="008A1DB4">
        <w:rPr>
          <w:spacing w:val="-2"/>
          <w:lang w:val="en-US"/>
        </w:rPr>
        <w:t xml:space="preserve"> Ho Wing </w:t>
      </w:r>
      <w:r w:rsidR="00A839BF" w:rsidRPr="008A1DB4">
        <w:rPr>
          <w:spacing w:val="-2"/>
          <w:lang w:val="en-US"/>
        </w:rPr>
        <w:t>remains deprived of his liberty.”</w:t>
      </w:r>
      <w:r w:rsidR="001063D9" w:rsidRPr="008A1DB4">
        <w:rPr>
          <w:spacing w:val="-2"/>
          <w:lang w:val="en-US"/>
        </w:rPr>
        <w:t xml:space="preserve"> </w:t>
      </w:r>
    </w:p>
    <w:p w14:paraId="20CDD00B" w14:textId="77777777" w:rsidR="001063D9" w:rsidRPr="008A1DB4" w:rsidRDefault="001063D9" w:rsidP="00956E97">
      <w:pPr>
        <w:tabs>
          <w:tab w:val="left" w:pos="567"/>
        </w:tabs>
        <w:rPr>
          <w:b/>
          <w:color w:val="00B050"/>
          <w:spacing w:val="-2"/>
          <w:sz w:val="18"/>
          <w:szCs w:val="18"/>
          <w:lang w:val="en-US"/>
        </w:rPr>
      </w:pPr>
    </w:p>
    <w:p w14:paraId="12B302BA" w14:textId="670E3BFE" w:rsidR="001063D9" w:rsidRPr="008A1DB4" w:rsidRDefault="00C45946" w:rsidP="00956E97">
      <w:pPr>
        <w:pStyle w:val="PrrafodeSentencia"/>
        <w:rPr>
          <w:rFonts w:cs="ArialNarrow"/>
          <w:spacing w:val="-2"/>
          <w:lang w:val="en-US"/>
        </w:rPr>
      </w:pPr>
      <w:r w:rsidRPr="008A1DB4">
        <w:rPr>
          <w:spacing w:val="-2"/>
          <w:lang w:val="en-US"/>
        </w:rPr>
        <w:t>The representative</w:t>
      </w:r>
      <w:r w:rsidR="001063D9" w:rsidRPr="008A1DB4">
        <w:rPr>
          <w:spacing w:val="-2"/>
          <w:lang w:val="en-US"/>
        </w:rPr>
        <w:t xml:space="preserve"> </w:t>
      </w:r>
      <w:r w:rsidR="00A839BF" w:rsidRPr="008A1DB4">
        <w:rPr>
          <w:spacing w:val="-2"/>
          <w:lang w:val="en-US"/>
        </w:rPr>
        <w:t>emphasized that there had been</w:t>
      </w:r>
      <w:r w:rsidR="008C2CD9">
        <w:rPr>
          <w:spacing w:val="-2"/>
          <w:lang w:val="en-US"/>
        </w:rPr>
        <w:t xml:space="preserve"> a</w:t>
      </w:r>
      <w:r w:rsidR="00A839BF" w:rsidRPr="008A1DB4">
        <w:rPr>
          <w:spacing w:val="-2"/>
          <w:lang w:val="en-US"/>
        </w:rPr>
        <w:t xml:space="preserve"> “systematic failure by the authorities</w:t>
      </w:r>
      <w:r w:rsidR="00776D24" w:rsidRPr="008A1DB4">
        <w:rPr>
          <w:spacing w:val="-2"/>
          <w:lang w:val="en-US"/>
        </w:rPr>
        <w:t xml:space="preserve"> of the </w:t>
      </w:r>
      <w:r w:rsidR="00B43F84" w:rsidRPr="008A1DB4">
        <w:rPr>
          <w:spacing w:val="-2"/>
          <w:lang w:val="en-US"/>
        </w:rPr>
        <w:t>Executive Branch</w:t>
      </w:r>
      <w:r w:rsidR="001063D9" w:rsidRPr="008A1DB4">
        <w:rPr>
          <w:spacing w:val="-2"/>
          <w:lang w:val="en-US"/>
        </w:rPr>
        <w:t xml:space="preserve"> </w:t>
      </w:r>
      <w:r w:rsidR="00A839BF" w:rsidRPr="008A1DB4">
        <w:rPr>
          <w:spacing w:val="-2"/>
          <w:lang w:val="en-US"/>
        </w:rPr>
        <w:t xml:space="preserve">to take a final decision on the </w:t>
      </w:r>
      <w:r w:rsidR="002D1CFC" w:rsidRPr="008A1DB4">
        <w:rPr>
          <w:spacing w:val="-2"/>
          <w:lang w:val="en-US"/>
        </w:rPr>
        <w:t>extradition</w:t>
      </w:r>
      <w:r w:rsidR="00A839BF" w:rsidRPr="008A1DB4">
        <w:rPr>
          <w:spacing w:val="-2"/>
          <w:lang w:val="en-US"/>
        </w:rPr>
        <w:t xml:space="preserve"> of</w:t>
      </w:r>
      <w:r w:rsidR="001063D9" w:rsidRPr="008A1DB4">
        <w:rPr>
          <w:spacing w:val="-2"/>
          <w:lang w:val="en-US"/>
        </w:rPr>
        <w:t xml:space="preserve"> Wong Ho Wing </w:t>
      </w:r>
      <w:r w:rsidR="008C2CD9">
        <w:rPr>
          <w:spacing w:val="-2"/>
          <w:lang w:val="en-US"/>
        </w:rPr>
        <w:t>that complied</w:t>
      </w:r>
      <w:r w:rsidR="00A839BF" w:rsidRPr="008A1DB4">
        <w:rPr>
          <w:spacing w:val="-2"/>
          <w:lang w:val="en-US"/>
        </w:rPr>
        <w:t xml:space="preserve"> with the ruling</w:t>
      </w:r>
      <w:r w:rsidRPr="008A1DB4">
        <w:rPr>
          <w:spacing w:val="-2"/>
          <w:lang w:val="en-US"/>
        </w:rPr>
        <w:t xml:space="preserve"> of the </w:t>
      </w:r>
      <w:r w:rsidR="00B43F84" w:rsidRPr="008A1DB4">
        <w:rPr>
          <w:spacing w:val="-2"/>
          <w:lang w:val="en-US"/>
        </w:rPr>
        <w:t>Constitutional Court</w:t>
      </w:r>
      <w:r w:rsidR="001063D9" w:rsidRPr="008A1DB4">
        <w:rPr>
          <w:spacing w:val="-2"/>
          <w:lang w:val="en-US"/>
        </w:rPr>
        <w:t xml:space="preserve"> </w:t>
      </w:r>
      <w:r w:rsidR="008C2CD9">
        <w:rPr>
          <w:spacing w:val="-2"/>
          <w:lang w:val="en-US"/>
        </w:rPr>
        <w:t>ordering</w:t>
      </w:r>
      <w:r w:rsidR="00A839BF" w:rsidRPr="008A1DB4">
        <w:rPr>
          <w:spacing w:val="-2"/>
          <w:lang w:val="en-US"/>
        </w:rPr>
        <w:t xml:space="preserve"> the Peruvian State to refrain from extraditing him.” He argued that the State had confused the provisional nature of the measures adopted by this Court with the final nature of the ruling </w:t>
      </w:r>
      <w:r w:rsidRPr="008A1DB4">
        <w:rPr>
          <w:spacing w:val="-2"/>
          <w:lang w:val="en-US"/>
        </w:rPr>
        <w:t xml:space="preserve">of the </w:t>
      </w:r>
      <w:r w:rsidR="00B43F84" w:rsidRPr="008A1DB4">
        <w:rPr>
          <w:spacing w:val="-2"/>
          <w:lang w:val="en-US"/>
        </w:rPr>
        <w:t>Constitutional Court</w:t>
      </w:r>
      <w:r w:rsidR="00F36400" w:rsidRPr="008A1DB4">
        <w:rPr>
          <w:spacing w:val="-2"/>
          <w:lang w:val="en-US"/>
        </w:rPr>
        <w:t xml:space="preserve"> and </w:t>
      </w:r>
      <w:r w:rsidR="001063D9" w:rsidRPr="008A1DB4">
        <w:rPr>
          <w:rFonts w:cs="ArialNarrow"/>
          <w:spacing w:val="-2"/>
          <w:lang w:val="en-US"/>
        </w:rPr>
        <w:t>conclu</w:t>
      </w:r>
      <w:r w:rsidR="00A839BF" w:rsidRPr="008A1DB4">
        <w:rPr>
          <w:rFonts w:cs="ArialNarrow"/>
          <w:spacing w:val="-2"/>
          <w:lang w:val="en-US"/>
        </w:rPr>
        <w:t xml:space="preserve">ded that Peru had violated Wong Ho Wing’s right to </w:t>
      </w:r>
      <w:r w:rsidR="00216773" w:rsidRPr="008A1DB4">
        <w:rPr>
          <w:rFonts w:cs="ArialNarrow"/>
          <w:spacing w:val="-2"/>
          <w:lang w:val="en-US"/>
        </w:rPr>
        <w:t>judicial protection</w:t>
      </w:r>
      <w:r w:rsidR="00A839BF" w:rsidRPr="008A1DB4">
        <w:rPr>
          <w:rFonts w:cs="ArialNarrow"/>
          <w:spacing w:val="-2"/>
          <w:lang w:val="en-US"/>
        </w:rPr>
        <w:t xml:space="preserve"> for the more than three years during which it had not executed the </w:t>
      </w:r>
      <w:r w:rsidR="00B43F84" w:rsidRPr="008A1DB4">
        <w:rPr>
          <w:rFonts w:cs="ArialNarrow"/>
          <w:spacing w:val="-2"/>
          <w:lang w:val="en-US"/>
        </w:rPr>
        <w:t>Constitutional Court</w:t>
      </w:r>
      <w:r w:rsidR="008C2CD9">
        <w:rPr>
          <w:rFonts w:cs="ArialNarrow"/>
          <w:spacing w:val="-2"/>
          <w:lang w:val="en-US"/>
        </w:rPr>
        <w:t>’s ruling</w:t>
      </w:r>
      <w:r w:rsidR="001063D9" w:rsidRPr="008A1DB4">
        <w:rPr>
          <w:rFonts w:cs="ArialNarrow"/>
          <w:spacing w:val="-2"/>
          <w:lang w:val="en-US"/>
        </w:rPr>
        <w:t xml:space="preserve">. </w:t>
      </w:r>
      <w:r w:rsidRPr="008A1DB4">
        <w:rPr>
          <w:spacing w:val="-2"/>
          <w:lang w:val="en-US"/>
        </w:rPr>
        <w:t>The representative</w:t>
      </w:r>
      <w:r w:rsidR="001063D9" w:rsidRPr="008A1DB4">
        <w:rPr>
          <w:b/>
          <w:i/>
          <w:spacing w:val="-2"/>
          <w:lang w:val="en-US"/>
        </w:rPr>
        <w:t xml:space="preserve"> </w:t>
      </w:r>
      <w:r w:rsidR="00A839BF" w:rsidRPr="008A1DB4">
        <w:rPr>
          <w:spacing w:val="-2"/>
          <w:lang w:val="en-US"/>
        </w:rPr>
        <w:t xml:space="preserve">indicated that there had been a lack of due diligence in the adoption of a final decision by </w:t>
      </w:r>
      <w:r w:rsidR="00776D24" w:rsidRPr="008A1DB4">
        <w:rPr>
          <w:spacing w:val="-2"/>
          <w:lang w:val="en-US"/>
        </w:rPr>
        <w:t xml:space="preserve">the </w:t>
      </w:r>
      <w:r w:rsidR="00B43F84" w:rsidRPr="008A1DB4">
        <w:rPr>
          <w:spacing w:val="-2"/>
          <w:lang w:val="en-US"/>
        </w:rPr>
        <w:t>Executive Branch</w:t>
      </w:r>
      <w:r w:rsidR="001063D9" w:rsidRPr="008A1DB4">
        <w:rPr>
          <w:spacing w:val="-2"/>
          <w:lang w:val="en-US"/>
        </w:rPr>
        <w:t>.</w:t>
      </w:r>
      <w:r w:rsidR="00A839BF" w:rsidRPr="008A1DB4">
        <w:rPr>
          <w:spacing w:val="-2"/>
          <w:lang w:val="en-US"/>
        </w:rPr>
        <w:t xml:space="preserve"> In this regard, he argued that </w:t>
      </w:r>
      <w:r w:rsidR="00B43F84" w:rsidRPr="008A1DB4">
        <w:rPr>
          <w:rFonts w:cs="ArialNarrow"/>
          <w:spacing w:val="-2"/>
          <w:lang w:val="en-US" w:eastAsia="es-CR"/>
        </w:rPr>
        <w:t>the Executive Branch</w:t>
      </w:r>
      <w:r w:rsidR="001063D9" w:rsidRPr="008A1DB4">
        <w:rPr>
          <w:rFonts w:cs="ArialNarrow"/>
          <w:spacing w:val="-2"/>
          <w:lang w:val="en-US" w:eastAsia="es-CR"/>
        </w:rPr>
        <w:t xml:space="preserve"> “ha</w:t>
      </w:r>
      <w:r w:rsidR="00A839BF" w:rsidRPr="008A1DB4">
        <w:rPr>
          <w:rFonts w:cs="ArialNarrow"/>
          <w:spacing w:val="-2"/>
          <w:lang w:val="en-US" w:eastAsia="es-CR"/>
        </w:rPr>
        <w:t xml:space="preserve">s been taking a series of delaying measures before adopting a final </w:t>
      </w:r>
      <w:r w:rsidR="00A33F97" w:rsidRPr="008A1DB4">
        <w:rPr>
          <w:rFonts w:cs="ArialNarrow"/>
          <w:spacing w:val="-2"/>
          <w:lang w:val="en-US" w:eastAsia="es-CR"/>
        </w:rPr>
        <w:t>decision</w:t>
      </w:r>
      <w:r w:rsidR="008C2CD9">
        <w:rPr>
          <w:rFonts w:cs="ArialNarrow"/>
          <w:spacing w:val="-2"/>
          <w:lang w:val="en-US" w:eastAsia="es-CR"/>
        </w:rPr>
        <w:t>,</w:t>
      </w:r>
      <w:r w:rsidR="00A839BF" w:rsidRPr="008A1DB4">
        <w:rPr>
          <w:rFonts w:cs="ArialNarrow"/>
          <w:spacing w:val="-2"/>
          <w:lang w:val="en-US" w:eastAsia="es-CR"/>
        </w:rPr>
        <w:t>” despite the ruling</w:t>
      </w:r>
      <w:r w:rsidRPr="008A1DB4">
        <w:rPr>
          <w:rFonts w:cs="ArialNarrow"/>
          <w:spacing w:val="-2"/>
          <w:lang w:val="en-US" w:eastAsia="es-CR"/>
        </w:rPr>
        <w:t xml:space="preserve"> of the </w:t>
      </w:r>
      <w:r w:rsidR="00B43F84" w:rsidRPr="008A1DB4">
        <w:rPr>
          <w:rFonts w:cs="ArialNarrow"/>
          <w:spacing w:val="-2"/>
          <w:lang w:val="en-US" w:eastAsia="es-CR"/>
        </w:rPr>
        <w:t>Constitutional Court</w:t>
      </w:r>
      <w:r w:rsidR="00A839BF" w:rsidRPr="008A1DB4">
        <w:rPr>
          <w:rFonts w:cs="ArialNarrow"/>
          <w:spacing w:val="-2"/>
          <w:lang w:val="en-US" w:eastAsia="es-CR"/>
        </w:rPr>
        <w:t xml:space="preserve">; among these, he mentioned the request to </w:t>
      </w:r>
      <w:r w:rsidR="00B67AC5" w:rsidRPr="008A1DB4">
        <w:rPr>
          <w:spacing w:val="-2"/>
          <w:lang w:val="en-US"/>
        </w:rPr>
        <w:t>the Supreme Court</w:t>
      </w:r>
      <w:r w:rsidR="001063D9" w:rsidRPr="008A1DB4">
        <w:rPr>
          <w:spacing w:val="-2"/>
          <w:lang w:val="en-US"/>
        </w:rPr>
        <w:t xml:space="preserve"> </w:t>
      </w:r>
      <w:r w:rsidR="00A839BF" w:rsidRPr="008A1DB4">
        <w:rPr>
          <w:spacing w:val="-2"/>
          <w:lang w:val="en-US"/>
        </w:rPr>
        <w:t xml:space="preserve">to issue a complementary </w:t>
      </w:r>
      <w:r w:rsidR="002D1CFC" w:rsidRPr="008A1DB4">
        <w:rPr>
          <w:spacing w:val="-2"/>
          <w:lang w:val="en-US"/>
        </w:rPr>
        <w:t>advisory decision</w:t>
      </w:r>
      <w:r w:rsidR="00A839BF" w:rsidRPr="008A1DB4">
        <w:rPr>
          <w:spacing w:val="-2"/>
          <w:lang w:val="en-US"/>
        </w:rPr>
        <w:t>, as well as the “request submitted to the 42</w:t>
      </w:r>
      <w:r w:rsidR="00A839BF" w:rsidRPr="008A1DB4">
        <w:rPr>
          <w:spacing w:val="-2"/>
          <w:vertAlign w:val="superscript"/>
          <w:lang w:val="en-US"/>
        </w:rPr>
        <w:t>nd</w:t>
      </w:r>
      <w:r w:rsidR="00A839BF" w:rsidRPr="008A1DB4">
        <w:rPr>
          <w:spacing w:val="-2"/>
          <w:lang w:val="en-US"/>
        </w:rPr>
        <w:t xml:space="preserve"> Special Criminal Court of the Superior Court of Justice of Lima on November 25, 2011, that the Public Attorney responsible for the Judicial Matters </w:t>
      </w:r>
      <w:r w:rsidR="00671326" w:rsidRPr="008A1DB4">
        <w:rPr>
          <w:spacing w:val="-2"/>
          <w:lang w:val="en-US"/>
        </w:rPr>
        <w:t xml:space="preserve">of the </w:t>
      </w:r>
      <w:r w:rsidR="002D1CFC" w:rsidRPr="008A1DB4">
        <w:rPr>
          <w:spacing w:val="-2"/>
          <w:lang w:val="en-US"/>
        </w:rPr>
        <w:t>Ministry of Justice</w:t>
      </w:r>
      <w:r w:rsidR="001063D9" w:rsidRPr="008A1DB4">
        <w:rPr>
          <w:spacing w:val="-2"/>
          <w:lang w:val="en-US"/>
        </w:rPr>
        <w:t xml:space="preserve"> </w:t>
      </w:r>
      <w:r w:rsidR="00A839BF" w:rsidRPr="008A1DB4">
        <w:rPr>
          <w:spacing w:val="-2"/>
          <w:lang w:val="en-US"/>
        </w:rPr>
        <w:t xml:space="preserve">present some ‘clarifications’ regarding compliance with the ruling </w:t>
      </w:r>
      <w:r w:rsidRPr="008A1DB4">
        <w:rPr>
          <w:spacing w:val="-2"/>
          <w:lang w:val="en-US"/>
        </w:rPr>
        <w:t xml:space="preserve">of the </w:t>
      </w:r>
      <w:r w:rsidR="00B43F84" w:rsidRPr="008A1DB4">
        <w:rPr>
          <w:spacing w:val="-2"/>
          <w:lang w:val="en-US"/>
        </w:rPr>
        <w:t>Constitutional Court</w:t>
      </w:r>
      <w:r w:rsidR="00A839BF" w:rsidRPr="008A1DB4">
        <w:rPr>
          <w:spacing w:val="-2"/>
          <w:lang w:val="en-US"/>
        </w:rPr>
        <w:t xml:space="preserve"> of</w:t>
      </w:r>
      <w:r w:rsidR="001063D9" w:rsidRPr="008A1DB4">
        <w:rPr>
          <w:spacing w:val="-2"/>
          <w:lang w:val="en-US"/>
        </w:rPr>
        <w:t xml:space="preserve"> </w:t>
      </w:r>
      <w:r w:rsidR="00B43F84" w:rsidRPr="008A1DB4">
        <w:rPr>
          <w:spacing w:val="-2"/>
          <w:lang w:val="en-US"/>
        </w:rPr>
        <w:t>May 24,</w:t>
      </w:r>
      <w:r w:rsidR="001063D9" w:rsidRPr="008A1DB4">
        <w:rPr>
          <w:spacing w:val="-2"/>
          <w:lang w:val="en-US"/>
        </w:rPr>
        <w:t xml:space="preserve"> 2011”. </w:t>
      </w:r>
    </w:p>
    <w:p w14:paraId="787C4D0B" w14:textId="77777777" w:rsidR="001063D9" w:rsidRPr="008A1DB4" w:rsidRDefault="001063D9" w:rsidP="00956E97">
      <w:pPr>
        <w:pStyle w:val="PrrafodeSentencia"/>
        <w:numPr>
          <w:ilvl w:val="0"/>
          <w:numId w:val="0"/>
        </w:numPr>
        <w:rPr>
          <w:spacing w:val="-2"/>
          <w:lang w:val="en-US"/>
        </w:rPr>
      </w:pPr>
    </w:p>
    <w:p w14:paraId="6C42E771" w14:textId="66F86851" w:rsidR="001063D9" w:rsidRPr="008A1DB4" w:rsidRDefault="00F36400" w:rsidP="001F760A">
      <w:pPr>
        <w:pStyle w:val="PrrafodeSentencia"/>
        <w:tabs>
          <w:tab w:val="left" w:pos="567"/>
        </w:tabs>
        <w:rPr>
          <w:spacing w:val="-2"/>
          <w:lang w:val="en-US"/>
        </w:rPr>
      </w:pPr>
      <w:bookmarkStart w:id="815" w:name="_Ref429400134"/>
      <w:r w:rsidRPr="008A1DB4">
        <w:rPr>
          <w:spacing w:val="-2"/>
          <w:lang w:val="en-US"/>
        </w:rPr>
        <w:t>The State</w:t>
      </w:r>
      <w:r w:rsidR="00A839BF" w:rsidRPr="008A1DB4">
        <w:rPr>
          <w:spacing w:val="-2"/>
          <w:lang w:val="en-US"/>
        </w:rPr>
        <w:t xml:space="preserve"> stressed that </w:t>
      </w:r>
      <w:r w:rsidRPr="008A1DB4">
        <w:rPr>
          <w:spacing w:val="-2"/>
          <w:lang w:val="en-US"/>
        </w:rPr>
        <w:t xml:space="preserve">the </w:t>
      </w:r>
      <w:r w:rsidR="00B43F84" w:rsidRPr="008A1DB4">
        <w:rPr>
          <w:spacing w:val="-2"/>
          <w:lang w:val="en-US"/>
        </w:rPr>
        <w:t>Constitutional Court</w:t>
      </w:r>
      <w:r w:rsidR="001063D9" w:rsidRPr="008A1DB4">
        <w:rPr>
          <w:spacing w:val="-2"/>
          <w:lang w:val="en-US"/>
        </w:rPr>
        <w:t xml:space="preserve"> </w:t>
      </w:r>
      <w:r w:rsidR="00A839BF" w:rsidRPr="008A1DB4">
        <w:rPr>
          <w:spacing w:val="-2"/>
          <w:lang w:val="en-US"/>
        </w:rPr>
        <w:t xml:space="preserve">had </w:t>
      </w:r>
      <w:r w:rsidR="0079515C" w:rsidRPr="008A1DB4">
        <w:rPr>
          <w:spacing w:val="-2"/>
          <w:lang w:val="en-US"/>
        </w:rPr>
        <w:t>ordered</w:t>
      </w:r>
      <w:r w:rsidR="00A839BF" w:rsidRPr="008A1DB4">
        <w:rPr>
          <w:spacing w:val="-2"/>
          <w:lang w:val="en-US"/>
        </w:rPr>
        <w:t xml:space="preserve"> it to refrain from extraditing </w:t>
      </w:r>
      <w:r w:rsidR="00B43F84" w:rsidRPr="008A1DB4">
        <w:rPr>
          <w:spacing w:val="-2"/>
          <w:lang w:val="en-US"/>
        </w:rPr>
        <w:t>Wong</w:t>
      </w:r>
      <w:r w:rsidR="001063D9" w:rsidRPr="008A1DB4">
        <w:rPr>
          <w:spacing w:val="-2"/>
          <w:lang w:val="en-US"/>
        </w:rPr>
        <w:t xml:space="preserve"> Ho Wing, </w:t>
      </w:r>
      <w:r w:rsidR="00A839BF" w:rsidRPr="008A1DB4">
        <w:rPr>
          <w:spacing w:val="-2"/>
          <w:lang w:val="en-US"/>
        </w:rPr>
        <w:t xml:space="preserve">but had not decided on the denial </w:t>
      </w:r>
      <w:r w:rsidR="00671326" w:rsidRPr="008A1DB4">
        <w:rPr>
          <w:spacing w:val="-2"/>
          <w:lang w:val="en-US"/>
        </w:rPr>
        <w:t xml:space="preserve">of the </w:t>
      </w:r>
      <w:r w:rsidR="00087CF8" w:rsidRPr="008A1DB4">
        <w:rPr>
          <w:spacing w:val="-2"/>
          <w:lang w:val="en-US"/>
        </w:rPr>
        <w:t>extradition request</w:t>
      </w:r>
      <w:r w:rsidR="001063D9" w:rsidRPr="008A1DB4">
        <w:rPr>
          <w:spacing w:val="-2"/>
          <w:lang w:val="en-US"/>
        </w:rPr>
        <w:t xml:space="preserve">. </w:t>
      </w:r>
      <w:r w:rsidR="00A839BF" w:rsidRPr="008A1DB4">
        <w:rPr>
          <w:spacing w:val="-2"/>
          <w:lang w:val="en-US"/>
        </w:rPr>
        <w:t xml:space="preserve">It noted that the ruling </w:t>
      </w:r>
      <w:r w:rsidR="00C45946" w:rsidRPr="008A1DB4">
        <w:rPr>
          <w:spacing w:val="-2"/>
          <w:lang w:val="en-US"/>
        </w:rPr>
        <w:t xml:space="preserve">of the </w:t>
      </w:r>
      <w:r w:rsidR="00B43F84" w:rsidRPr="008A1DB4">
        <w:rPr>
          <w:spacing w:val="-2"/>
          <w:lang w:val="en-US"/>
        </w:rPr>
        <w:t>Constitutional Court</w:t>
      </w:r>
      <w:r w:rsidR="001063D9" w:rsidRPr="008A1DB4">
        <w:rPr>
          <w:spacing w:val="-2"/>
          <w:lang w:val="en-US"/>
        </w:rPr>
        <w:t xml:space="preserve"> </w:t>
      </w:r>
      <w:r w:rsidR="00A839BF" w:rsidRPr="008A1DB4">
        <w:rPr>
          <w:spacing w:val="-2"/>
          <w:lang w:val="en-US"/>
        </w:rPr>
        <w:t xml:space="preserve">was binding for </w:t>
      </w:r>
      <w:r w:rsidR="00B43F84" w:rsidRPr="008A1DB4">
        <w:rPr>
          <w:spacing w:val="-2"/>
          <w:lang w:val="en-US"/>
        </w:rPr>
        <w:t>the Executive Branch</w:t>
      </w:r>
      <w:r w:rsidR="001063D9" w:rsidRPr="008A1DB4">
        <w:rPr>
          <w:spacing w:val="-2"/>
          <w:lang w:val="en-US"/>
        </w:rPr>
        <w:t xml:space="preserve">, </w:t>
      </w:r>
      <w:r w:rsidR="00A839BF" w:rsidRPr="008A1DB4">
        <w:rPr>
          <w:spacing w:val="-2"/>
          <w:lang w:val="en-US"/>
        </w:rPr>
        <w:t>but that “</w:t>
      </w:r>
      <w:r w:rsidR="001F760A" w:rsidRPr="008A1DB4">
        <w:rPr>
          <w:spacing w:val="-2"/>
          <w:lang w:val="en-US"/>
        </w:rPr>
        <w:t xml:space="preserve">legal discrepancies or questions may exist regarding its execution.” According to the State, the requests for clarification “in no way signify the intention to disregard a jurisdictional ruling or prevent its execution, but their purpose was to resolve any questions that arose.” Regarding the reasonable time, the State indicated that, “non-compliance with the reasonable time does not entail the immediate and direct harm to the right to a reasonable time for the duration of a process.”  In relation to the complexity of the matter, it asked that the Court take into account the “absence of case law of the inter-American system for the protection of human rights concerning the basic diplomatic assurances that a State should request in extradition matters; the absence of domestic case law on the constitutional control of acts of the Executive Branch in relation to extradition; the lack of clarify in the ruling of the Constitutional Court, and the fact that the provisional measures of the Inter-American Court were in force.” With regard to the procedural activity of the person concerned, the State indicated that “[the applications for </w:t>
      </w:r>
      <w:r w:rsidR="001F760A" w:rsidRPr="008A1DB4">
        <w:rPr>
          <w:i/>
          <w:spacing w:val="-2"/>
          <w:lang w:val="en-US"/>
        </w:rPr>
        <w:t>habeas corpus</w:t>
      </w:r>
      <w:r w:rsidR="001F760A" w:rsidRPr="008A1DB4">
        <w:rPr>
          <w:spacing w:val="-2"/>
          <w:lang w:val="en-US"/>
        </w:rPr>
        <w:t xml:space="preserve">] were filed at each stage of the extradition procedure, preventing it from going forward normally.” The State did not rule on </w:t>
      </w:r>
      <w:r w:rsidR="001F760A" w:rsidRPr="008A1DB4">
        <w:rPr>
          <w:spacing w:val="-2"/>
          <w:lang w:val="en-US"/>
        </w:rPr>
        <w:lastRenderedPageBreak/>
        <w:t xml:space="preserve">the conduct of its judicial authorities, because it considered that this had “not been questioned” and that, “regarding the conduct of the authorities, the Commission only referred to those who were part of the Executive Branch.” Thus, it affirmed that “the ruling of the Constitutional Court […] does not result in any obligation to issue a decision rejecting the extradition.” The State also understood that the Commission’s argument on the legal situation of the person involved in the process should “be rejected,” because it was the result of its continuing confusion about the real scope of the ruling </w:t>
      </w:r>
      <w:r w:rsidR="00C45946" w:rsidRPr="008A1DB4">
        <w:rPr>
          <w:bCs/>
          <w:iCs/>
          <w:spacing w:val="-2"/>
          <w:lang w:val="en-US"/>
        </w:rPr>
        <w:t xml:space="preserve">of the </w:t>
      </w:r>
      <w:r w:rsidR="00B43F84" w:rsidRPr="008A1DB4">
        <w:rPr>
          <w:bCs/>
          <w:iCs/>
          <w:spacing w:val="-2"/>
          <w:lang w:val="en-US"/>
        </w:rPr>
        <w:t>Constitutional Court</w:t>
      </w:r>
      <w:r w:rsidR="001F760A" w:rsidRPr="008A1DB4">
        <w:rPr>
          <w:bCs/>
          <w:iCs/>
          <w:spacing w:val="-2"/>
          <w:lang w:val="en-US"/>
        </w:rPr>
        <w:t xml:space="preserve">.” It underscored that “[t]he delay in the final decision in </w:t>
      </w:r>
      <w:r w:rsidR="00FC5891" w:rsidRPr="008A1DB4">
        <w:rPr>
          <w:spacing w:val="-2"/>
          <w:lang w:val="en-US"/>
        </w:rPr>
        <w:t>the extradition process</w:t>
      </w:r>
      <w:r w:rsidR="001063D9" w:rsidRPr="008A1DB4">
        <w:rPr>
          <w:spacing w:val="-2"/>
          <w:lang w:val="en-US"/>
        </w:rPr>
        <w:t xml:space="preserve"> ha</w:t>
      </w:r>
      <w:r w:rsidR="001F760A" w:rsidRPr="008A1DB4">
        <w:rPr>
          <w:spacing w:val="-2"/>
          <w:lang w:val="en-US"/>
        </w:rPr>
        <w:t>s been the result of the actions of [the representative] in the domestic and international, and those of the Commission.”</w:t>
      </w:r>
      <w:bookmarkEnd w:id="815"/>
    </w:p>
    <w:p w14:paraId="6DA73ACA" w14:textId="77777777" w:rsidR="00F243F9" w:rsidRPr="008A1DB4" w:rsidRDefault="00F243F9" w:rsidP="00956E97">
      <w:pPr>
        <w:pStyle w:val="PrrafodeSentencia"/>
        <w:numPr>
          <w:ilvl w:val="0"/>
          <w:numId w:val="0"/>
        </w:numPr>
        <w:tabs>
          <w:tab w:val="left" w:pos="567"/>
        </w:tabs>
        <w:rPr>
          <w:spacing w:val="-2"/>
          <w:lang w:val="en-US"/>
        </w:rPr>
      </w:pPr>
    </w:p>
    <w:p w14:paraId="5DB5DC93" w14:textId="0B7DA9FE" w:rsidR="001063D9" w:rsidRPr="008A1DB4" w:rsidRDefault="002A5362" w:rsidP="00956E97">
      <w:pPr>
        <w:pStyle w:val="Heading1"/>
        <w:rPr>
          <w:spacing w:val="-2"/>
          <w:lang w:val="en-US"/>
        </w:rPr>
      </w:pPr>
      <w:bookmarkStart w:id="816" w:name="_Toc418912623"/>
      <w:bookmarkStart w:id="817" w:name="_Toc419394411"/>
      <w:bookmarkStart w:id="818" w:name="_Toc429490277"/>
      <w:bookmarkStart w:id="819" w:name="_Toc429503791"/>
      <w:bookmarkStart w:id="820" w:name="_Toc429504297"/>
      <w:bookmarkStart w:id="821" w:name="_Toc429678010"/>
      <w:bookmarkStart w:id="822" w:name="_Toc430017173"/>
      <w:bookmarkStart w:id="823" w:name="_Toc430017402"/>
      <w:bookmarkStart w:id="824" w:name="_Toc430018684"/>
      <w:bookmarkStart w:id="825" w:name="_Toc430125282"/>
      <w:bookmarkStart w:id="826" w:name="_Toc430125390"/>
      <w:r w:rsidRPr="008A1DB4">
        <w:rPr>
          <w:spacing w:val="-2"/>
          <w:lang w:val="en-US"/>
        </w:rPr>
        <w:t>B</w:t>
      </w:r>
      <w:r w:rsidR="0019572D" w:rsidRPr="008A1DB4">
        <w:rPr>
          <w:spacing w:val="-2"/>
          <w:lang w:val="en-US"/>
        </w:rPr>
        <w:t>.</w:t>
      </w:r>
      <w:r w:rsidRPr="008A1DB4">
        <w:rPr>
          <w:spacing w:val="-2"/>
          <w:lang w:val="en-US"/>
        </w:rPr>
        <w:t xml:space="preserve"> </w:t>
      </w:r>
      <w:r w:rsidR="00A836C4" w:rsidRPr="008A1DB4">
        <w:rPr>
          <w:spacing w:val="-2"/>
          <w:lang w:val="en-US"/>
        </w:rPr>
        <w:t>Considerations</w:t>
      </w:r>
      <w:r w:rsidR="00F36400" w:rsidRPr="008A1DB4">
        <w:rPr>
          <w:spacing w:val="-2"/>
          <w:lang w:val="en-US"/>
        </w:rPr>
        <w:t xml:space="preserve"> of the Court</w:t>
      </w:r>
      <w:bookmarkEnd w:id="816"/>
      <w:bookmarkEnd w:id="817"/>
      <w:bookmarkEnd w:id="818"/>
      <w:bookmarkEnd w:id="819"/>
      <w:bookmarkEnd w:id="820"/>
      <w:bookmarkEnd w:id="821"/>
      <w:bookmarkEnd w:id="822"/>
      <w:bookmarkEnd w:id="823"/>
      <w:bookmarkEnd w:id="824"/>
      <w:bookmarkEnd w:id="825"/>
      <w:bookmarkEnd w:id="826"/>
    </w:p>
    <w:p w14:paraId="24DBDD6E" w14:textId="77777777" w:rsidR="002B29EC" w:rsidRPr="008A1DB4" w:rsidRDefault="002B29EC" w:rsidP="00956E97">
      <w:pPr>
        <w:rPr>
          <w:spacing w:val="-2"/>
          <w:lang w:val="en-US"/>
        </w:rPr>
      </w:pPr>
    </w:p>
    <w:p w14:paraId="21CA7943" w14:textId="3CCB55B3" w:rsidR="00470B06" w:rsidRPr="008A1DB4" w:rsidRDefault="00F36400" w:rsidP="00956E97">
      <w:pPr>
        <w:pStyle w:val="PrrafodeSentencia"/>
        <w:rPr>
          <w:spacing w:val="-2"/>
          <w:lang w:val="en-US"/>
        </w:rPr>
      </w:pPr>
      <w:bookmarkStart w:id="827" w:name="_Ref418887572"/>
      <w:bookmarkEnd w:id="272"/>
      <w:bookmarkEnd w:id="273"/>
      <w:bookmarkEnd w:id="274"/>
      <w:bookmarkEnd w:id="275"/>
      <w:bookmarkEnd w:id="276"/>
      <w:bookmarkEnd w:id="277"/>
      <w:bookmarkEnd w:id="278"/>
      <w:bookmarkEnd w:id="279"/>
      <w:bookmarkEnd w:id="280"/>
      <w:bookmarkEnd w:id="281"/>
      <w:bookmarkEnd w:id="282"/>
      <w:bookmarkEnd w:id="283"/>
      <w:r w:rsidRPr="008A1DB4">
        <w:rPr>
          <w:spacing w:val="-2"/>
          <w:lang w:val="en-US"/>
        </w:rPr>
        <w:t>The Court</w:t>
      </w:r>
      <w:r w:rsidR="00470B06" w:rsidRPr="008A1DB4">
        <w:rPr>
          <w:spacing w:val="-2"/>
          <w:lang w:val="en-US"/>
        </w:rPr>
        <w:t xml:space="preserve"> </w:t>
      </w:r>
      <w:r w:rsidR="00D348E0" w:rsidRPr="008A1DB4">
        <w:rPr>
          <w:spacing w:val="-2"/>
          <w:lang w:val="en-US"/>
        </w:rPr>
        <w:t xml:space="preserve">notes that, following the second </w:t>
      </w:r>
      <w:r w:rsidR="002D1CFC" w:rsidRPr="008A1DB4">
        <w:rPr>
          <w:spacing w:val="-2"/>
          <w:lang w:val="en-US"/>
        </w:rPr>
        <w:t>advisory decision</w:t>
      </w:r>
      <w:r w:rsidRPr="008A1DB4">
        <w:rPr>
          <w:spacing w:val="-2"/>
          <w:lang w:val="en-US"/>
        </w:rPr>
        <w:t xml:space="preserve"> of </w:t>
      </w:r>
      <w:r w:rsidR="00B67AC5" w:rsidRPr="008A1DB4">
        <w:rPr>
          <w:spacing w:val="-2"/>
          <w:lang w:val="en-US"/>
        </w:rPr>
        <w:t>the Supreme Court</w:t>
      </w:r>
      <w:r w:rsidR="00470B06" w:rsidRPr="008A1DB4">
        <w:rPr>
          <w:spacing w:val="-2"/>
          <w:lang w:val="en-US"/>
        </w:rPr>
        <w:t xml:space="preserve">, </w:t>
      </w:r>
      <w:r w:rsidR="00C45946" w:rsidRPr="008A1DB4">
        <w:rPr>
          <w:spacing w:val="-2"/>
          <w:lang w:val="en-US"/>
        </w:rPr>
        <w:t>the representative</w:t>
      </w:r>
      <w:r w:rsidR="00470B06" w:rsidRPr="008A1DB4">
        <w:rPr>
          <w:spacing w:val="-2"/>
          <w:lang w:val="en-US"/>
        </w:rPr>
        <w:t xml:space="preserve"> </w:t>
      </w:r>
      <w:r w:rsidR="00B43F84" w:rsidRPr="008A1DB4">
        <w:rPr>
          <w:spacing w:val="-2"/>
          <w:lang w:val="en-US"/>
        </w:rPr>
        <w:t>of Wong</w:t>
      </w:r>
      <w:r w:rsidR="00D348E0" w:rsidRPr="008A1DB4">
        <w:rPr>
          <w:spacing w:val="-2"/>
          <w:lang w:val="en-US"/>
        </w:rPr>
        <w:t xml:space="preserve"> Ho Wing filed an application for </w:t>
      </w:r>
      <w:r w:rsidR="00E022F9" w:rsidRPr="008A1DB4">
        <w:rPr>
          <w:i/>
          <w:spacing w:val="-2"/>
          <w:lang w:val="en-US"/>
        </w:rPr>
        <w:t>habeas corpus</w:t>
      </w:r>
      <w:r w:rsidR="00470B06" w:rsidRPr="008A1DB4">
        <w:rPr>
          <w:spacing w:val="-2"/>
          <w:lang w:val="en-US"/>
        </w:rPr>
        <w:t xml:space="preserve"> </w:t>
      </w:r>
      <w:r w:rsidR="00D348E0" w:rsidRPr="008A1DB4">
        <w:rPr>
          <w:spacing w:val="-2"/>
          <w:lang w:val="en-US"/>
        </w:rPr>
        <w:t xml:space="preserve">in view of the certain and imminent risk that </w:t>
      </w:r>
      <w:r w:rsidRPr="008A1DB4">
        <w:rPr>
          <w:spacing w:val="-2"/>
          <w:lang w:val="en-US"/>
        </w:rPr>
        <w:t>the presumed victim</w:t>
      </w:r>
      <w:r w:rsidR="00470B06" w:rsidRPr="008A1DB4">
        <w:rPr>
          <w:spacing w:val="-2"/>
          <w:lang w:val="en-US"/>
        </w:rPr>
        <w:t xml:space="preserve"> </w:t>
      </w:r>
      <w:r w:rsidR="00D348E0" w:rsidRPr="008A1DB4">
        <w:rPr>
          <w:spacing w:val="-2"/>
          <w:lang w:val="en-US"/>
        </w:rPr>
        <w:t xml:space="preserve">could be extradited, using the remedies established by Peruvian law. This </w:t>
      </w:r>
      <w:r w:rsidR="00E022F9" w:rsidRPr="008A1DB4">
        <w:rPr>
          <w:i/>
          <w:spacing w:val="-2"/>
          <w:lang w:val="en-US"/>
        </w:rPr>
        <w:t>habeas corpus</w:t>
      </w:r>
      <w:r w:rsidR="00D348E0" w:rsidRPr="008A1DB4">
        <w:rPr>
          <w:spacing w:val="-2"/>
          <w:lang w:val="en-US"/>
        </w:rPr>
        <w:t xml:space="preserve"> was ultimately decided in May 2011 by </w:t>
      </w:r>
      <w:r w:rsidRPr="008A1DB4">
        <w:rPr>
          <w:spacing w:val="-2"/>
          <w:lang w:val="en-US"/>
        </w:rPr>
        <w:t xml:space="preserve">the </w:t>
      </w:r>
      <w:r w:rsidR="00B43F84" w:rsidRPr="008A1DB4">
        <w:rPr>
          <w:spacing w:val="-2"/>
          <w:lang w:val="en-US"/>
        </w:rPr>
        <w:t>Constitutional Court</w:t>
      </w:r>
      <w:r w:rsidR="00470B06" w:rsidRPr="008A1DB4">
        <w:rPr>
          <w:spacing w:val="-2"/>
          <w:lang w:val="en-US"/>
        </w:rPr>
        <w:t xml:space="preserve">, </w:t>
      </w:r>
      <w:r w:rsidR="00D348E0" w:rsidRPr="008A1DB4">
        <w:rPr>
          <w:spacing w:val="-2"/>
          <w:lang w:val="en-US"/>
        </w:rPr>
        <w:t xml:space="preserve">by means of a </w:t>
      </w:r>
      <w:r w:rsidR="0079515C" w:rsidRPr="008A1DB4">
        <w:rPr>
          <w:spacing w:val="-2"/>
          <w:lang w:val="en-US"/>
        </w:rPr>
        <w:t>constitutional</w:t>
      </w:r>
      <w:r w:rsidR="00D348E0" w:rsidRPr="008A1DB4">
        <w:rPr>
          <w:spacing w:val="-2"/>
          <w:lang w:val="en-US"/>
        </w:rPr>
        <w:t xml:space="preserve"> </w:t>
      </w:r>
      <w:r w:rsidR="00152E77">
        <w:rPr>
          <w:spacing w:val="-2"/>
          <w:lang w:val="en-US"/>
        </w:rPr>
        <w:t>appeal,</w:t>
      </w:r>
      <w:r w:rsidR="00D348E0" w:rsidRPr="008A1DB4">
        <w:rPr>
          <w:spacing w:val="-2"/>
          <w:lang w:val="en-US"/>
        </w:rPr>
        <w:t xml:space="preserve"> when that court considered that sufficient assurances that the death penalty would not be imposed had not been provided, and therefore</w:t>
      </w:r>
      <w:r w:rsidR="00470B06" w:rsidRPr="008A1DB4">
        <w:rPr>
          <w:spacing w:val="-2"/>
          <w:lang w:val="en-US"/>
        </w:rPr>
        <w:t>: (</w:t>
      </w:r>
      <w:proofErr w:type="spellStart"/>
      <w:r w:rsidR="00470B06" w:rsidRPr="008A1DB4">
        <w:rPr>
          <w:spacing w:val="-2"/>
          <w:lang w:val="en-US"/>
        </w:rPr>
        <w:t>i</w:t>
      </w:r>
      <w:proofErr w:type="spellEnd"/>
      <w:r w:rsidR="00470B06" w:rsidRPr="008A1DB4">
        <w:rPr>
          <w:spacing w:val="-2"/>
          <w:lang w:val="en-US"/>
        </w:rPr>
        <w:t>) orde</w:t>
      </w:r>
      <w:r w:rsidR="00D348E0" w:rsidRPr="008A1DB4">
        <w:rPr>
          <w:spacing w:val="-2"/>
          <w:lang w:val="en-US"/>
        </w:rPr>
        <w:t xml:space="preserve">red the State to refrain from extraditing </w:t>
      </w:r>
      <w:r w:rsidR="00B43F84" w:rsidRPr="008A1DB4">
        <w:rPr>
          <w:spacing w:val="-2"/>
          <w:lang w:val="en-US"/>
        </w:rPr>
        <w:t>Wong</w:t>
      </w:r>
      <w:r w:rsidR="00470B06" w:rsidRPr="008A1DB4">
        <w:rPr>
          <w:spacing w:val="-2"/>
          <w:lang w:val="en-US"/>
        </w:rPr>
        <w:t xml:space="preserve"> Ho Wing</w:t>
      </w:r>
      <w:r w:rsidR="00D348E0" w:rsidRPr="008A1DB4">
        <w:rPr>
          <w:spacing w:val="-2"/>
          <w:lang w:val="en-US"/>
        </w:rPr>
        <w:t>,</w:t>
      </w:r>
      <w:r w:rsidRPr="008A1DB4">
        <w:rPr>
          <w:spacing w:val="-2"/>
          <w:lang w:val="en-US"/>
        </w:rPr>
        <w:t xml:space="preserve"> and </w:t>
      </w:r>
      <w:r w:rsidR="00470B06" w:rsidRPr="008A1DB4">
        <w:rPr>
          <w:spacing w:val="-2"/>
          <w:lang w:val="en-US"/>
        </w:rPr>
        <w:t xml:space="preserve">(ii) </w:t>
      </w:r>
      <w:r w:rsidR="00D348E0" w:rsidRPr="008A1DB4">
        <w:rPr>
          <w:spacing w:val="-2"/>
          <w:lang w:val="en-US"/>
        </w:rPr>
        <w:t xml:space="preserve">urged the State to try him in </w:t>
      </w:r>
      <w:r w:rsidR="00FE5E87" w:rsidRPr="008A1DB4">
        <w:rPr>
          <w:spacing w:val="-2"/>
          <w:lang w:val="en-US"/>
        </w:rPr>
        <w:t>Peru</w:t>
      </w:r>
      <w:r w:rsidR="00470B06" w:rsidRPr="008A1DB4">
        <w:rPr>
          <w:spacing w:val="-2"/>
          <w:lang w:val="en-US"/>
        </w:rPr>
        <w:t xml:space="preserve"> (</w:t>
      </w:r>
      <w:r w:rsidR="00470B06" w:rsidRPr="008A1DB4">
        <w:rPr>
          <w:i/>
          <w:spacing w:val="-2"/>
          <w:lang w:val="en-US"/>
        </w:rPr>
        <w:t>supra</w:t>
      </w:r>
      <w:r w:rsidR="00470B06" w:rsidRPr="008A1DB4">
        <w:rPr>
          <w:spacing w:val="-2"/>
          <w:lang w:val="en-US"/>
        </w:rPr>
        <w:t xml:space="preserve"> </w:t>
      </w:r>
      <w:r w:rsidR="00631F9C" w:rsidRPr="008A1DB4">
        <w:rPr>
          <w:spacing w:val="-2"/>
          <w:lang w:val="en-US"/>
        </w:rPr>
        <w:t>paras.</w:t>
      </w:r>
      <w:r w:rsidR="00470B06" w:rsidRPr="008A1DB4">
        <w:rPr>
          <w:spacing w:val="-2"/>
          <w:lang w:val="en-US"/>
        </w:rPr>
        <w:t xml:space="preserve"> </w:t>
      </w:r>
      <w:r w:rsidR="00305F9C" w:rsidRPr="008A1DB4">
        <w:rPr>
          <w:spacing w:val="-2"/>
          <w:lang w:val="en-US"/>
        </w:rPr>
        <w:fldChar w:fldCharType="begin"/>
      </w:r>
      <w:r w:rsidR="00305F9C" w:rsidRPr="008A1DB4">
        <w:rPr>
          <w:spacing w:val="-2"/>
          <w:lang w:val="en-US"/>
        </w:rPr>
        <w:instrText xml:space="preserve"> REF _Ref418911268 \r \h </w:instrText>
      </w:r>
      <w:r w:rsidR="00DC41F4" w:rsidRPr="008A1DB4">
        <w:rPr>
          <w:spacing w:val="-2"/>
          <w:lang w:val="en-US"/>
        </w:rPr>
        <w:instrText xml:space="preserve"> \* MERGEFORMAT </w:instrText>
      </w:r>
      <w:r w:rsidR="00305F9C" w:rsidRPr="008A1DB4">
        <w:rPr>
          <w:spacing w:val="-2"/>
          <w:lang w:val="en-US"/>
        </w:rPr>
      </w:r>
      <w:r w:rsidR="00305F9C" w:rsidRPr="008A1DB4">
        <w:rPr>
          <w:spacing w:val="-2"/>
          <w:lang w:val="en-US"/>
        </w:rPr>
        <w:fldChar w:fldCharType="separate"/>
      </w:r>
      <w:r w:rsidR="00E961FA" w:rsidRPr="008A1DB4">
        <w:rPr>
          <w:spacing w:val="-2"/>
          <w:lang w:val="en-US"/>
        </w:rPr>
        <w:t>79</w:t>
      </w:r>
      <w:r w:rsidR="00305F9C" w:rsidRPr="008A1DB4">
        <w:rPr>
          <w:spacing w:val="-2"/>
          <w:lang w:val="en-US"/>
        </w:rPr>
        <w:fldChar w:fldCharType="end"/>
      </w:r>
      <w:r w:rsidR="00D348E0" w:rsidRPr="008A1DB4">
        <w:rPr>
          <w:spacing w:val="-2"/>
          <w:lang w:val="en-US"/>
        </w:rPr>
        <w:t xml:space="preserve"> to</w:t>
      </w:r>
      <w:r w:rsidR="00B10845" w:rsidRPr="008A1DB4">
        <w:rPr>
          <w:spacing w:val="-2"/>
          <w:lang w:val="en-US"/>
        </w:rPr>
        <w:t xml:space="preserve"> </w:t>
      </w:r>
      <w:r w:rsidR="00B10845" w:rsidRPr="008A1DB4">
        <w:rPr>
          <w:spacing w:val="-2"/>
          <w:lang w:val="en-US"/>
        </w:rPr>
        <w:fldChar w:fldCharType="begin"/>
      </w:r>
      <w:r w:rsidR="00B10845" w:rsidRPr="008A1DB4">
        <w:rPr>
          <w:spacing w:val="-2"/>
          <w:lang w:val="en-US"/>
        </w:rPr>
        <w:instrText xml:space="preserve"> REF _Ref429129855 \r \h </w:instrText>
      </w:r>
      <w:r w:rsidR="00DC41F4" w:rsidRPr="008A1DB4">
        <w:rPr>
          <w:spacing w:val="-2"/>
          <w:lang w:val="en-US"/>
        </w:rPr>
        <w:instrText xml:space="preserve"> \* MERGEFORMAT </w:instrText>
      </w:r>
      <w:r w:rsidR="00B10845" w:rsidRPr="008A1DB4">
        <w:rPr>
          <w:spacing w:val="-2"/>
          <w:lang w:val="en-US"/>
        </w:rPr>
      </w:r>
      <w:r w:rsidR="00B10845" w:rsidRPr="008A1DB4">
        <w:rPr>
          <w:spacing w:val="-2"/>
          <w:lang w:val="en-US"/>
        </w:rPr>
        <w:fldChar w:fldCharType="separate"/>
      </w:r>
      <w:r w:rsidR="00E961FA" w:rsidRPr="008A1DB4">
        <w:rPr>
          <w:spacing w:val="-2"/>
          <w:lang w:val="en-US"/>
        </w:rPr>
        <w:t>85</w:t>
      </w:r>
      <w:r w:rsidR="00B10845" w:rsidRPr="008A1DB4">
        <w:rPr>
          <w:spacing w:val="-2"/>
          <w:lang w:val="en-US"/>
        </w:rPr>
        <w:fldChar w:fldCharType="end"/>
      </w:r>
      <w:r w:rsidR="00470B06" w:rsidRPr="008A1DB4">
        <w:rPr>
          <w:spacing w:val="-2"/>
          <w:lang w:val="en-US"/>
        </w:rPr>
        <w:t>).</w:t>
      </w:r>
      <w:bookmarkEnd w:id="827"/>
      <w:r w:rsidR="00470B06" w:rsidRPr="008A1DB4">
        <w:rPr>
          <w:spacing w:val="-2"/>
          <w:lang w:val="en-US"/>
        </w:rPr>
        <w:t xml:space="preserve"> </w:t>
      </w:r>
    </w:p>
    <w:p w14:paraId="6F9AD0EF" w14:textId="77777777" w:rsidR="00470B06" w:rsidRPr="008A1DB4" w:rsidRDefault="00470B06" w:rsidP="00956E97">
      <w:pPr>
        <w:pStyle w:val="ListParagraph"/>
        <w:tabs>
          <w:tab w:val="left" w:pos="284"/>
          <w:tab w:val="left" w:pos="567"/>
        </w:tabs>
        <w:ind w:left="0"/>
        <w:rPr>
          <w:spacing w:val="-2"/>
          <w:lang w:val="en-US"/>
        </w:rPr>
      </w:pPr>
    </w:p>
    <w:p w14:paraId="214E599C" w14:textId="55D1607B" w:rsidR="00470B06" w:rsidRPr="008A1DB4" w:rsidRDefault="00D348E0" w:rsidP="00956E97">
      <w:pPr>
        <w:pStyle w:val="PrrafodeSentencia"/>
        <w:rPr>
          <w:spacing w:val="-2"/>
          <w:lang w:val="en-US"/>
        </w:rPr>
      </w:pPr>
      <w:bookmarkStart w:id="828" w:name="_Ref414463394"/>
      <w:r w:rsidRPr="008A1DB4">
        <w:rPr>
          <w:spacing w:val="-2"/>
          <w:lang w:val="en-US"/>
        </w:rPr>
        <w:t xml:space="preserve">Following that ruling, the State has not taken a final decision regarding </w:t>
      </w:r>
      <w:r w:rsidR="00087CF8" w:rsidRPr="008A1DB4">
        <w:rPr>
          <w:spacing w:val="-2"/>
          <w:lang w:val="en-US"/>
        </w:rPr>
        <w:t xml:space="preserve">the </w:t>
      </w:r>
      <w:r w:rsidRPr="008A1DB4">
        <w:rPr>
          <w:spacing w:val="-2"/>
          <w:lang w:val="en-US"/>
        </w:rPr>
        <w:t xml:space="preserve">request for the </w:t>
      </w:r>
      <w:r w:rsidR="00087CF8" w:rsidRPr="008A1DB4">
        <w:rPr>
          <w:spacing w:val="-2"/>
          <w:lang w:val="en-US"/>
        </w:rPr>
        <w:t>extradition</w:t>
      </w:r>
      <w:r w:rsidR="00470B06" w:rsidRPr="008A1DB4">
        <w:rPr>
          <w:spacing w:val="-2"/>
          <w:lang w:val="en-US"/>
        </w:rPr>
        <w:t xml:space="preserve"> </w:t>
      </w:r>
      <w:r w:rsidR="00B43F84" w:rsidRPr="008A1DB4">
        <w:rPr>
          <w:spacing w:val="-2"/>
          <w:lang w:val="en-US"/>
        </w:rPr>
        <w:t>of Wong</w:t>
      </w:r>
      <w:r w:rsidR="00470B06" w:rsidRPr="008A1DB4">
        <w:rPr>
          <w:spacing w:val="-2"/>
          <w:lang w:val="en-US"/>
        </w:rPr>
        <w:t xml:space="preserve"> Ho Wing. </w:t>
      </w:r>
      <w:r w:rsidRPr="008A1DB4">
        <w:rPr>
          <w:spacing w:val="-2"/>
          <w:lang w:val="en-US"/>
        </w:rPr>
        <w:t xml:space="preserve">Since then, </w:t>
      </w:r>
      <w:r w:rsidR="00B43F84" w:rsidRPr="008A1DB4">
        <w:rPr>
          <w:spacing w:val="-2"/>
          <w:lang w:val="en-US"/>
        </w:rPr>
        <w:t>the Executive Branch</w:t>
      </w:r>
      <w:r w:rsidRPr="008A1DB4">
        <w:rPr>
          <w:spacing w:val="-2"/>
          <w:lang w:val="en-US"/>
        </w:rPr>
        <w:t xml:space="preserve"> has tried different procedural channels to incorporate new information that would: (</w:t>
      </w:r>
      <w:proofErr w:type="spellStart"/>
      <w:r w:rsidRPr="008A1DB4">
        <w:rPr>
          <w:spacing w:val="-2"/>
          <w:lang w:val="en-US"/>
        </w:rPr>
        <w:t>i</w:t>
      </w:r>
      <w:proofErr w:type="spellEnd"/>
      <w:r w:rsidRPr="008A1DB4">
        <w:rPr>
          <w:spacing w:val="-2"/>
          <w:lang w:val="en-US"/>
        </w:rPr>
        <w:t xml:space="preserve">) clarify or </w:t>
      </w:r>
      <w:r w:rsidR="0079515C" w:rsidRPr="008A1DB4">
        <w:rPr>
          <w:spacing w:val="-2"/>
          <w:lang w:val="en-US"/>
        </w:rPr>
        <w:t>interest</w:t>
      </w:r>
      <w:r w:rsidRPr="008A1DB4">
        <w:rPr>
          <w:spacing w:val="-2"/>
          <w:lang w:val="en-US"/>
        </w:rPr>
        <w:t xml:space="preserve"> the scope of </w:t>
      </w:r>
      <w:r w:rsidR="00C45946" w:rsidRPr="008A1DB4">
        <w:rPr>
          <w:spacing w:val="-2"/>
          <w:lang w:val="en-US"/>
        </w:rPr>
        <w:t xml:space="preserve">the </w:t>
      </w:r>
      <w:r w:rsidR="00B43F84" w:rsidRPr="008A1DB4">
        <w:rPr>
          <w:spacing w:val="-2"/>
          <w:lang w:val="en-US"/>
        </w:rPr>
        <w:t>Constitutional Court</w:t>
      </w:r>
      <w:r w:rsidRPr="008A1DB4">
        <w:rPr>
          <w:spacing w:val="-2"/>
          <w:lang w:val="en-US"/>
        </w:rPr>
        <w:t xml:space="preserve">’s ruling in order to permit the extradition </w:t>
      </w:r>
      <w:r w:rsidR="00B43F84" w:rsidRPr="008A1DB4">
        <w:rPr>
          <w:spacing w:val="-2"/>
          <w:lang w:val="en-US"/>
        </w:rPr>
        <w:t>of Wong</w:t>
      </w:r>
      <w:r w:rsidR="00470B06" w:rsidRPr="008A1DB4">
        <w:rPr>
          <w:spacing w:val="-2"/>
          <w:lang w:val="en-US"/>
        </w:rPr>
        <w:t xml:space="preserve"> Ho Wing; (ii) complement</w:t>
      </w:r>
      <w:r w:rsidRPr="008A1DB4">
        <w:rPr>
          <w:spacing w:val="-2"/>
          <w:lang w:val="en-US"/>
        </w:rPr>
        <w:t xml:space="preserve"> the </w:t>
      </w:r>
      <w:r w:rsidR="00B67AC5" w:rsidRPr="008A1DB4">
        <w:rPr>
          <w:spacing w:val="-2"/>
          <w:lang w:val="en-US"/>
        </w:rPr>
        <w:t>Supreme Court</w:t>
      </w:r>
      <w:r w:rsidRPr="008A1DB4">
        <w:rPr>
          <w:spacing w:val="-2"/>
          <w:lang w:val="en-US"/>
        </w:rPr>
        <w:t xml:space="preserve">’s advisory decision so that it is admissible to extradite </w:t>
      </w:r>
      <w:r w:rsidR="00B43F84" w:rsidRPr="008A1DB4">
        <w:rPr>
          <w:spacing w:val="-2"/>
          <w:lang w:val="en-US"/>
        </w:rPr>
        <w:t>Wong</w:t>
      </w:r>
      <w:r w:rsidR="00470B06" w:rsidRPr="008A1DB4">
        <w:rPr>
          <w:spacing w:val="-2"/>
          <w:lang w:val="en-US"/>
        </w:rPr>
        <w:t xml:space="preserve"> Ho Wing, </w:t>
      </w:r>
      <w:r w:rsidRPr="008A1DB4">
        <w:rPr>
          <w:spacing w:val="-2"/>
          <w:lang w:val="en-US"/>
        </w:rPr>
        <w:t>without infringing the literal text of</w:t>
      </w:r>
      <w:r w:rsidR="00C45946" w:rsidRPr="008A1DB4">
        <w:rPr>
          <w:spacing w:val="-2"/>
          <w:lang w:val="en-US"/>
        </w:rPr>
        <w:t xml:space="preserve"> the </w:t>
      </w:r>
      <w:r w:rsidR="00B43F84" w:rsidRPr="008A1DB4">
        <w:rPr>
          <w:spacing w:val="-2"/>
          <w:lang w:val="en-US"/>
        </w:rPr>
        <w:t>Constitutional Court</w:t>
      </w:r>
      <w:r w:rsidRPr="008A1DB4">
        <w:rPr>
          <w:spacing w:val="-2"/>
          <w:lang w:val="en-US"/>
        </w:rPr>
        <w:t>’s ruling</w:t>
      </w:r>
      <w:r w:rsidR="00316E3C" w:rsidRPr="008A1DB4">
        <w:rPr>
          <w:spacing w:val="-2"/>
          <w:lang w:val="en-US"/>
        </w:rPr>
        <w:t>,</w:t>
      </w:r>
      <w:r w:rsidR="00470B06" w:rsidRPr="008A1DB4">
        <w:rPr>
          <w:spacing w:val="-2"/>
          <w:lang w:val="en-US"/>
        </w:rPr>
        <w:t xml:space="preserve"> o</w:t>
      </w:r>
      <w:r w:rsidRPr="008A1DB4">
        <w:rPr>
          <w:spacing w:val="-2"/>
          <w:lang w:val="en-US"/>
        </w:rPr>
        <w:t>r</w:t>
      </w:r>
      <w:r w:rsidR="00470B06" w:rsidRPr="008A1DB4">
        <w:rPr>
          <w:spacing w:val="-2"/>
          <w:lang w:val="en-US"/>
        </w:rPr>
        <w:t xml:space="preserve"> (iii) interpret</w:t>
      </w:r>
      <w:r w:rsidRPr="008A1DB4">
        <w:rPr>
          <w:spacing w:val="-2"/>
          <w:lang w:val="en-US"/>
        </w:rPr>
        <w:t xml:space="preserve"> that it is possible to extradite </w:t>
      </w:r>
      <w:r w:rsidR="00B43F84" w:rsidRPr="008A1DB4">
        <w:rPr>
          <w:spacing w:val="-2"/>
          <w:lang w:val="en-US"/>
        </w:rPr>
        <w:t>Wong</w:t>
      </w:r>
      <w:r w:rsidR="00470B06" w:rsidRPr="008A1DB4">
        <w:rPr>
          <w:spacing w:val="-2"/>
          <w:lang w:val="en-US"/>
        </w:rPr>
        <w:t xml:space="preserve"> Ho Wing </w:t>
      </w:r>
      <w:r w:rsidRPr="008A1DB4">
        <w:rPr>
          <w:spacing w:val="-2"/>
          <w:lang w:val="en-US"/>
        </w:rPr>
        <w:t xml:space="preserve">for the offense of bribery that was never subject to </w:t>
      </w:r>
      <w:r w:rsidR="00A3310A" w:rsidRPr="008A1DB4">
        <w:rPr>
          <w:spacing w:val="-2"/>
          <w:lang w:val="en-US"/>
        </w:rPr>
        <w:t>the death penalty</w:t>
      </w:r>
      <w:r w:rsidR="00470B06" w:rsidRPr="008A1DB4">
        <w:rPr>
          <w:spacing w:val="-2"/>
          <w:lang w:val="en-US"/>
        </w:rPr>
        <w:t>.</w:t>
      </w:r>
      <w:bookmarkEnd w:id="828"/>
      <w:r w:rsidR="00470B06" w:rsidRPr="008A1DB4">
        <w:rPr>
          <w:spacing w:val="-2"/>
          <w:lang w:val="en-US"/>
        </w:rPr>
        <w:t xml:space="preserve">  </w:t>
      </w:r>
    </w:p>
    <w:p w14:paraId="55D08804" w14:textId="77777777" w:rsidR="00470B06" w:rsidRPr="008A1DB4" w:rsidRDefault="00470B06" w:rsidP="00956E97">
      <w:pPr>
        <w:tabs>
          <w:tab w:val="left" w:pos="284"/>
          <w:tab w:val="left" w:pos="567"/>
        </w:tabs>
        <w:rPr>
          <w:spacing w:val="-2"/>
          <w:lang w:val="en-US"/>
        </w:rPr>
      </w:pPr>
    </w:p>
    <w:p w14:paraId="3BFEF332" w14:textId="4503B209" w:rsidR="00470B06" w:rsidRPr="008A1DB4" w:rsidRDefault="00E47B4A" w:rsidP="00956E97">
      <w:pPr>
        <w:pStyle w:val="PrrafodeSentencia"/>
        <w:rPr>
          <w:spacing w:val="-2"/>
          <w:lang w:val="en-US"/>
        </w:rPr>
      </w:pPr>
      <w:r w:rsidRPr="008A1DB4">
        <w:rPr>
          <w:spacing w:val="-2"/>
          <w:lang w:val="en-US"/>
        </w:rPr>
        <w:t>T</w:t>
      </w:r>
      <w:r w:rsidR="00D348E0" w:rsidRPr="008A1DB4">
        <w:rPr>
          <w:spacing w:val="-2"/>
          <w:lang w:val="en-US"/>
        </w:rPr>
        <w:t xml:space="preserve">aking into account the </w:t>
      </w:r>
      <w:r w:rsidR="0058668C" w:rsidRPr="008A1DB4">
        <w:rPr>
          <w:spacing w:val="-2"/>
          <w:lang w:val="en-US"/>
        </w:rPr>
        <w:t>arguments</w:t>
      </w:r>
      <w:r w:rsidR="009C4DCA"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r w:rsidRPr="008A1DB4">
        <w:rPr>
          <w:spacing w:val="-2"/>
          <w:lang w:val="en-US"/>
        </w:rPr>
        <w:t xml:space="preserve">, </w:t>
      </w:r>
      <w:r w:rsidR="00F36400" w:rsidRPr="008A1DB4">
        <w:rPr>
          <w:spacing w:val="-2"/>
          <w:lang w:val="en-US"/>
        </w:rPr>
        <w:t>the Court</w:t>
      </w:r>
      <w:r w:rsidR="00470B06" w:rsidRPr="008A1DB4">
        <w:rPr>
          <w:spacing w:val="-2"/>
          <w:lang w:val="en-US"/>
        </w:rPr>
        <w:t xml:space="preserve"> </w:t>
      </w:r>
      <w:r w:rsidR="00D348E0" w:rsidRPr="008A1DB4">
        <w:rPr>
          <w:spacing w:val="-2"/>
          <w:lang w:val="en-US"/>
        </w:rPr>
        <w:t xml:space="preserve">will now examine: </w:t>
      </w:r>
      <w:r w:rsidR="00F0439F" w:rsidRPr="008A1DB4">
        <w:rPr>
          <w:spacing w:val="-2"/>
          <w:lang w:val="en-US"/>
        </w:rPr>
        <w:t>(B.1)</w:t>
      </w:r>
      <w:r w:rsidR="00470B06" w:rsidRPr="008A1DB4">
        <w:rPr>
          <w:spacing w:val="-2"/>
          <w:lang w:val="en-US"/>
        </w:rPr>
        <w:t xml:space="preserve"> </w:t>
      </w:r>
      <w:r w:rsidR="00D348E0" w:rsidRPr="008A1DB4">
        <w:rPr>
          <w:spacing w:val="-2"/>
          <w:lang w:val="en-US"/>
        </w:rPr>
        <w:t>the alleged violation of the right to</w:t>
      </w:r>
      <w:r w:rsidR="00470B06" w:rsidRPr="008A1DB4">
        <w:rPr>
          <w:spacing w:val="-2"/>
          <w:lang w:val="en-US"/>
        </w:rPr>
        <w:t xml:space="preserve"> </w:t>
      </w:r>
      <w:r w:rsidR="00216773" w:rsidRPr="008A1DB4">
        <w:rPr>
          <w:spacing w:val="-2"/>
          <w:lang w:val="en-US"/>
        </w:rPr>
        <w:t>judicial protection</w:t>
      </w:r>
      <w:r w:rsidR="00F0439F" w:rsidRPr="008A1DB4">
        <w:rPr>
          <w:spacing w:val="-2"/>
          <w:lang w:val="en-US"/>
        </w:rPr>
        <w:t>,</w:t>
      </w:r>
      <w:r w:rsidR="00F36400" w:rsidRPr="008A1DB4">
        <w:rPr>
          <w:spacing w:val="-2"/>
          <w:lang w:val="en-US"/>
        </w:rPr>
        <w:t xml:space="preserve"> and </w:t>
      </w:r>
      <w:r w:rsidR="00F0439F" w:rsidRPr="008A1DB4">
        <w:rPr>
          <w:spacing w:val="-2"/>
          <w:lang w:val="en-US"/>
        </w:rPr>
        <w:t xml:space="preserve">(B.2) </w:t>
      </w:r>
      <w:r w:rsidR="00D348E0" w:rsidRPr="008A1DB4">
        <w:rPr>
          <w:spacing w:val="-2"/>
          <w:lang w:val="en-US"/>
        </w:rPr>
        <w:t>the alleged failure to comply with the guarantee of a reasonable time in</w:t>
      </w:r>
      <w:r w:rsidR="00F0439F" w:rsidRPr="008A1DB4">
        <w:rPr>
          <w:spacing w:val="-2"/>
          <w:lang w:val="en-US"/>
        </w:rPr>
        <w:t xml:space="preserve"> </w:t>
      </w:r>
      <w:r w:rsidR="00FC5891" w:rsidRPr="008A1DB4">
        <w:rPr>
          <w:spacing w:val="-2"/>
          <w:lang w:val="en-US"/>
        </w:rPr>
        <w:t>the extradition process</w:t>
      </w:r>
      <w:r w:rsidR="00F0439F" w:rsidRPr="008A1DB4">
        <w:rPr>
          <w:spacing w:val="-2"/>
          <w:lang w:val="en-US"/>
        </w:rPr>
        <w:t xml:space="preserve">. </w:t>
      </w:r>
      <w:r w:rsidR="00A3310A" w:rsidRPr="008A1DB4">
        <w:rPr>
          <w:spacing w:val="-2"/>
          <w:lang w:val="en-US"/>
        </w:rPr>
        <w:t>Subsequently</w:t>
      </w:r>
      <w:r w:rsidR="00F0439F" w:rsidRPr="008A1DB4">
        <w:rPr>
          <w:spacing w:val="-2"/>
          <w:lang w:val="en-US"/>
        </w:rPr>
        <w:t xml:space="preserve">, </w:t>
      </w:r>
      <w:r w:rsidR="00F36400" w:rsidRPr="008A1DB4">
        <w:rPr>
          <w:spacing w:val="-2"/>
          <w:lang w:val="en-US"/>
        </w:rPr>
        <w:t>the Court</w:t>
      </w:r>
      <w:r w:rsidR="00F0439F" w:rsidRPr="008A1DB4">
        <w:rPr>
          <w:spacing w:val="-2"/>
          <w:lang w:val="en-US"/>
        </w:rPr>
        <w:t xml:space="preserve"> </w:t>
      </w:r>
      <w:r w:rsidR="00D348E0" w:rsidRPr="008A1DB4">
        <w:rPr>
          <w:spacing w:val="-2"/>
          <w:lang w:val="en-US"/>
        </w:rPr>
        <w:t>will examine:</w:t>
      </w:r>
      <w:r w:rsidR="00F0439F" w:rsidRPr="008A1DB4">
        <w:rPr>
          <w:spacing w:val="-2"/>
          <w:lang w:val="en-US"/>
        </w:rPr>
        <w:t xml:space="preserve"> (B.3) </w:t>
      </w:r>
      <w:r w:rsidR="00D348E0" w:rsidRPr="008A1DB4">
        <w:rPr>
          <w:spacing w:val="-2"/>
          <w:lang w:val="en-US"/>
        </w:rPr>
        <w:t>the other presumed violations of judicial guarantees alleged by</w:t>
      </w:r>
      <w:r w:rsidR="00F0439F" w:rsidRPr="008A1DB4">
        <w:rPr>
          <w:spacing w:val="-2"/>
          <w:lang w:val="en-US"/>
        </w:rPr>
        <w:t xml:space="preserve"> </w:t>
      </w:r>
      <w:r w:rsidR="00C45946" w:rsidRPr="008A1DB4">
        <w:rPr>
          <w:spacing w:val="-2"/>
          <w:lang w:val="en-US"/>
        </w:rPr>
        <w:t>the representative</w:t>
      </w:r>
      <w:r w:rsidR="00F0439F" w:rsidRPr="008A1DB4">
        <w:rPr>
          <w:spacing w:val="-2"/>
          <w:lang w:val="en-US"/>
        </w:rPr>
        <w:t xml:space="preserve">. </w:t>
      </w:r>
    </w:p>
    <w:p w14:paraId="3EC494AA" w14:textId="77777777" w:rsidR="00470B06" w:rsidRPr="008A1DB4" w:rsidRDefault="00470B06" w:rsidP="00956E97">
      <w:pPr>
        <w:tabs>
          <w:tab w:val="left" w:pos="284"/>
          <w:tab w:val="left" w:pos="567"/>
        </w:tabs>
        <w:rPr>
          <w:spacing w:val="-2"/>
          <w:lang w:val="en-US"/>
        </w:rPr>
      </w:pPr>
    </w:p>
    <w:p w14:paraId="16880CE3" w14:textId="41ECC5DB" w:rsidR="007272C8" w:rsidRPr="008A1DB4" w:rsidRDefault="007272C8" w:rsidP="00956E97">
      <w:pPr>
        <w:pStyle w:val="Heading2"/>
        <w:ind w:left="1440" w:firstLine="0"/>
        <w:rPr>
          <w:spacing w:val="-2"/>
          <w:lang w:val="en-US"/>
        </w:rPr>
      </w:pPr>
      <w:bookmarkStart w:id="829" w:name="_Toc429490278"/>
      <w:bookmarkStart w:id="830" w:name="_Toc429503792"/>
      <w:bookmarkStart w:id="831" w:name="_Toc429504298"/>
      <w:bookmarkStart w:id="832" w:name="_Toc429678011"/>
      <w:bookmarkStart w:id="833" w:name="_Toc430017174"/>
      <w:bookmarkStart w:id="834" w:name="_Toc430017403"/>
      <w:bookmarkStart w:id="835" w:name="_Toc430018685"/>
      <w:bookmarkStart w:id="836" w:name="_Toc430125283"/>
      <w:bookmarkStart w:id="837" w:name="_Toc430125391"/>
      <w:r w:rsidRPr="008A1DB4">
        <w:rPr>
          <w:spacing w:val="-2"/>
          <w:lang w:val="en-US"/>
        </w:rPr>
        <w:t xml:space="preserve">B.1) </w:t>
      </w:r>
      <w:r w:rsidR="00D348E0" w:rsidRPr="008A1DB4">
        <w:rPr>
          <w:spacing w:val="-2"/>
          <w:lang w:val="en-US"/>
        </w:rPr>
        <w:t>The alleged violation of the right to</w:t>
      </w:r>
      <w:r w:rsidRPr="008A1DB4">
        <w:rPr>
          <w:spacing w:val="-2"/>
          <w:lang w:val="en-US"/>
        </w:rPr>
        <w:t xml:space="preserve"> </w:t>
      </w:r>
      <w:r w:rsidR="00216773" w:rsidRPr="008A1DB4">
        <w:rPr>
          <w:spacing w:val="-2"/>
          <w:lang w:val="en-US"/>
        </w:rPr>
        <w:t>judicial protection</w:t>
      </w:r>
      <w:bookmarkEnd w:id="829"/>
      <w:bookmarkEnd w:id="830"/>
      <w:bookmarkEnd w:id="831"/>
      <w:bookmarkEnd w:id="832"/>
      <w:bookmarkEnd w:id="833"/>
      <w:bookmarkEnd w:id="834"/>
      <w:bookmarkEnd w:id="835"/>
      <w:bookmarkEnd w:id="836"/>
      <w:bookmarkEnd w:id="837"/>
      <w:r w:rsidRPr="008A1DB4">
        <w:rPr>
          <w:spacing w:val="-2"/>
          <w:lang w:val="en-US"/>
        </w:rPr>
        <w:t xml:space="preserve"> </w:t>
      </w:r>
    </w:p>
    <w:p w14:paraId="7C630CBE" w14:textId="77777777" w:rsidR="007272C8" w:rsidRPr="008A1DB4" w:rsidRDefault="007272C8" w:rsidP="00956E97">
      <w:pPr>
        <w:tabs>
          <w:tab w:val="left" w:pos="284"/>
          <w:tab w:val="left" w:pos="567"/>
        </w:tabs>
        <w:rPr>
          <w:spacing w:val="-2"/>
          <w:lang w:val="en-US"/>
        </w:rPr>
      </w:pPr>
    </w:p>
    <w:p w14:paraId="7EECE2A2" w14:textId="5414953C" w:rsidR="00470B06" w:rsidRPr="008A1DB4" w:rsidRDefault="00470B06" w:rsidP="006324A5">
      <w:pPr>
        <w:pStyle w:val="PrrafodeSentencia"/>
        <w:rPr>
          <w:spacing w:val="-2"/>
          <w:lang w:val="en-US"/>
        </w:rPr>
      </w:pPr>
      <w:r w:rsidRPr="008A1DB4">
        <w:rPr>
          <w:spacing w:val="-2"/>
          <w:lang w:val="en-US"/>
        </w:rPr>
        <w:t>R</w:t>
      </w:r>
      <w:r w:rsidR="006324A5" w:rsidRPr="008A1DB4">
        <w:rPr>
          <w:spacing w:val="-2"/>
          <w:lang w:val="en-US"/>
        </w:rPr>
        <w:t xml:space="preserve">egarding the right to </w:t>
      </w:r>
      <w:r w:rsidR="00216773" w:rsidRPr="008A1DB4">
        <w:rPr>
          <w:spacing w:val="-2"/>
          <w:lang w:val="en-US"/>
        </w:rPr>
        <w:t>judicial protection</w:t>
      </w:r>
      <w:r w:rsidRPr="008A1DB4">
        <w:rPr>
          <w:spacing w:val="-2"/>
          <w:lang w:val="en-US"/>
        </w:rPr>
        <w:t>,</w:t>
      </w:r>
      <w:r w:rsidR="006324A5" w:rsidRPr="008A1DB4">
        <w:rPr>
          <w:spacing w:val="-2"/>
          <w:lang w:val="en-US"/>
        </w:rPr>
        <w:t xml:space="preserve"> in the terms </w:t>
      </w:r>
      <w:r w:rsidR="0058668C" w:rsidRPr="008A1DB4">
        <w:rPr>
          <w:spacing w:val="-2"/>
          <w:lang w:val="en-US"/>
        </w:rPr>
        <w:t>of Article</w:t>
      </w:r>
      <w:r w:rsidR="00316E3C" w:rsidRPr="008A1DB4">
        <w:rPr>
          <w:spacing w:val="-2"/>
          <w:lang w:val="en-US"/>
        </w:rPr>
        <w:t xml:space="preserve"> 25</w:t>
      </w:r>
      <w:r w:rsidR="00F36400" w:rsidRPr="008A1DB4">
        <w:rPr>
          <w:spacing w:val="-2"/>
          <w:lang w:val="en-US"/>
        </w:rPr>
        <w:t xml:space="preserve"> of the Convention</w:t>
      </w:r>
      <w:r w:rsidRPr="008A1DB4">
        <w:rPr>
          <w:spacing w:val="-2"/>
          <w:lang w:val="en-US"/>
        </w:rPr>
        <w:t xml:space="preserve"> </w:t>
      </w:r>
      <w:r w:rsidR="006324A5" w:rsidRPr="008A1DB4">
        <w:rPr>
          <w:spacing w:val="-2"/>
          <w:lang w:val="en-US"/>
        </w:rPr>
        <w:t>it is possible to identify two specific State responsibilities. The first is to establish by law and to ensure the due application of effective remedies before the competent authorities that protect all persons subject to their jurisdiction against acts that violate their fundamental rights or that lead to the determination of their rights and obligations.</w:t>
      </w:r>
      <w:r w:rsidRPr="008A1DB4">
        <w:rPr>
          <w:rStyle w:val="FootnoteReference"/>
          <w:spacing w:val="-2"/>
          <w:lang w:val="en-US"/>
        </w:rPr>
        <w:footnoteReference w:id="265"/>
      </w:r>
      <w:r w:rsidRPr="008A1DB4">
        <w:rPr>
          <w:spacing w:val="-2"/>
          <w:lang w:val="en-US"/>
        </w:rPr>
        <w:t xml:space="preserve"> </w:t>
      </w:r>
      <w:r w:rsidR="006324A5" w:rsidRPr="008A1DB4">
        <w:rPr>
          <w:spacing w:val="-2"/>
          <w:lang w:val="en-US"/>
        </w:rPr>
        <w:t>The second is to guarantee the means to executive the respective final decisions and judgments issued by those competent authorities, so that the declared or recognized rights are truly protected.</w:t>
      </w:r>
      <w:r w:rsidRPr="008A1DB4">
        <w:rPr>
          <w:rStyle w:val="FootnoteReference"/>
          <w:spacing w:val="-2"/>
          <w:lang w:val="en-US"/>
        </w:rPr>
        <w:footnoteReference w:id="266"/>
      </w:r>
      <w:r w:rsidR="006324A5" w:rsidRPr="008A1DB4">
        <w:rPr>
          <w:spacing w:val="-2"/>
          <w:lang w:val="en-US"/>
        </w:rPr>
        <w:t xml:space="preserve"> The latter is required because a judgment that is </w:t>
      </w:r>
      <w:r w:rsidR="006324A5" w:rsidRPr="008A1DB4">
        <w:rPr>
          <w:i/>
          <w:spacing w:val="-2"/>
          <w:lang w:val="en-US"/>
        </w:rPr>
        <w:t>res judicata</w:t>
      </w:r>
      <w:r w:rsidR="006324A5" w:rsidRPr="008A1DB4">
        <w:rPr>
          <w:spacing w:val="-2"/>
          <w:lang w:val="en-US"/>
        </w:rPr>
        <w:t xml:space="preserve"> grants certainty about the right or dispute discussed in the specific case and, </w:t>
      </w:r>
      <w:r w:rsidR="006324A5" w:rsidRPr="008A1DB4">
        <w:rPr>
          <w:spacing w:val="-2"/>
          <w:lang w:val="en-US"/>
        </w:rPr>
        <w:lastRenderedPageBreak/>
        <w:t>consequently, one of its effects is its binding nature or the need to comply with it.</w:t>
      </w:r>
      <w:r w:rsidRPr="008A1DB4">
        <w:rPr>
          <w:rStyle w:val="FootnoteReference"/>
          <w:spacing w:val="-2"/>
          <w:lang w:val="en-US"/>
        </w:rPr>
        <w:footnoteReference w:id="267"/>
      </w:r>
      <w:r w:rsidR="006324A5" w:rsidRPr="008A1DB4">
        <w:rPr>
          <w:spacing w:val="-2"/>
          <w:lang w:val="en-US"/>
        </w:rPr>
        <w:t xml:space="preserve"> Otherwise, there would be a denial of the right concerned.</w:t>
      </w:r>
      <w:r w:rsidRPr="008A1DB4">
        <w:rPr>
          <w:rStyle w:val="FootnoteReference"/>
          <w:spacing w:val="-2"/>
          <w:lang w:val="en-US"/>
        </w:rPr>
        <w:footnoteReference w:id="268"/>
      </w:r>
    </w:p>
    <w:p w14:paraId="60BF6CBE" w14:textId="77777777" w:rsidR="00470B06" w:rsidRPr="008A1DB4" w:rsidRDefault="00470B06" w:rsidP="00956E97">
      <w:pPr>
        <w:pStyle w:val="ListParagraph"/>
        <w:tabs>
          <w:tab w:val="left" w:pos="284"/>
          <w:tab w:val="left" w:pos="567"/>
        </w:tabs>
        <w:ind w:left="0"/>
        <w:rPr>
          <w:spacing w:val="-2"/>
          <w:lang w:val="en-US"/>
        </w:rPr>
      </w:pPr>
    </w:p>
    <w:p w14:paraId="2ABB93A9" w14:textId="452E73FC" w:rsidR="00470B06" w:rsidRPr="008A1DB4" w:rsidRDefault="006324A5" w:rsidP="00956E97">
      <w:pPr>
        <w:pStyle w:val="PrrafodeSentencia"/>
        <w:rPr>
          <w:spacing w:val="-2"/>
          <w:lang w:val="en-US"/>
        </w:rPr>
      </w:pPr>
      <w:r w:rsidRPr="008A1DB4">
        <w:rPr>
          <w:spacing w:val="-2"/>
          <w:lang w:val="en-US"/>
        </w:rPr>
        <w:t xml:space="preserve">In this regard, </w:t>
      </w:r>
      <w:r w:rsidR="00F36400" w:rsidRPr="008A1DB4">
        <w:rPr>
          <w:spacing w:val="-2"/>
          <w:lang w:val="en-US"/>
        </w:rPr>
        <w:t>Article</w:t>
      </w:r>
      <w:r w:rsidRPr="008A1DB4">
        <w:rPr>
          <w:spacing w:val="-2"/>
          <w:lang w:val="en-US"/>
        </w:rPr>
        <w:t xml:space="preserve"> 25(2</w:t>
      </w:r>
      <w:proofErr w:type="gramStart"/>
      <w:r w:rsidRPr="008A1DB4">
        <w:rPr>
          <w:spacing w:val="-2"/>
          <w:lang w:val="en-US"/>
        </w:rPr>
        <w:t>)(</w:t>
      </w:r>
      <w:proofErr w:type="gramEnd"/>
      <w:r w:rsidRPr="008A1DB4">
        <w:rPr>
          <w:spacing w:val="-2"/>
          <w:lang w:val="en-US"/>
        </w:rPr>
        <w:t>c)</w:t>
      </w:r>
      <w:r w:rsidR="00F36400" w:rsidRPr="008A1DB4">
        <w:rPr>
          <w:spacing w:val="-2"/>
          <w:lang w:val="en-US"/>
        </w:rPr>
        <w:t xml:space="preserve"> of the Convention</w:t>
      </w:r>
      <w:r w:rsidR="00470B06" w:rsidRPr="008A1DB4">
        <w:rPr>
          <w:spacing w:val="-2"/>
          <w:lang w:val="en-US"/>
        </w:rPr>
        <w:t xml:space="preserve"> </w:t>
      </w:r>
      <w:r w:rsidRPr="008A1DB4">
        <w:rPr>
          <w:spacing w:val="-2"/>
          <w:lang w:val="en-US"/>
        </w:rPr>
        <w:t>establishes the right “</w:t>
      </w:r>
      <w:r w:rsidRPr="008A1DB4">
        <w:rPr>
          <w:spacing w:val="-3"/>
          <w:lang w:val="en-US"/>
        </w:rPr>
        <w:t>that the competent authorities shall enforce such remedies when granted</w:t>
      </w:r>
      <w:r w:rsidRPr="008A1DB4">
        <w:rPr>
          <w:spacing w:val="-2"/>
          <w:lang w:val="en-US"/>
        </w:rPr>
        <w:t>.”</w:t>
      </w:r>
    </w:p>
    <w:p w14:paraId="791C7DAD" w14:textId="77777777" w:rsidR="00470B06" w:rsidRPr="008A1DB4" w:rsidRDefault="00470B06" w:rsidP="00956E97">
      <w:pPr>
        <w:pStyle w:val="ListParagraph"/>
        <w:tabs>
          <w:tab w:val="left" w:pos="284"/>
          <w:tab w:val="left" w:pos="567"/>
        </w:tabs>
        <w:ind w:left="0"/>
        <w:rPr>
          <w:spacing w:val="-2"/>
          <w:lang w:val="en-US"/>
        </w:rPr>
      </w:pPr>
    </w:p>
    <w:p w14:paraId="550E5A65" w14:textId="24A7530F" w:rsidR="00687B11" w:rsidRPr="008A1DB4" w:rsidRDefault="00F36400" w:rsidP="00956E97">
      <w:pPr>
        <w:pStyle w:val="PrrafodeSentencia"/>
        <w:rPr>
          <w:b/>
          <w:spacing w:val="-2"/>
          <w:lang w:val="en-US"/>
        </w:rPr>
      </w:pPr>
      <w:r w:rsidRPr="008A1DB4">
        <w:rPr>
          <w:spacing w:val="-2"/>
          <w:lang w:val="en-US"/>
        </w:rPr>
        <w:t>The Court</w:t>
      </w:r>
      <w:r w:rsidR="00470B06" w:rsidRPr="008A1DB4">
        <w:rPr>
          <w:spacing w:val="-2"/>
          <w:lang w:val="en-US"/>
        </w:rPr>
        <w:t xml:space="preserve"> ha</w:t>
      </w:r>
      <w:r w:rsidR="006324A5" w:rsidRPr="008A1DB4">
        <w:rPr>
          <w:spacing w:val="-2"/>
          <w:lang w:val="en-US"/>
        </w:rPr>
        <w:t>s indicated that State have the obligation to ensure the means to execute such final decision.</w:t>
      </w:r>
      <w:r w:rsidR="00470B06" w:rsidRPr="008A1DB4">
        <w:rPr>
          <w:rStyle w:val="FootnoteReference"/>
          <w:spacing w:val="-2"/>
          <w:lang w:val="en-US"/>
        </w:rPr>
        <w:footnoteReference w:id="269"/>
      </w:r>
      <w:r w:rsidR="006324A5" w:rsidRPr="008A1DB4">
        <w:rPr>
          <w:spacing w:val="-2"/>
          <w:lang w:val="en-US"/>
        </w:rPr>
        <w:t xml:space="preserve"> Effective mechanisms must exist to execute the decisions or judgments so that they truly protect the rights that have been declared.</w:t>
      </w:r>
      <w:r w:rsidR="00470B06" w:rsidRPr="008A1DB4">
        <w:rPr>
          <w:rStyle w:val="FootnoteReference"/>
          <w:spacing w:val="-2"/>
          <w:lang w:val="en-US"/>
        </w:rPr>
        <w:footnoteReference w:id="270"/>
      </w:r>
      <w:r w:rsidR="006324A5" w:rsidRPr="008A1DB4">
        <w:rPr>
          <w:spacing w:val="-2"/>
          <w:lang w:val="en-US"/>
        </w:rPr>
        <w:t xml:space="preserve"> In addition, the Court has established that the effectiveness of a judgment depends on its execution. The proceedings must </w:t>
      </w:r>
      <w:r w:rsidR="0079515C" w:rsidRPr="008A1DB4">
        <w:rPr>
          <w:spacing w:val="-2"/>
          <w:lang w:val="en-US"/>
        </w:rPr>
        <w:t>attempt</w:t>
      </w:r>
      <w:r w:rsidR="006324A5" w:rsidRPr="008A1DB4">
        <w:rPr>
          <w:spacing w:val="-2"/>
          <w:lang w:val="en-US"/>
        </w:rPr>
        <w:t xml:space="preserve"> to implement the protection of the right recognized in the legal ruling by the appropriate execution of that ruling.</w:t>
      </w:r>
      <w:r w:rsidR="00470B06" w:rsidRPr="008A1DB4">
        <w:rPr>
          <w:rStyle w:val="FootnoteReference"/>
          <w:spacing w:val="-2"/>
          <w:lang w:val="en-US"/>
        </w:rPr>
        <w:footnoteReference w:id="271"/>
      </w:r>
      <w:r w:rsidR="00470B06" w:rsidRPr="008A1DB4">
        <w:rPr>
          <w:spacing w:val="-2"/>
          <w:lang w:val="en-US"/>
        </w:rPr>
        <w:t xml:space="preserve"> </w:t>
      </w:r>
    </w:p>
    <w:p w14:paraId="22AEBAF8" w14:textId="77777777" w:rsidR="00400898" w:rsidRPr="008A1DB4" w:rsidRDefault="00400898" w:rsidP="00956E97">
      <w:pPr>
        <w:pStyle w:val="ListParagraph"/>
        <w:tabs>
          <w:tab w:val="left" w:pos="284"/>
          <w:tab w:val="left" w:pos="567"/>
        </w:tabs>
        <w:ind w:left="0"/>
        <w:rPr>
          <w:b/>
          <w:spacing w:val="-2"/>
          <w:szCs w:val="20"/>
          <w:lang w:val="en-US"/>
        </w:rPr>
      </w:pPr>
    </w:p>
    <w:p w14:paraId="2447939D" w14:textId="353D126D" w:rsidR="00470B06" w:rsidRPr="008A1DB4" w:rsidRDefault="006324A5" w:rsidP="00956E97">
      <w:pPr>
        <w:pStyle w:val="PrrafodeSentencia"/>
        <w:rPr>
          <w:spacing w:val="-2"/>
          <w:lang w:val="en-US"/>
        </w:rPr>
      </w:pPr>
      <w:r w:rsidRPr="008A1DB4">
        <w:rPr>
          <w:spacing w:val="-2"/>
          <w:lang w:val="en-US"/>
        </w:rPr>
        <w:t xml:space="preserve">The relevant part of the judgment </w:t>
      </w:r>
      <w:r w:rsidR="00C45946" w:rsidRPr="008A1DB4">
        <w:rPr>
          <w:spacing w:val="-2"/>
          <w:lang w:val="en-US"/>
        </w:rPr>
        <w:t xml:space="preserve">of the </w:t>
      </w:r>
      <w:r w:rsidR="00B43F84" w:rsidRPr="008A1DB4">
        <w:rPr>
          <w:spacing w:val="-2"/>
          <w:lang w:val="en-US"/>
        </w:rPr>
        <w:t>Constitutional Court</w:t>
      </w:r>
      <w:r w:rsidRPr="008A1DB4">
        <w:rPr>
          <w:spacing w:val="-2"/>
          <w:lang w:val="en-US"/>
        </w:rPr>
        <w:t xml:space="preserve"> of</w:t>
      </w:r>
      <w:r w:rsidR="00470B06" w:rsidRPr="008A1DB4">
        <w:rPr>
          <w:spacing w:val="-2"/>
          <w:lang w:val="en-US"/>
        </w:rPr>
        <w:t xml:space="preserve"> </w:t>
      </w:r>
      <w:r w:rsidR="00B43F84" w:rsidRPr="008A1DB4">
        <w:rPr>
          <w:spacing w:val="-2"/>
          <w:lang w:val="en-US"/>
        </w:rPr>
        <w:t>May 24,</w:t>
      </w:r>
      <w:r w:rsidR="00470B06" w:rsidRPr="008A1DB4">
        <w:rPr>
          <w:spacing w:val="-2"/>
          <w:lang w:val="en-US"/>
        </w:rPr>
        <w:t xml:space="preserve"> 2011</w:t>
      </w:r>
      <w:r w:rsidRPr="008A1DB4">
        <w:rPr>
          <w:spacing w:val="-2"/>
          <w:lang w:val="en-US"/>
        </w:rPr>
        <w:t>, indicated that</w:t>
      </w:r>
      <w:r w:rsidR="00470B06" w:rsidRPr="008A1DB4">
        <w:rPr>
          <w:spacing w:val="-2"/>
          <w:lang w:val="en-US"/>
        </w:rPr>
        <w:t xml:space="preserve">:   </w:t>
      </w:r>
    </w:p>
    <w:p w14:paraId="68F6A781" w14:textId="77777777" w:rsidR="00470B06" w:rsidRPr="008A1DB4" w:rsidRDefault="00470B06" w:rsidP="00956E97">
      <w:pPr>
        <w:pStyle w:val="ListParagraph"/>
        <w:tabs>
          <w:tab w:val="left" w:pos="284"/>
          <w:tab w:val="left" w:pos="567"/>
        </w:tabs>
        <w:ind w:left="0"/>
        <w:rPr>
          <w:spacing w:val="-2"/>
          <w:szCs w:val="20"/>
          <w:lang w:val="en-US"/>
        </w:rPr>
      </w:pPr>
    </w:p>
    <w:p w14:paraId="5984E5EA" w14:textId="3025D31E" w:rsidR="00470B06" w:rsidRPr="008A1DB4" w:rsidRDefault="00470B06" w:rsidP="00956E97">
      <w:pPr>
        <w:ind w:left="567" w:right="616"/>
        <w:rPr>
          <w:spacing w:val="-2"/>
          <w:sz w:val="18"/>
          <w:szCs w:val="18"/>
          <w:lang w:val="en-US"/>
        </w:rPr>
      </w:pPr>
      <w:r w:rsidRPr="008A1DB4">
        <w:rPr>
          <w:spacing w:val="-2"/>
          <w:sz w:val="18"/>
          <w:szCs w:val="18"/>
          <w:lang w:val="en-US"/>
        </w:rPr>
        <w:t xml:space="preserve">[…] </w:t>
      </w:r>
      <w:r w:rsidR="00F36400" w:rsidRPr="008A1DB4">
        <w:rPr>
          <w:spacing w:val="-2"/>
          <w:sz w:val="18"/>
          <w:szCs w:val="18"/>
          <w:lang w:val="en-US"/>
        </w:rPr>
        <w:t>the Inter-American Court of Human Rights</w:t>
      </w:r>
      <w:r w:rsidRPr="008A1DB4">
        <w:rPr>
          <w:spacing w:val="-2"/>
          <w:sz w:val="18"/>
          <w:szCs w:val="18"/>
          <w:lang w:val="en-US"/>
        </w:rPr>
        <w:t xml:space="preserve"> ha</w:t>
      </w:r>
      <w:r w:rsidR="006324A5" w:rsidRPr="008A1DB4">
        <w:rPr>
          <w:spacing w:val="-2"/>
          <w:sz w:val="18"/>
          <w:szCs w:val="18"/>
          <w:lang w:val="en-US"/>
        </w:rPr>
        <w:t>s emphasized that</w:t>
      </w:r>
      <w:r w:rsidRPr="008A1DB4">
        <w:rPr>
          <w:spacing w:val="-2"/>
          <w:sz w:val="18"/>
          <w:szCs w:val="18"/>
          <w:lang w:val="en-US"/>
        </w:rPr>
        <w:t xml:space="preserve"> </w:t>
      </w:r>
      <w:r w:rsidR="00F36400" w:rsidRPr="008A1DB4">
        <w:rPr>
          <w:spacing w:val="-2"/>
          <w:sz w:val="18"/>
          <w:szCs w:val="18"/>
          <w:lang w:val="en-US"/>
        </w:rPr>
        <w:t>Article</w:t>
      </w:r>
      <w:r w:rsidRPr="008A1DB4">
        <w:rPr>
          <w:spacing w:val="-2"/>
          <w:sz w:val="18"/>
          <w:szCs w:val="18"/>
          <w:lang w:val="en-US"/>
        </w:rPr>
        <w:t>s 4</w:t>
      </w:r>
      <w:r w:rsidR="00F36400" w:rsidRPr="008A1DB4">
        <w:rPr>
          <w:spacing w:val="-2"/>
          <w:sz w:val="18"/>
          <w:szCs w:val="18"/>
          <w:lang w:val="en-US"/>
        </w:rPr>
        <w:t xml:space="preserve"> and </w:t>
      </w:r>
      <w:r w:rsidR="006324A5" w:rsidRPr="008A1DB4">
        <w:rPr>
          <w:spacing w:val="-2"/>
          <w:sz w:val="18"/>
          <w:szCs w:val="18"/>
          <w:lang w:val="en-US"/>
        </w:rPr>
        <w:t>1(</w:t>
      </w:r>
      <w:r w:rsidRPr="008A1DB4">
        <w:rPr>
          <w:spacing w:val="-2"/>
          <w:sz w:val="18"/>
          <w:szCs w:val="18"/>
          <w:lang w:val="en-US"/>
        </w:rPr>
        <w:t>1</w:t>
      </w:r>
      <w:r w:rsidR="006324A5" w:rsidRPr="008A1DB4">
        <w:rPr>
          <w:spacing w:val="-2"/>
          <w:sz w:val="18"/>
          <w:szCs w:val="18"/>
          <w:lang w:val="en-US"/>
        </w:rPr>
        <w:t>)</w:t>
      </w:r>
      <w:r w:rsidR="00F36400" w:rsidRPr="008A1DB4">
        <w:rPr>
          <w:spacing w:val="-2"/>
          <w:sz w:val="18"/>
          <w:szCs w:val="18"/>
          <w:lang w:val="en-US"/>
        </w:rPr>
        <w:t xml:space="preserve"> of the American Convention on Human Rights</w:t>
      </w:r>
      <w:r w:rsidR="006324A5" w:rsidRPr="008A1DB4">
        <w:rPr>
          <w:spacing w:val="-2"/>
          <w:sz w:val="18"/>
          <w:szCs w:val="18"/>
          <w:lang w:val="en-US"/>
        </w:rPr>
        <w:t xml:space="preserve"> recognize the international obligation of the States Parties “not to subject a person to the risk of the application </w:t>
      </w:r>
      <w:r w:rsidR="00BB44A4" w:rsidRPr="008A1DB4">
        <w:rPr>
          <w:spacing w:val="-2"/>
          <w:sz w:val="18"/>
          <w:szCs w:val="18"/>
          <w:lang w:val="en-US"/>
        </w:rPr>
        <w:t xml:space="preserve">of the </w:t>
      </w:r>
      <w:r w:rsidR="00A3310A" w:rsidRPr="008A1DB4">
        <w:rPr>
          <w:spacing w:val="-2"/>
          <w:sz w:val="18"/>
          <w:szCs w:val="18"/>
          <w:lang w:val="en-US"/>
        </w:rPr>
        <w:t>death penalty</w:t>
      </w:r>
      <w:r w:rsidRPr="008A1DB4">
        <w:rPr>
          <w:spacing w:val="-2"/>
          <w:sz w:val="18"/>
          <w:szCs w:val="18"/>
          <w:lang w:val="en-US"/>
        </w:rPr>
        <w:t xml:space="preserve"> </w:t>
      </w:r>
      <w:r w:rsidR="006324A5" w:rsidRPr="008A1DB4">
        <w:rPr>
          <w:spacing w:val="-2"/>
          <w:sz w:val="18"/>
          <w:szCs w:val="18"/>
          <w:lang w:val="en-US"/>
        </w:rPr>
        <w:t>via extraditio</w:t>
      </w:r>
      <w:r w:rsidRPr="008A1DB4">
        <w:rPr>
          <w:spacing w:val="-2"/>
          <w:sz w:val="18"/>
          <w:szCs w:val="18"/>
          <w:lang w:val="en-US"/>
        </w:rPr>
        <w:t>n”</w:t>
      </w:r>
      <w:r w:rsidR="006324A5" w:rsidRPr="008A1DB4">
        <w:rPr>
          <w:spacing w:val="-2"/>
          <w:sz w:val="18"/>
          <w:szCs w:val="18"/>
          <w:lang w:val="en-US"/>
        </w:rPr>
        <w:t xml:space="preserve"> </w:t>
      </w:r>
      <w:r w:rsidRPr="008A1DB4">
        <w:rPr>
          <w:spacing w:val="-2"/>
          <w:sz w:val="18"/>
          <w:szCs w:val="18"/>
          <w:lang w:val="en-US"/>
        </w:rPr>
        <w:t>[…]</w:t>
      </w:r>
      <w:r w:rsidR="00AE0C1F" w:rsidRPr="008A1DB4">
        <w:rPr>
          <w:spacing w:val="-2"/>
          <w:sz w:val="18"/>
          <w:szCs w:val="18"/>
          <w:lang w:val="en-US"/>
        </w:rPr>
        <w:t>.</w:t>
      </w:r>
      <w:r w:rsidRPr="008A1DB4">
        <w:rPr>
          <w:spacing w:val="-2"/>
          <w:sz w:val="18"/>
          <w:szCs w:val="18"/>
          <w:lang w:val="en-US"/>
        </w:rPr>
        <w:t xml:space="preserve"> </w:t>
      </w:r>
    </w:p>
    <w:p w14:paraId="5A752AFB" w14:textId="77777777" w:rsidR="00470B06" w:rsidRPr="008A1DB4" w:rsidRDefault="00470B06" w:rsidP="00956E97">
      <w:pPr>
        <w:ind w:left="567" w:right="616"/>
        <w:rPr>
          <w:spacing w:val="-2"/>
          <w:sz w:val="18"/>
          <w:szCs w:val="18"/>
          <w:lang w:val="en-US"/>
        </w:rPr>
      </w:pPr>
    </w:p>
    <w:p w14:paraId="5BFECB61" w14:textId="0CC70F41" w:rsidR="00470B06" w:rsidRPr="008A1DB4" w:rsidRDefault="006324A5" w:rsidP="00956E97">
      <w:pPr>
        <w:ind w:left="567" w:right="616"/>
        <w:rPr>
          <w:spacing w:val="-2"/>
          <w:sz w:val="18"/>
          <w:szCs w:val="18"/>
          <w:lang w:val="en-US"/>
        </w:rPr>
      </w:pPr>
      <w:r w:rsidRPr="008A1DB4">
        <w:rPr>
          <w:spacing w:val="-2"/>
          <w:sz w:val="18"/>
          <w:szCs w:val="18"/>
          <w:lang w:val="en-US"/>
        </w:rPr>
        <w:t>Evidently</w:t>
      </w:r>
      <w:r w:rsidR="00470B06" w:rsidRPr="008A1DB4">
        <w:rPr>
          <w:spacing w:val="-2"/>
          <w:sz w:val="18"/>
          <w:szCs w:val="18"/>
          <w:lang w:val="en-US"/>
        </w:rPr>
        <w:t xml:space="preserve">, </w:t>
      </w:r>
      <w:r w:rsidR="00071662" w:rsidRPr="008A1DB4">
        <w:rPr>
          <w:spacing w:val="-2"/>
          <w:sz w:val="18"/>
          <w:szCs w:val="18"/>
          <w:lang w:val="en-US"/>
        </w:rPr>
        <w:t>the Peruvian State</w:t>
      </w:r>
      <w:r w:rsidR="00470B06" w:rsidRPr="008A1DB4">
        <w:rPr>
          <w:spacing w:val="-2"/>
          <w:sz w:val="18"/>
          <w:szCs w:val="18"/>
          <w:lang w:val="en-US"/>
        </w:rPr>
        <w:t xml:space="preserve"> </w:t>
      </w:r>
      <w:r w:rsidRPr="008A1DB4">
        <w:rPr>
          <w:spacing w:val="-2"/>
          <w:sz w:val="18"/>
          <w:szCs w:val="18"/>
          <w:lang w:val="en-US"/>
        </w:rPr>
        <w:t xml:space="preserve">has two obligations that, supposedly, it must meet. On the one hand, it has the obligation to extradite </w:t>
      </w:r>
      <w:r w:rsidR="00B43F84" w:rsidRPr="008A1DB4">
        <w:rPr>
          <w:spacing w:val="-2"/>
          <w:sz w:val="18"/>
          <w:szCs w:val="18"/>
          <w:lang w:val="en-US"/>
        </w:rPr>
        <w:t>Wong</w:t>
      </w:r>
      <w:r w:rsidR="00470B06" w:rsidRPr="008A1DB4">
        <w:rPr>
          <w:spacing w:val="-2"/>
          <w:sz w:val="18"/>
          <w:szCs w:val="18"/>
          <w:lang w:val="en-US"/>
        </w:rPr>
        <w:t xml:space="preserve"> Ho Wing </w:t>
      </w:r>
      <w:r w:rsidRPr="008A1DB4">
        <w:rPr>
          <w:spacing w:val="-2"/>
          <w:sz w:val="18"/>
          <w:szCs w:val="18"/>
          <w:lang w:val="en-US"/>
        </w:rPr>
        <w:t>based on the</w:t>
      </w:r>
      <w:r w:rsidR="00470B06" w:rsidRPr="008A1DB4">
        <w:rPr>
          <w:spacing w:val="-2"/>
          <w:sz w:val="18"/>
          <w:szCs w:val="18"/>
          <w:lang w:val="en-US"/>
        </w:rPr>
        <w:t xml:space="preserve"> </w:t>
      </w:r>
      <w:r w:rsidRPr="008A1DB4">
        <w:rPr>
          <w:spacing w:val="-2"/>
          <w:sz w:val="18"/>
          <w:szCs w:val="18"/>
          <w:lang w:val="en-US"/>
        </w:rPr>
        <w:t>Extradition T</w:t>
      </w:r>
      <w:r w:rsidR="00FE5E87" w:rsidRPr="008A1DB4">
        <w:rPr>
          <w:spacing w:val="-2"/>
          <w:sz w:val="18"/>
          <w:szCs w:val="18"/>
          <w:lang w:val="en-US"/>
        </w:rPr>
        <w:t>reaty between</w:t>
      </w:r>
      <w:r w:rsidR="00470B06" w:rsidRPr="008A1DB4">
        <w:rPr>
          <w:spacing w:val="-2"/>
          <w:sz w:val="18"/>
          <w:szCs w:val="18"/>
          <w:lang w:val="en-US"/>
        </w:rPr>
        <w:t xml:space="preserve"> </w:t>
      </w:r>
      <w:r w:rsidR="00FC5891" w:rsidRPr="008A1DB4">
        <w:rPr>
          <w:spacing w:val="-2"/>
          <w:sz w:val="18"/>
          <w:szCs w:val="18"/>
          <w:lang w:val="en-US"/>
        </w:rPr>
        <w:t>the Republic of Peru</w:t>
      </w:r>
      <w:r w:rsidR="00F36400" w:rsidRPr="008A1DB4">
        <w:rPr>
          <w:spacing w:val="-2"/>
          <w:sz w:val="18"/>
          <w:szCs w:val="18"/>
          <w:lang w:val="en-US"/>
        </w:rPr>
        <w:t xml:space="preserve"> and </w:t>
      </w:r>
      <w:r w:rsidR="00FE5E87" w:rsidRPr="008A1DB4">
        <w:rPr>
          <w:spacing w:val="-2"/>
          <w:sz w:val="18"/>
          <w:szCs w:val="18"/>
          <w:lang w:val="en-US"/>
        </w:rPr>
        <w:t>the People’s Republic of China</w:t>
      </w:r>
      <w:r w:rsidR="00470B06" w:rsidRPr="008A1DB4">
        <w:rPr>
          <w:spacing w:val="-2"/>
          <w:sz w:val="18"/>
          <w:szCs w:val="18"/>
          <w:lang w:val="en-US"/>
        </w:rPr>
        <w:t xml:space="preserve">. </w:t>
      </w:r>
      <w:r w:rsidRPr="008A1DB4">
        <w:rPr>
          <w:spacing w:val="-2"/>
          <w:sz w:val="18"/>
          <w:szCs w:val="18"/>
          <w:lang w:val="en-US"/>
        </w:rPr>
        <w:t xml:space="preserve">On the other hand, it also has the obligation not to subject </w:t>
      </w:r>
      <w:r w:rsidR="00B43F84" w:rsidRPr="008A1DB4">
        <w:rPr>
          <w:spacing w:val="-2"/>
          <w:sz w:val="18"/>
          <w:szCs w:val="18"/>
          <w:lang w:val="en-US"/>
        </w:rPr>
        <w:t>Wong</w:t>
      </w:r>
      <w:r w:rsidR="00470B06" w:rsidRPr="008A1DB4">
        <w:rPr>
          <w:spacing w:val="-2"/>
          <w:sz w:val="18"/>
          <w:szCs w:val="18"/>
          <w:lang w:val="en-US"/>
        </w:rPr>
        <w:t xml:space="preserve"> Ho Wing </w:t>
      </w:r>
      <w:r w:rsidRPr="008A1DB4">
        <w:rPr>
          <w:spacing w:val="-2"/>
          <w:sz w:val="18"/>
          <w:szCs w:val="18"/>
          <w:lang w:val="en-US"/>
        </w:rPr>
        <w:t xml:space="preserve">to the risk of the application </w:t>
      </w:r>
      <w:r w:rsidR="00BB44A4" w:rsidRPr="008A1DB4">
        <w:rPr>
          <w:spacing w:val="-2"/>
          <w:sz w:val="18"/>
          <w:szCs w:val="18"/>
          <w:lang w:val="en-US"/>
        </w:rPr>
        <w:t xml:space="preserve">of the </w:t>
      </w:r>
      <w:r w:rsidR="00A3310A" w:rsidRPr="008A1DB4">
        <w:rPr>
          <w:spacing w:val="-2"/>
          <w:sz w:val="18"/>
          <w:szCs w:val="18"/>
          <w:lang w:val="en-US"/>
        </w:rPr>
        <w:t>death penalty</w:t>
      </w:r>
      <w:r w:rsidR="00470B06" w:rsidRPr="008A1DB4">
        <w:rPr>
          <w:spacing w:val="-2"/>
          <w:sz w:val="18"/>
          <w:szCs w:val="18"/>
          <w:lang w:val="en-US"/>
        </w:rPr>
        <w:t xml:space="preserve"> </w:t>
      </w:r>
      <w:r w:rsidRPr="008A1DB4">
        <w:rPr>
          <w:spacing w:val="-2"/>
          <w:sz w:val="18"/>
          <w:szCs w:val="18"/>
          <w:lang w:val="en-US"/>
        </w:rPr>
        <w:t>via extradition, and to try him for the offenses for which his extradition is sought.</w:t>
      </w:r>
      <w:r w:rsidR="00470B06" w:rsidRPr="008A1DB4">
        <w:rPr>
          <w:spacing w:val="-2"/>
          <w:sz w:val="18"/>
          <w:szCs w:val="18"/>
          <w:lang w:val="en-US"/>
        </w:rPr>
        <w:t xml:space="preserve"> </w:t>
      </w:r>
    </w:p>
    <w:p w14:paraId="58CD2D2A" w14:textId="77777777" w:rsidR="00470B06" w:rsidRPr="008A1DB4" w:rsidRDefault="00470B06" w:rsidP="00956E97">
      <w:pPr>
        <w:ind w:left="567" w:right="616"/>
        <w:rPr>
          <w:spacing w:val="-2"/>
          <w:sz w:val="18"/>
          <w:szCs w:val="18"/>
          <w:lang w:val="en-US"/>
        </w:rPr>
      </w:pPr>
    </w:p>
    <w:p w14:paraId="143D6596" w14:textId="65090111" w:rsidR="00E03ED1" w:rsidRPr="008A1DB4" w:rsidRDefault="00470B06" w:rsidP="00956E97">
      <w:pPr>
        <w:ind w:left="567" w:right="616"/>
        <w:rPr>
          <w:spacing w:val="-2"/>
          <w:sz w:val="18"/>
          <w:szCs w:val="18"/>
          <w:lang w:val="en-US"/>
        </w:rPr>
      </w:pPr>
      <w:r w:rsidRPr="008A1DB4">
        <w:rPr>
          <w:spacing w:val="-2"/>
          <w:sz w:val="18"/>
          <w:szCs w:val="18"/>
          <w:lang w:val="en-US"/>
        </w:rPr>
        <w:t>Ap</w:t>
      </w:r>
      <w:r w:rsidR="006324A5" w:rsidRPr="008A1DB4">
        <w:rPr>
          <w:spacing w:val="-2"/>
          <w:sz w:val="18"/>
          <w:szCs w:val="18"/>
          <w:lang w:val="en-US"/>
        </w:rPr>
        <w:t xml:space="preserve">parently, the obligations described above are incompatible, because if Wong Ho Wing </w:t>
      </w:r>
      <w:r w:rsidR="0079515C" w:rsidRPr="008A1DB4">
        <w:rPr>
          <w:spacing w:val="-2"/>
          <w:sz w:val="18"/>
          <w:szCs w:val="18"/>
          <w:lang w:val="en-US"/>
        </w:rPr>
        <w:t>is</w:t>
      </w:r>
      <w:r w:rsidR="006324A5" w:rsidRPr="008A1DB4">
        <w:rPr>
          <w:spacing w:val="-2"/>
          <w:sz w:val="18"/>
          <w:szCs w:val="18"/>
          <w:lang w:val="en-US"/>
        </w:rPr>
        <w:t xml:space="preserve"> extradited, </w:t>
      </w:r>
      <w:r w:rsidR="00071662" w:rsidRPr="008A1DB4">
        <w:rPr>
          <w:spacing w:val="-2"/>
          <w:sz w:val="18"/>
          <w:szCs w:val="18"/>
          <w:lang w:val="en-US"/>
        </w:rPr>
        <w:t>the Peruvian State</w:t>
      </w:r>
      <w:r w:rsidRPr="008A1DB4">
        <w:rPr>
          <w:spacing w:val="-2"/>
          <w:sz w:val="18"/>
          <w:szCs w:val="18"/>
          <w:lang w:val="en-US"/>
        </w:rPr>
        <w:t xml:space="preserve"> </w:t>
      </w:r>
      <w:r w:rsidR="006324A5" w:rsidRPr="008A1DB4">
        <w:rPr>
          <w:spacing w:val="-2"/>
          <w:sz w:val="18"/>
          <w:szCs w:val="18"/>
          <w:lang w:val="en-US"/>
        </w:rPr>
        <w:t xml:space="preserve">would be unable to try him. Conversely, if </w:t>
      </w:r>
      <w:r w:rsidR="00071662" w:rsidRPr="008A1DB4">
        <w:rPr>
          <w:spacing w:val="-2"/>
          <w:sz w:val="18"/>
          <w:szCs w:val="18"/>
          <w:lang w:val="en-US"/>
        </w:rPr>
        <w:t>the Peruvian State</w:t>
      </w:r>
      <w:r w:rsidRPr="008A1DB4">
        <w:rPr>
          <w:spacing w:val="-2"/>
          <w:sz w:val="18"/>
          <w:szCs w:val="18"/>
          <w:lang w:val="en-US"/>
        </w:rPr>
        <w:t xml:space="preserve"> decide</w:t>
      </w:r>
      <w:r w:rsidR="006324A5" w:rsidRPr="008A1DB4">
        <w:rPr>
          <w:spacing w:val="-2"/>
          <w:sz w:val="18"/>
          <w:szCs w:val="18"/>
          <w:lang w:val="en-US"/>
        </w:rPr>
        <w:t xml:space="preserve">s to try </w:t>
      </w:r>
      <w:r w:rsidR="00B43F84" w:rsidRPr="008A1DB4">
        <w:rPr>
          <w:spacing w:val="-2"/>
          <w:sz w:val="18"/>
          <w:szCs w:val="18"/>
          <w:lang w:val="en-US"/>
        </w:rPr>
        <w:t>Wong</w:t>
      </w:r>
      <w:r w:rsidRPr="008A1DB4">
        <w:rPr>
          <w:spacing w:val="-2"/>
          <w:sz w:val="18"/>
          <w:szCs w:val="18"/>
          <w:lang w:val="en-US"/>
        </w:rPr>
        <w:t xml:space="preserve"> Ho Wing</w:t>
      </w:r>
      <w:r w:rsidR="006324A5" w:rsidRPr="008A1DB4">
        <w:rPr>
          <w:spacing w:val="-2"/>
          <w:sz w:val="18"/>
          <w:szCs w:val="18"/>
          <w:lang w:val="en-US"/>
        </w:rPr>
        <w:t xml:space="preserve">, it would be unable to extradite him, because it would prefer to safeguard the </w:t>
      </w:r>
      <w:r w:rsidR="00775124" w:rsidRPr="008A1DB4">
        <w:rPr>
          <w:spacing w:val="-2"/>
          <w:sz w:val="18"/>
          <w:szCs w:val="18"/>
          <w:lang w:val="en-US"/>
        </w:rPr>
        <w:t>right to life</w:t>
      </w:r>
      <w:r w:rsidRPr="008A1DB4">
        <w:rPr>
          <w:spacing w:val="-2"/>
          <w:sz w:val="18"/>
          <w:szCs w:val="18"/>
          <w:lang w:val="en-US"/>
        </w:rPr>
        <w:t xml:space="preserve">. </w:t>
      </w:r>
    </w:p>
    <w:p w14:paraId="45917D8E" w14:textId="77777777" w:rsidR="00E03ED1" w:rsidRPr="008A1DB4" w:rsidRDefault="00E03ED1" w:rsidP="00956E97">
      <w:pPr>
        <w:ind w:left="567" w:right="616"/>
        <w:rPr>
          <w:spacing w:val="-2"/>
          <w:sz w:val="18"/>
          <w:szCs w:val="18"/>
          <w:lang w:val="en-US"/>
        </w:rPr>
      </w:pPr>
    </w:p>
    <w:p w14:paraId="524A97CC" w14:textId="49673A47" w:rsidR="00470B06" w:rsidRPr="008A1DB4" w:rsidRDefault="006324A5" w:rsidP="00956E97">
      <w:pPr>
        <w:ind w:left="567" w:right="616"/>
        <w:rPr>
          <w:spacing w:val="-2"/>
          <w:sz w:val="18"/>
          <w:szCs w:val="18"/>
          <w:lang w:val="en-US"/>
        </w:rPr>
      </w:pPr>
      <w:r w:rsidRPr="008A1DB4">
        <w:rPr>
          <w:spacing w:val="-2"/>
          <w:sz w:val="18"/>
          <w:szCs w:val="18"/>
          <w:lang w:val="en-US"/>
        </w:rPr>
        <w:t xml:space="preserve">This apparent conflict between obligations must be decided bearing in mind the protection of the </w:t>
      </w:r>
      <w:r w:rsidR="00775124" w:rsidRPr="008A1DB4">
        <w:rPr>
          <w:spacing w:val="-2"/>
          <w:sz w:val="18"/>
          <w:szCs w:val="18"/>
          <w:lang w:val="en-US"/>
        </w:rPr>
        <w:t>right to life</w:t>
      </w:r>
      <w:r w:rsidR="00470B06" w:rsidRPr="008A1DB4">
        <w:rPr>
          <w:spacing w:val="-2"/>
          <w:sz w:val="18"/>
          <w:szCs w:val="18"/>
          <w:lang w:val="en-US"/>
        </w:rPr>
        <w:t xml:space="preserve"> </w:t>
      </w:r>
      <w:r w:rsidR="00B43F84" w:rsidRPr="008A1DB4">
        <w:rPr>
          <w:spacing w:val="-2"/>
          <w:sz w:val="18"/>
          <w:szCs w:val="18"/>
          <w:lang w:val="en-US"/>
        </w:rPr>
        <w:t>of Wong</w:t>
      </w:r>
      <w:r w:rsidR="00470B06" w:rsidRPr="008A1DB4">
        <w:rPr>
          <w:spacing w:val="-2"/>
          <w:sz w:val="18"/>
          <w:szCs w:val="18"/>
          <w:lang w:val="en-US"/>
        </w:rPr>
        <w:t xml:space="preserve"> Ho Wing, </w:t>
      </w:r>
      <w:r w:rsidRPr="008A1DB4">
        <w:rPr>
          <w:spacing w:val="-2"/>
          <w:sz w:val="18"/>
          <w:szCs w:val="18"/>
          <w:lang w:val="en-US"/>
        </w:rPr>
        <w:t xml:space="preserve">which is also an obligation imposed on the Peruvian State under </w:t>
      </w:r>
      <w:r w:rsidR="00F36400" w:rsidRPr="008A1DB4">
        <w:rPr>
          <w:spacing w:val="-2"/>
          <w:sz w:val="18"/>
          <w:szCs w:val="18"/>
          <w:lang w:val="en-US"/>
        </w:rPr>
        <w:t>Article</w:t>
      </w:r>
      <w:r w:rsidR="00470B06" w:rsidRPr="008A1DB4">
        <w:rPr>
          <w:spacing w:val="-2"/>
          <w:sz w:val="18"/>
          <w:szCs w:val="18"/>
          <w:lang w:val="en-US"/>
        </w:rPr>
        <w:t>s 4</w:t>
      </w:r>
      <w:r w:rsidR="00F36400" w:rsidRPr="008A1DB4">
        <w:rPr>
          <w:spacing w:val="-2"/>
          <w:sz w:val="18"/>
          <w:szCs w:val="18"/>
          <w:lang w:val="en-US"/>
        </w:rPr>
        <w:t xml:space="preserve"> and </w:t>
      </w:r>
      <w:r w:rsidRPr="008A1DB4">
        <w:rPr>
          <w:rFonts w:cs="Arial"/>
          <w:spacing w:val="-2"/>
          <w:sz w:val="18"/>
          <w:szCs w:val="18"/>
          <w:lang w:val="en-US"/>
        </w:rPr>
        <w:t>1(</w:t>
      </w:r>
      <w:r w:rsidR="00470B06" w:rsidRPr="008A1DB4">
        <w:rPr>
          <w:rFonts w:cs="Arial"/>
          <w:spacing w:val="-2"/>
          <w:sz w:val="18"/>
          <w:szCs w:val="18"/>
          <w:lang w:val="en-US"/>
        </w:rPr>
        <w:t>1</w:t>
      </w:r>
      <w:r w:rsidRPr="008A1DB4">
        <w:rPr>
          <w:rFonts w:cs="Arial"/>
          <w:spacing w:val="-2"/>
          <w:sz w:val="18"/>
          <w:szCs w:val="18"/>
          <w:lang w:val="en-US"/>
        </w:rPr>
        <w:t>)</w:t>
      </w:r>
      <w:r w:rsidR="00F36400" w:rsidRPr="008A1DB4">
        <w:rPr>
          <w:rFonts w:cs="Arial"/>
          <w:spacing w:val="-2"/>
          <w:sz w:val="18"/>
          <w:szCs w:val="18"/>
          <w:lang w:val="en-US"/>
        </w:rPr>
        <w:t xml:space="preserve"> of the </w:t>
      </w:r>
      <w:r w:rsidR="00F36400" w:rsidRPr="008A1DB4">
        <w:rPr>
          <w:spacing w:val="-2"/>
          <w:sz w:val="18"/>
          <w:szCs w:val="18"/>
          <w:lang w:val="en-US"/>
        </w:rPr>
        <w:t>American Convention on Human Rights</w:t>
      </w:r>
      <w:r w:rsidR="00AE0C1F" w:rsidRPr="008A1DB4">
        <w:rPr>
          <w:spacing w:val="-2"/>
          <w:sz w:val="18"/>
          <w:szCs w:val="18"/>
          <w:lang w:val="en-US"/>
        </w:rPr>
        <w:t>.</w:t>
      </w:r>
    </w:p>
    <w:p w14:paraId="12AE4A66" w14:textId="77777777" w:rsidR="00470B06" w:rsidRPr="008A1DB4" w:rsidRDefault="00470B06" w:rsidP="00956E97">
      <w:pPr>
        <w:ind w:left="567" w:right="616"/>
        <w:rPr>
          <w:spacing w:val="-2"/>
          <w:sz w:val="18"/>
          <w:szCs w:val="18"/>
          <w:lang w:val="en-US"/>
        </w:rPr>
      </w:pPr>
    </w:p>
    <w:p w14:paraId="4368E400" w14:textId="2D74EF12" w:rsidR="00470B06" w:rsidRPr="008A1DB4" w:rsidRDefault="006324A5" w:rsidP="00956E97">
      <w:pPr>
        <w:ind w:left="567" w:right="616"/>
        <w:rPr>
          <w:spacing w:val="-2"/>
          <w:sz w:val="18"/>
          <w:szCs w:val="18"/>
          <w:lang w:val="en-US"/>
        </w:rPr>
      </w:pPr>
      <w:r w:rsidRPr="008A1DB4">
        <w:rPr>
          <w:spacing w:val="-2"/>
          <w:sz w:val="18"/>
          <w:szCs w:val="18"/>
          <w:lang w:val="en-US"/>
        </w:rPr>
        <w:t xml:space="preserve">Indeed, should the death penalty be imposed on </w:t>
      </w:r>
      <w:r w:rsidR="00B43F84" w:rsidRPr="008A1DB4">
        <w:rPr>
          <w:spacing w:val="-2"/>
          <w:sz w:val="18"/>
          <w:szCs w:val="18"/>
          <w:lang w:val="en-US"/>
        </w:rPr>
        <w:t>Wong</w:t>
      </w:r>
      <w:r w:rsidR="00470B06" w:rsidRPr="008A1DB4">
        <w:rPr>
          <w:spacing w:val="-2"/>
          <w:sz w:val="18"/>
          <w:szCs w:val="18"/>
          <w:lang w:val="en-US"/>
        </w:rPr>
        <w:t xml:space="preserve"> Ho Wing, </w:t>
      </w:r>
      <w:r w:rsidRPr="008A1DB4">
        <w:rPr>
          <w:spacing w:val="-2"/>
          <w:sz w:val="18"/>
          <w:szCs w:val="18"/>
          <w:lang w:val="en-US"/>
        </w:rPr>
        <w:t xml:space="preserve">following his trial in </w:t>
      </w:r>
      <w:r w:rsidR="00FE5E87" w:rsidRPr="008A1DB4">
        <w:rPr>
          <w:spacing w:val="-2"/>
          <w:sz w:val="18"/>
          <w:szCs w:val="18"/>
          <w:lang w:val="en-US"/>
        </w:rPr>
        <w:t>the People’s Republic of China</w:t>
      </w:r>
      <w:r w:rsidR="00470B06" w:rsidRPr="008A1DB4">
        <w:rPr>
          <w:spacing w:val="-2"/>
          <w:sz w:val="18"/>
          <w:szCs w:val="18"/>
          <w:lang w:val="en-US"/>
        </w:rPr>
        <w:t>,</w:t>
      </w:r>
      <w:r w:rsidRPr="008A1DB4">
        <w:rPr>
          <w:spacing w:val="-2"/>
          <w:sz w:val="18"/>
          <w:szCs w:val="18"/>
          <w:lang w:val="en-US"/>
        </w:rPr>
        <w:t xml:space="preserve"> his right to life would be evidently and truly harmed, and this could be attributed to the Peruvian State</w:t>
      </w:r>
      <w:r w:rsidR="00470B06" w:rsidRPr="008A1DB4">
        <w:rPr>
          <w:spacing w:val="-2"/>
          <w:sz w:val="18"/>
          <w:szCs w:val="18"/>
          <w:lang w:val="en-US"/>
        </w:rPr>
        <w:t xml:space="preserve">, </w:t>
      </w:r>
      <w:r w:rsidRPr="008A1DB4">
        <w:rPr>
          <w:spacing w:val="-2"/>
          <w:sz w:val="18"/>
          <w:szCs w:val="18"/>
          <w:lang w:val="en-US"/>
        </w:rPr>
        <w:t>because it had not assessed sufficiently and reasonably the sufficient and real assurances provided by</w:t>
      </w:r>
      <w:r w:rsidR="00470B06" w:rsidRPr="008A1DB4">
        <w:rPr>
          <w:spacing w:val="-2"/>
          <w:sz w:val="18"/>
          <w:szCs w:val="18"/>
          <w:lang w:val="en-US"/>
        </w:rPr>
        <w:t xml:space="preserve"> </w:t>
      </w:r>
      <w:r w:rsidR="00653211" w:rsidRPr="008A1DB4">
        <w:rPr>
          <w:spacing w:val="-2"/>
          <w:sz w:val="18"/>
          <w:szCs w:val="18"/>
          <w:lang w:val="en-US"/>
        </w:rPr>
        <w:t>the requesting State</w:t>
      </w:r>
      <w:r w:rsidR="00470B06" w:rsidRPr="008A1DB4">
        <w:rPr>
          <w:spacing w:val="-2"/>
          <w:sz w:val="18"/>
          <w:szCs w:val="18"/>
          <w:lang w:val="en-US"/>
        </w:rPr>
        <w:t xml:space="preserve"> </w:t>
      </w:r>
      <w:r w:rsidRPr="008A1DB4">
        <w:rPr>
          <w:spacing w:val="-2"/>
          <w:sz w:val="18"/>
          <w:szCs w:val="18"/>
          <w:lang w:val="en-US"/>
        </w:rPr>
        <w:t xml:space="preserve">that it would not impose </w:t>
      </w:r>
      <w:r w:rsidR="00A3310A" w:rsidRPr="008A1DB4">
        <w:rPr>
          <w:spacing w:val="-2"/>
          <w:sz w:val="18"/>
          <w:szCs w:val="18"/>
          <w:lang w:val="en-US"/>
        </w:rPr>
        <w:t>the death penalty</w:t>
      </w:r>
      <w:r w:rsidRPr="008A1DB4">
        <w:rPr>
          <w:spacing w:val="-2"/>
          <w:sz w:val="18"/>
          <w:szCs w:val="18"/>
          <w:lang w:val="en-US"/>
        </w:rPr>
        <w:t xml:space="preserve"> on him</w:t>
      </w:r>
      <w:r w:rsidR="009706D7" w:rsidRPr="008A1DB4">
        <w:rPr>
          <w:spacing w:val="-2"/>
          <w:sz w:val="18"/>
          <w:szCs w:val="18"/>
          <w:lang w:val="en-US"/>
        </w:rPr>
        <w:t>.</w:t>
      </w:r>
    </w:p>
    <w:p w14:paraId="29FFAFA4" w14:textId="77777777" w:rsidR="00470B06" w:rsidRPr="008A1DB4" w:rsidRDefault="00470B06" w:rsidP="00956E97">
      <w:pPr>
        <w:ind w:left="567" w:right="616"/>
        <w:rPr>
          <w:spacing w:val="-2"/>
          <w:sz w:val="18"/>
          <w:szCs w:val="18"/>
          <w:lang w:val="en-US"/>
        </w:rPr>
      </w:pPr>
    </w:p>
    <w:p w14:paraId="5101DFAC" w14:textId="7CDAEC8E" w:rsidR="00470B06" w:rsidRPr="008A1DB4" w:rsidRDefault="006324A5" w:rsidP="00562AA4">
      <w:pPr>
        <w:ind w:left="567" w:right="616"/>
        <w:rPr>
          <w:spacing w:val="-2"/>
          <w:sz w:val="18"/>
          <w:szCs w:val="18"/>
          <w:lang w:val="en-US"/>
        </w:rPr>
      </w:pPr>
      <w:r w:rsidRPr="008A1DB4">
        <w:rPr>
          <w:spacing w:val="-2"/>
          <w:sz w:val="18"/>
          <w:szCs w:val="18"/>
          <w:lang w:val="en-US"/>
        </w:rPr>
        <w:t xml:space="preserve">In such cases, </w:t>
      </w:r>
      <w:r w:rsidR="00F36400" w:rsidRPr="008A1DB4">
        <w:rPr>
          <w:spacing w:val="-2"/>
          <w:sz w:val="18"/>
          <w:szCs w:val="18"/>
          <w:lang w:val="en-US"/>
        </w:rPr>
        <w:t xml:space="preserve">the </w:t>
      </w:r>
      <w:r w:rsidR="00631F9C" w:rsidRPr="008A1DB4">
        <w:rPr>
          <w:spacing w:val="-2"/>
          <w:sz w:val="18"/>
          <w:szCs w:val="18"/>
          <w:lang w:val="en-US"/>
        </w:rPr>
        <w:t>European Court of Human Rights</w:t>
      </w:r>
      <w:r w:rsidR="00470B06" w:rsidRPr="008A1DB4">
        <w:rPr>
          <w:spacing w:val="-2"/>
          <w:sz w:val="18"/>
          <w:szCs w:val="18"/>
          <w:lang w:val="en-US"/>
        </w:rPr>
        <w:t xml:space="preserve"> ha</w:t>
      </w:r>
      <w:r w:rsidRPr="008A1DB4">
        <w:rPr>
          <w:spacing w:val="-2"/>
          <w:sz w:val="18"/>
          <w:szCs w:val="18"/>
          <w:lang w:val="en-US"/>
        </w:rPr>
        <w:t xml:space="preserve">s emphasized that the Convention for the Protection of Human Rights and Fundamental Freedoms </w:t>
      </w:r>
      <w:r w:rsidR="00562AA4" w:rsidRPr="008A1DB4">
        <w:rPr>
          <w:spacing w:val="-2"/>
          <w:sz w:val="18"/>
          <w:szCs w:val="18"/>
          <w:lang w:val="en-US"/>
        </w:rPr>
        <w:t xml:space="preserve">does not guarantee the right not to be </w:t>
      </w:r>
      <w:r w:rsidR="00562AA4" w:rsidRPr="008A1DB4">
        <w:rPr>
          <w:spacing w:val="-2"/>
          <w:sz w:val="18"/>
          <w:szCs w:val="18"/>
          <w:lang w:val="en-US"/>
        </w:rPr>
        <w:lastRenderedPageBreak/>
        <w:t>extradited; however, if an extradition decision may affect the exercise of a right protected by the Convention, it is reasonable to require certain obligations of the Requesting State aimed at preventing the violation</w:t>
      </w:r>
      <w:r w:rsidR="00470B06" w:rsidRPr="008A1DB4">
        <w:rPr>
          <w:spacing w:val="-2"/>
          <w:sz w:val="18"/>
          <w:szCs w:val="18"/>
          <w:lang w:val="en-US"/>
        </w:rPr>
        <w:t xml:space="preserve"> […]</w:t>
      </w:r>
      <w:r w:rsidR="00562AA4" w:rsidRPr="008A1DB4">
        <w:rPr>
          <w:spacing w:val="-2"/>
          <w:sz w:val="18"/>
          <w:szCs w:val="18"/>
          <w:lang w:val="en-US"/>
        </w:rPr>
        <w:t>.</w:t>
      </w:r>
      <w:r w:rsidR="00470B06" w:rsidRPr="008A1DB4">
        <w:rPr>
          <w:rStyle w:val="FootnoteReference"/>
          <w:spacing w:val="-2"/>
          <w:sz w:val="18"/>
          <w:szCs w:val="18"/>
          <w:lang w:val="en-US"/>
        </w:rPr>
        <w:footnoteReference w:id="272"/>
      </w:r>
    </w:p>
    <w:p w14:paraId="4FEEB30F" w14:textId="77777777" w:rsidR="00E40275" w:rsidRPr="008A1DB4" w:rsidRDefault="00E40275" w:rsidP="00956E97">
      <w:pPr>
        <w:pStyle w:val="PrrafodeSentencia"/>
        <w:numPr>
          <w:ilvl w:val="0"/>
          <w:numId w:val="0"/>
        </w:numPr>
        <w:rPr>
          <w:spacing w:val="-2"/>
          <w:lang w:val="en-US"/>
        </w:rPr>
      </w:pPr>
    </w:p>
    <w:p w14:paraId="13581DAB" w14:textId="07023A82" w:rsidR="00E40275" w:rsidRPr="008A1DB4" w:rsidRDefault="00F36400" w:rsidP="00956E97">
      <w:pPr>
        <w:pStyle w:val="PrrafodeSentencia"/>
        <w:rPr>
          <w:spacing w:val="-2"/>
          <w:lang w:val="en-US"/>
        </w:rPr>
      </w:pPr>
      <w:r w:rsidRPr="008A1DB4">
        <w:rPr>
          <w:spacing w:val="-2"/>
          <w:lang w:val="en-US"/>
        </w:rPr>
        <w:t>The Court</w:t>
      </w:r>
      <w:r w:rsidR="00562AA4" w:rsidRPr="008A1DB4">
        <w:rPr>
          <w:spacing w:val="-2"/>
          <w:lang w:val="en-US"/>
        </w:rPr>
        <w:t xml:space="preserve"> notes that, following the delivery of the judgment </w:t>
      </w:r>
      <w:r w:rsidR="00C45946" w:rsidRPr="008A1DB4">
        <w:rPr>
          <w:spacing w:val="-2"/>
          <w:lang w:val="en-US"/>
        </w:rPr>
        <w:t xml:space="preserve">of the </w:t>
      </w:r>
      <w:r w:rsidR="00B43F84" w:rsidRPr="008A1DB4">
        <w:rPr>
          <w:spacing w:val="-2"/>
          <w:lang w:val="en-US"/>
        </w:rPr>
        <w:t>Constitutional Court</w:t>
      </w:r>
      <w:r w:rsidR="00E40275" w:rsidRPr="008A1DB4">
        <w:rPr>
          <w:spacing w:val="-2"/>
          <w:lang w:val="en-US"/>
        </w:rPr>
        <w:t xml:space="preserve"> </w:t>
      </w:r>
      <w:r w:rsidR="00562AA4" w:rsidRPr="008A1DB4">
        <w:rPr>
          <w:spacing w:val="-2"/>
          <w:lang w:val="en-US"/>
        </w:rPr>
        <w:t xml:space="preserve">in May </w:t>
      </w:r>
      <w:r w:rsidR="00E40275" w:rsidRPr="008A1DB4">
        <w:rPr>
          <w:spacing w:val="-2"/>
          <w:lang w:val="en-US"/>
        </w:rPr>
        <w:t xml:space="preserve">2011, </w:t>
      </w:r>
      <w:r w:rsidR="00562AA4" w:rsidRPr="008A1DB4">
        <w:rPr>
          <w:spacing w:val="-2"/>
          <w:lang w:val="en-US"/>
        </w:rPr>
        <w:t xml:space="preserve">that court issued a ruling clarifying it in which, regard the existence of new elements </w:t>
      </w:r>
      <w:r w:rsidR="00F240E4" w:rsidRPr="008A1DB4">
        <w:rPr>
          <w:spacing w:val="-2"/>
          <w:lang w:val="en-US"/>
        </w:rPr>
        <w:t>(</w:t>
      </w:r>
      <w:r w:rsidR="00653211" w:rsidRPr="008A1DB4">
        <w:rPr>
          <w:spacing w:val="-2"/>
          <w:lang w:val="en-US"/>
        </w:rPr>
        <w:t xml:space="preserve">the </w:t>
      </w:r>
      <w:r w:rsidR="00945E57" w:rsidRPr="008A1DB4">
        <w:rPr>
          <w:spacing w:val="-2"/>
          <w:lang w:val="en-US"/>
        </w:rPr>
        <w:t>diplomatic assurances</w:t>
      </w:r>
      <w:r w:rsidRPr="008A1DB4">
        <w:rPr>
          <w:spacing w:val="-2"/>
          <w:lang w:val="en-US"/>
        </w:rPr>
        <w:t xml:space="preserve"> and </w:t>
      </w:r>
      <w:r w:rsidR="00562AA4" w:rsidRPr="008A1DB4">
        <w:rPr>
          <w:spacing w:val="-2"/>
          <w:lang w:val="en-US"/>
        </w:rPr>
        <w:t xml:space="preserve">the annulment </w:t>
      </w:r>
      <w:r w:rsidR="00BB44A4" w:rsidRPr="008A1DB4">
        <w:rPr>
          <w:spacing w:val="-2"/>
          <w:lang w:val="en-US"/>
        </w:rPr>
        <w:t xml:space="preserve">of the </w:t>
      </w:r>
      <w:r w:rsidR="00A3310A" w:rsidRPr="008A1DB4">
        <w:rPr>
          <w:spacing w:val="-2"/>
          <w:lang w:val="en-US"/>
        </w:rPr>
        <w:t>death penalty</w:t>
      </w:r>
      <w:r w:rsidR="00F240E4" w:rsidRPr="008A1DB4">
        <w:rPr>
          <w:spacing w:val="-2"/>
          <w:lang w:val="en-US"/>
        </w:rPr>
        <w:t xml:space="preserve"> </w:t>
      </w:r>
      <w:r w:rsidR="00562AA4" w:rsidRPr="008A1DB4">
        <w:rPr>
          <w:spacing w:val="-2"/>
          <w:lang w:val="en-US"/>
        </w:rPr>
        <w:t xml:space="preserve">for the offense for which the </w:t>
      </w:r>
      <w:r w:rsidR="002D1CFC" w:rsidRPr="008A1DB4">
        <w:rPr>
          <w:spacing w:val="-2"/>
          <w:lang w:val="en-US"/>
        </w:rPr>
        <w:t>extradition</w:t>
      </w:r>
      <w:r w:rsidR="00F240E4" w:rsidRPr="008A1DB4">
        <w:rPr>
          <w:spacing w:val="-2"/>
          <w:lang w:val="en-US"/>
        </w:rPr>
        <w:t xml:space="preserve"> </w:t>
      </w:r>
      <w:r w:rsidR="00B43F84" w:rsidRPr="008A1DB4">
        <w:rPr>
          <w:spacing w:val="-2"/>
          <w:lang w:val="en-US"/>
        </w:rPr>
        <w:t>of Wong</w:t>
      </w:r>
      <w:r w:rsidR="00F240E4" w:rsidRPr="008A1DB4">
        <w:rPr>
          <w:spacing w:val="-2"/>
          <w:lang w:val="en-US"/>
        </w:rPr>
        <w:t xml:space="preserve"> Ho Wing</w:t>
      </w:r>
      <w:r w:rsidR="00562AA4" w:rsidRPr="008A1DB4">
        <w:rPr>
          <w:spacing w:val="-2"/>
          <w:lang w:val="en-US"/>
        </w:rPr>
        <w:t xml:space="preserve"> was sought</w:t>
      </w:r>
      <w:r w:rsidR="00F240E4" w:rsidRPr="008A1DB4">
        <w:rPr>
          <w:spacing w:val="-2"/>
          <w:lang w:val="en-US"/>
        </w:rPr>
        <w:t>)</w:t>
      </w:r>
      <w:r w:rsidR="00562AA4" w:rsidRPr="008A1DB4">
        <w:rPr>
          <w:spacing w:val="-2"/>
          <w:lang w:val="en-US"/>
        </w:rPr>
        <w:t xml:space="preserve">, it indicated that “the belated awareness of the content [of </w:t>
      </w:r>
      <w:r w:rsidR="00653211" w:rsidRPr="008A1DB4">
        <w:rPr>
          <w:spacing w:val="-2"/>
          <w:lang w:val="en-US"/>
        </w:rPr>
        <w:t xml:space="preserve">the </w:t>
      </w:r>
      <w:r w:rsidR="00945E57" w:rsidRPr="008A1DB4">
        <w:rPr>
          <w:spacing w:val="-2"/>
          <w:lang w:val="en-US"/>
        </w:rPr>
        <w:t>diplomatic assurances</w:t>
      </w:r>
      <w:r w:rsidR="00F240E4" w:rsidRPr="008A1DB4">
        <w:rPr>
          <w:spacing w:val="-2"/>
          <w:lang w:val="en-US"/>
        </w:rPr>
        <w:t>]</w:t>
      </w:r>
      <w:r w:rsidR="00562AA4" w:rsidRPr="008A1DB4">
        <w:rPr>
          <w:spacing w:val="-2"/>
          <w:lang w:val="en-US"/>
        </w:rPr>
        <w:t xml:space="preserve"> cannot change the sense of the decision adopted </w:t>
      </w:r>
      <w:r w:rsidR="00F240E4" w:rsidRPr="008A1DB4">
        <w:rPr>
          <w:spacing w:val="-2"/>
          <w:lang w:val="en-US"/>
        </w:rPr>
        <w:t xml:space="preserve">[…], </w:t>
      </w:r>
      <w:r w:rsidR="00562AA4" w:rsidRPr="008A1DB4">
        <w:rPr>
          <w:spacing w:val="-2"/>
          <w:lang w:val="en-US"/>
        </w:rPr>
        <w:t xml:space="preserve">because it is now constitutional </w:t>
      </w:r>
      <w:r w:rsidR="00562AA4" w:rsidRPr="008A1DB4">
        <w:rPr>
          <w:i/>
          <w:spacing w:val="-2"/>
          <w:lang w:val="en-US"/>
        </w:rPr>
        <w:t>res judicata</w:t>
      </w:r>
      <w:r w:rsidR="00562AA4" w:rsidRPr="008A1DB4">
        <w:rPr>
          <w:spacing w:val="-2"/>
          <w:lang w:val="en-US"/>
        </w:rPr>
        <w:t>.</w:t>
      </w:r>
      <w:r w:rsidR="00F240E4" w:rsidRPr="008A1DB4">
        <w:rPr>
          <w:spacing w:val="-2"/>
          <w:lang w:val="en-US"/>
        </w:rPr>
        <w:t>”</w:t>
      </w:r>
      <w:r w:rsidR="00F240E4" w:rsidRPr="008A1DB4">
        <w:rPr>
          <w:rStyle w:val="FootnoteReference"/>
          <w:spacing w:val="-2"/>
          <w:lang w:val="en-US"/>
        </w:rPr>
        <w:footnoteReference w:id="273"/>
      </w:r>
      <w:r w:rsidR="00562AA4" w:rsidRPr="008A1DB4">
        <w:rPr>
          <w:spacing w:val="-2"/>
          <w:lang w:val="en-US"/>
        </w:rPr>
        <w:t xml:space="preserve"> The court that decided to change the provisional detention </w:t>
      </w:r>
      <w:r w:rsidR="00B43F84" w:rsidRPr="008A1DB4">
        <w:rPr>
          <w:spacing w:val="-2"/>
          <w:lang w:val="en-US"/>
        </w:rPr>
        <w:t>of Wong</w:t>
      </w:r>
      <w:r w:rsidR="00F240E4" w:rsidRPr="008A1DB4">
        <w:rPr>
          <w:spacing w:val="-2"/>
          <w:lang w:val="en-US"/>
        </w:rPr>
        <w:t xml:space="preserve"> Ho Wing</w:t>
      </w:r>
      <w:r w:rsidR="00562AA4" w:rsidRPr="008A1DB4">
        <w:rPr>
          <w:spacing w:val="-2"/>
          <w:lang w:val="en-US"/>
        </w:rPr>
        <w:t xml:space="preserve"> ruled similarly,</w:t>
      </w:r>
      <w:r w:rsidR="00F240E4" w:rsidRPr="008A1DB4">
        <w:rPr>
          <w:rStyle w:val="FootnoteReference"/>
          <w:rFonts w:cs="Arial"/>
          <w:spacing w:val="-2"/>
          <w:sz w:val="18"/>
          <w:szCs w:val="18"/>
          <w:lang w:val="en-US"/>
        </w:rPr>
        <w:footnoteReference w:id="274"/>
      </w:r>
      <w:r w:rsidR="00562AA4" w:rsidRPr="008A1DB4">
        <w:rPr>
          <w:spacing w:val="-2"/>
          <w:lang w:val="en-US"/>
        </w:rPr>
        <w:t xml:space="preserve"> and </w:t>
      </w:r>
      <w:r w:rsidR="00B67AC5" w:rsidRPr="008A1DB4">
        <w:rPr>
          <w:spacing w:val="-2"/>
          <w:lang w:val="en-US"/>
        </w:rPr>
        <w:t xml:space="preserve">the </w:t>
      </w:r>
      <w:r w:rsidR="001E7113" w:rsidRPr="008A1DB4">
        <w:rPr>
          <w:spacing w:val="-2"/>
          <w:lang w:val="en-US"/>
        </w:rPr>
        <w:t>Supreme Court of Justice</w:t>
      </w:r>
      <w:r w:rsidR="00562AA4" w:rsidRPr="008A1DB4">
        <w:rPr>
          <w:spacing w:val="-2"/>
          <w:lang w:val="en-US"/>
        </w:rPr>
        <w:t xml:space="preserve"> also</w:t>
      </w:r>
      <w:r w:rsidR="00C56E2B" w:rsidRPr="008A1DB4">
        <w:rPr>
          <w:rStyle w:val="FootnoteReference"/>
          <w:spacing w:val="-2"/>
          <w:lang w:val="en-US"/>
        </w:rPr>
        <w:footnoteReference w:id="275"/>
      </w:r>
      <w:r w:rsidR="00F240E4" w:rsidRPr="008A1DB4">
        <w:rPr>
          <w:spacing w:val="-2"/>
          <w:lang w:val="en-US"/>
        </w:rPr>
        <w:t xml:space="preserve"> </w:t>
      </w:r>
    </w:p>
    <w:p w14:paraId="3676ED15" w14:textId="77777777" w:rsidR="00191AC0" w:rsidRPr="008A1DB4" w:rsidRDefault="00191AC0" w:rsidP="00956E97">
      <w:pPr>
        <w:pStyle w:val="PrrafodeSentencia"/>
        <w:numPr>
          <w:ilvl w:val="0"/>
          <w:numId w:val="0"/>
        </w:numPr>
        <w:rPr>
          <w:spacing w:val="-2"/>
          <w:lang w:val="en-US"/>
        </w:rPr>
      </w:pPr>
    </w:p>
    <w:p w14:paraId="0B720ECE" w14:textId="0F6592C5" w:rsidR="00E40275" w:rsidRPr="008A1DB4" w:rsidRDefault="00562AA4" w:rsidP="00562AA4">
      <w:pPr>
        <w:pStyle w:val="PrrafodeSentencia"/>
        <w:rPr>
          <w:spacing w:val="-2"/>
          <w:u w:val="single"/>
          <w:lang w:val="en-US"/>
        </w:rPr>
      </w:pPr>
      <w:r w:rsidRPr="008A1DB4">
        <w:rPr>
          <w:bCs/>
          <w:iCs/>
          <w:spacing w:val="-2"/>
          <w:lang w:val="en-US"/>
        </w:rPr>
        <w:t xml:space="preserve">In addition, in a ruling of </w:t>
      </w:r>
      <w:r w:rsidR="00AB4E6D" w:rsidRPr="008A1DB4">
        <w:rPr>
          <w:spacing w:val="-2"/>
          <w:lang w:val="en-US"/>
        </w:rPr>
        <w:t>March 12,</w:t>
      </w:r>
      <w:r w:rsidRPr="008A1DB4">
        <w:rPr>
          <w:spacing w:val="-2"/>
          <w:lang w:val="en-US"/>
        </w:rPr>
        <w:t xml:space="preserve"> 2013, </w:t>
      </w:r>
      <w:r w:rsidR="00F36400" w:rsidRPr="008A1DB4">
        <w:rPr>
          <w:spacing w:val="-2"/>
          <w:lang w:val="en-US"/>
        </w:rPr>
        <w:t xml:space="preserve">the </w:t>
      </w:r>
      <w:r w:rsidR="00B43F84" w:rsidRPr="008A1DB4">
        <w:rPr>
          <w:spacing w:val="-2"/>
          <w:lang w:val="en-US"/>
        </w:rPr>
        <w:t>Constitutional Court</w:t>
      </w:r>
      <w:r w:rsidR="00E40275" w:rsidRPr="008A1DB4">
        <w:rPr>
          <w:spacing w:val="-2"/>
          <w:lang w:val="en-US"/>
        </w:rPr>
        <w:t xml:space="preserve"> re</w:t>
      </w:r>
      <w:r w:rsidRPr="008A1DB4">
        <w:rPr>
          <w:spacing w:val="-2"/>
          <w:lang w:val="en-US"/>
        </w:rPr>
        <w:t xml:space="preserve">jected the possibility of extraditing </w:t>
      </w:r>
      <w:r w:rsidR="00B43F84" w:rsidRPr="008A1DB4">
        <w:rPr>
          <w:spacing w:val="-2"/>
          <w:lang w:val="en-US"/>
        </w:rPr>
        <w:t>Wong</w:t>
      </w:r>
      <w:r w:rsidR="00E40275" w:rsidRPr="008A1DB4">
        <w:rPr>
          <w:spacing w:val="-2"/>
          <w:lang w:val="en-US"/>
        </w:rPr>
        <w:t xml:space="preserve"> Ho Wing </w:t>
      </w:r>
      <w:r w:rsidRPr="008A1DB4">
        <w:rPr>
          <w:spacing w:val="-2"/>
          <w:lang w:val="en-US"/>
        </w:rPr>
        <w:t xml:space="preserve">for the offense of bribery.  When denying an appeal for interpretation filed by the Public Attorney responsible for </w:t>
      </w:r>
      <w:r w:rsidR="008C2CD9">
        <w:rPr>
          <w:spacing w:val="-2"/>
          <w:lang w:val="en-US"/>
        </w:rPr>
        <w:t>Judicial</w:t>
      </w:r>
      <w:r w:rsidRPr="008A1DB4">
        <w:rPr>
          <w:spacing w:val="-2"/>
          <w:lang w:val="en-US"/>
        </w:rPr>
        <w:t xml:space="preserve"> Matters </w:t>
      </w:r>
      <w:r w:rsidR="00671326" w:rsidRPr="008A1DB4">
        <w:rPr>
          <w:spacing w:val="-2"/>
          <w:lang w:val="en-US"/>
        </w:rPr>
        <w:t xml:space="preserve">of the </w:t>
      </w:r>
      <w:r w:rsidR="002D1CFC" w:rsidRPr="008A1DB4">
        <w:rPr>
          <w:spacing w:val="-2"/>
          <w:lang w:val="en-US"/>
        </w:rPr>
        <w:t>Ministry of Justice</w:t>
      </w:r>
      <w:r w:rsidRPr="008A1DB4">
        <w:rPr>
          <w:spacing w:val="-2"/>
          <w:lang w:val="en-US"/>
        </w:rPr>
        <w:t>,</w:t>
      </w:r>
      <w:r w:rsidR="00E40275" w:rsidRPr="008A1DB4">
        <w:rPr>
          <w:rStyle w:val="FootnoteReference"/>
          <w:spacing w:val="-2"/>
          <w:lang w:val="en-US"/>
        </w:rPr>
        <w:footnoteReference w:id="276"/>
      </w:r>
      <w:r w:rsidR="00E40275"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E40275" w:rsidRPr="008A1DB4">
        <w:rPr>
          <w:spacing w:val="-2"/>
          <w:lang w:val="en-US"/>
        </w:rPr>
        <w:t xml:space="preserve"> </w:t>
      </w:r>
      <w:r w:rsidRPr="008A1DB4">
        <w:rPr>
          <w:spacing w:val="-2"/>
          <w:lang w:val="en-US"/>
        </w:rPr>
        <w:t xml:space="preserve">noted, regarding the possibility of extraditing </w:t>
      </w:r>
      <w:r w:rsidR="00B43F84" w:rsidRPr="008A1DB4">
        <w:rPr>
          <w:spacing w:val="-2"/>
          <w:lang w:val="en-US"/>
        </w:rPr>
        <w:t>Wong</w:t>
      </w:r>
      <w:r w:rsidR="00E40275" w:rsidRPr="008A1DB4">
        <w:rPr>
          <w:spacing w:val="-2"/>
          <w:lang w:val="en-US"/>
        </w:rPr>
        <w:t xml:space="preserve"> Ho Wing </w:t>
      </w:r>
      <w:r w:rsidRPr="008A1DB4">
        <w:rPr>
          <w:spacing w:val="-2"/>
          <w:lang w:val="en-US"/>
        </w:rPr>
        <w:t xml:space="preserve">r the offense of bribery, that “with the pretext of ‘clarifying’ an element of its judgment” it was sought “to ‘amend’ its decision, so that it would express something that it had not done originally, also affecting the guarantee of </w:t>
      </w:r>
      <w:r w:rsidRPr="008A1DB4">
        <w:rPr>
          <w:i/>
          <w:spacing w:val="-2"/>
          <w:lang w:val="en-US"/>
        </w:rPr>
        <w:t>res judicata</w:t>
      </w:r>
      <w:r w:rsidRPr="008A1DB4">
        <w:rPr>
          <w:spacing w:val="-2"/>
          <w:lang w:val="en-US"/>
        </w:rPr>
        <w:t xml:space="preserve">.” It indicated that “pursuant to the content of both the judgment and the clarifying ruling issued by the Constitutional Court, […] they did not make an individual or separate analysis of the offenses that the </w:t>
      </w:r>
      <w:r w:rsidR="006B70BB">
        <w:rPr>
          <w:spacing w:val="-2"/>
          <w:lang w:val="en-US"/>
        </w:rPr>
        <w:t>individual sought</w:t>
      </w:r>
      <w:r w:rsidRPr="008A1DB4">
        <w:rPr>
          <w:spacing w:val="-2"/>
          <w:lang w:val="en-US"/>
        </w:rPr>
        <w:t xml:space="preserve"> is accused of, not only because this was not in order […], but also because the relevant point was to determine whether the right to life of the beneficiary in the </w:t>
      </w:r>
      <w:r w:rsidRPr="008A1DB4">
        <w:rPr>
          <w:i/>
          <w:spacing w:val="-2"/>
          <w:lang w:val="en-US"/>
        </w:rPr>
        <w:t>habeas corpus</w:t>
      </w:r>
      <w:r w:rsidRPr="008A1DB4">
        <w:rPr>
          <w:spacing w:val="-2"/>
          <w:lang w:val="en-US"/>
        </w:rPr>
        <w:t xml:space="preserve"> proceeding was threatened if the extradition request was declared admissible” </w:t>
      </w:r>
      <w:r w:rsidR="00E40275" w:rsidRPr="008A1DB4">
        <w:rPr>
          <w:spacing w:val="-2"/>
          <w:lang w:val="en-US"/>
        </w:rPr>
        <w:t>(</w:t>
      </w:r>
      <w:r w:rsidR="00E40275" w:rsidRPr="008A1DB4">
        <w:rPr>
          <w:i/>
          <w:spacing w:val="-2"/>
          <w:lang w:val="en-US"/>
        </w:rPr>
        <w:t>supra</w:t>
      </w:r>
      <w:r w:rsidR="00E40275"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_Ref419136766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90</w:t>
      </w:r>
      <w:r w:rsidR="00BE2225" w:rsidRPr="008A1DB4">
        <w:rPr>
          <w:spacing w:val="-2"/>
          <w:lang w:val="en-US"/>
        </w:rPr>
        <w:fldChar w:fldCharType="end"/>
      </w:r>
      <w:r w:rsidR="00E40275" w:rsidRPr="008A1DB4">
        <w:rPr>
          <w:spacing w:val="-2"/>
          <w:lang w:val="en-US"/>
        </w:rPr>
        <w:t>).</w:t>
      </w:r>
    </w:p>
    <w:p w14:paraId="31AEB5F3" w14:textId="77777777" w:rsidR="00E40275" w:rsidRPr="008A1DB4" w:rsidRDefault="00E40275" w:rsidP="00956E97">
      <w:pPr>
        <w:pStyle w:val="PrrafodeSentencia"/>
        <w:numPr>
          <w:ilvl w:val="0"/>
          <w:numId w:val="0"/>
        </w:numPr>
        <w:rPr>
          <w:spacing w:val="-2"/>
          <w:lang w:val="en-US"/>
        </w:rPr>
      </w:pPr>
    </w:p>
    <w:p w14:paraId="1686FF33" w14:textId="7260ECDC" w:rsidR="00481C8D" w:rsidRPr="008A1DB4" w:rsidRDefault="0079515C" w:rsidP="00956E97">
      <w:pPr>
        <w:pStyle w:val="PrrafodeSentencia"/>
        <w:rPr>
          <w:spacing w:val="-2"/>
          <w:lang w:val="en-US"/>
        </w:rPr>
      </w:pPr>
      <w:r w:rsidRPr="008A1DB4">
        <w:rPr>
          <w:spacing w:val="-2"/>
          <w:lang w:val="en-US"/>
        </w:rPr>
        <w:t>Nevertheless</w:t>
      </w:r>
      <w:r w:rsidR="00562AA4" w:rsidRPr="008A1DB4">
        <w:rPr>
          <w:spacing w:val="-2"/>
          <w:lang w:val="en-US"/>
        </w:rPr>
        <w:t xml:space="preserve">, the Court underscores that, at the date of the delivery of this Judgment, </w:t>
      </w:r>
      <w:r w:rsidR="00B43F84" w:rsidRPr="008A1DB4">
        <w:rPr>
          <w:spacing w:val="-2"/>
          <w:lang w:val="en-US"/>
        </w:rPr>
        <w:t>the Executive Branch</w:t>
      </w:r>
      <w:r w:rsidR="004E1A91" w:rsidRPr="008A1DB4">
        <w:rPr>
          <w:spacing w:val="-2"/>
          <w:lang w:val="en-US"/>
        </w:rPr>
        <w:t xml:space="preserve"> </w:t>
      </w:r>
      <w:r w:rsidR="00562AA4" w:rsidRPr="008A1DB4">
        <w:rPr>
          <w:spacing w:val="-2"/>
          <w:lang w:val="en-US"/>
        </w:rPr>
        <w:t xml:space="preserve">has not taken a final decision in this case. According to Peru’s domestic laws, although </w:t>
      </w:r>
      <w:r w:rsidR="00FC5891" w:rsidRPr="008A1DB4">
        <w:rPr>
          <w:spacing w:val="-2"/>
          <w:lang w:val="en-US"/>
        </w:rPr>
        <w:t xml:space="preserve">extradition </w:t>
      </w:r>
      <w:r w:rsidR="00562AA4" w:rsidRPr="008A1DB4">
        <w:rPr>
          <w:spacing w:val="-2"/>
          <w:lang w:val="en-US"/>
        </w:rPr>
        <w:t xml:space="preserve">involves a joint </w:t>
      </w:r>
      <w:r w:rsidR="00FC5891" w:rsidRPr="008A1DB4">
        <w:rPr>
          <w:spacing w:val="-2"/>
          <w:lang w:val="en-US"/>
        </w:rPr>
        <w:t>process</w:t>
      </w:r>
      <w:r w:rsidR="00562AA4" w:rsidRPr="008A1DB4">
        <w:rPr>
          <w:spacing w:val="-2"/>
          <w:lang w:val="en-US"/>
        </w:rPr>
        <w:t>, it corresponds exclusively to the</w:t>
      </w:r>
      <w:r w:rsidR="00B43F84" w:rsidRPr="008A1DB4">
        <w:rPr>
          <w:spacing w:val="-2"/>
          <w:lang w:val="en-US"/>
        </w:rPr>
        <w:t xml:space="preserve"> Executive Branch</w:t>
      </w:r>
      <w:r w:rsidR="004E1A91" w:rsidRPr="008A1DB4">
        <w:rPr>
          <w:spacing w:val="-2"/>
          <w:lang w:val="en-US"/>
        </w:rPr>
        <w:t xml:space="preserve"> </w:t>
      </w:r>
      <w:r w:rsidR="00562AA4" w:rsidRPr="008A1DB4">
        <w:rPr>
          <w:spacing w:val="-2"/>
          <w:lang w:val="en-US"/>
        </w:rPr>
        <w:t xml:space="preserve">to grant or reject </w:t>
      </w:r>
      <w:r w:rsidR="002D1CFC" w:rsidRPr="008A1DB4">
        <w:rPr>
          <w:spacing w:val="-2"/>
          <w:lang w:val="en-US"/>
        </w:rPr>
        <w:t>extradition</w:t>
      </w:r>
      <w:r w:rsidR="004E1A91" w:rsidRPr="008A1DB4">
        <w:rPr>
          <w:spacing w:val="-2"/>
          <w:lang w:val="en-US"/>
        </w:rPr>
        <w:t xml:space="preserve">, </w:t>
      </w:r>
      <w:r w:rsidR="00562AA4" w:rsidRPr="008A1DB4">
        <w:rPr>
          <w:spacing w:val="-2"/>
          <w:lang w:val="en-US"/>
        </w:rPr>
        <w:t xml:space="preserve">in those cases where </w:t>
      </w:r>
      <w:r w:rsidR="00B67AC5" w:rsidRPr="008A1DB4">
        <w:rPr>
          <w:spacing w:val="-2"/>
          <w:lang w:val="en-US"/>
        </w:rPr>
        <w:t>the Supreme Court</w:t>
      </w:r>
      <w:r w:rsidR="004E1A91" w:rsidRPr="008A1DB4">
        <w:rPr>
          <w:spacing w:val="-2"/>
          <w:lang w:val="en-US"/>
        </w:rPr>
        <w:t xml:space="preserve"> </w:t>
      </w:r>
      <w:r w:rsidR="00562AA4" w:rsidRPr="008A1DB4">
        <w:rPr>
          <w:spacing w:val="-2"/>
          <w:lang w:val="en-US"/>
        </w:rPr>
        <w:t xml:space="preserve">has considered it admissible, such as in this one </w:t>
      </w:r>
      <w:r w:rsidR="004E1A91" w:rsidRPr="008A1DB4">
        <w:rPr>
          <w:spacing w:val="-2"/>
          <w:lang w:val="en-US"/>
        </w:rPr>
        <w:t>(</w:t>
      </w:r>
      <w:r w:rsidR="004E1A91" w:rsidRPr="008A1DB4">
        <w:rPr>
          <w:i/>
          <w:spacing w:val="-2"/>
          <w:lang w:val="en-US"/>
        </w:rPr>
        <w:t>supra</w:t>
      </w:r>
      <w:r w:rsidR="004E1A91"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_Ref401584914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57</w:t>
      </w:r>
      <w:r w:rsidR="00BE2225" w:rsidRPr="008A1DB4">
        <w:rPr>
          <w:spacing w:val="-2"/>
          <w:lang w:val="en-US"/>
        </w:rPr>
        <w:fldChar w:fldCharType="end"/>
      </w:r>
      <w:r w:rsidR="004E1A91" w:rsidRPr="008A1DB4">
        <w:rPr>
          <w:spacing w:val="-2"/>
          <w:lang w:val="en-US"/>
        </w:rPr>
        <w:t xml:space="preserve">). </w:t>
      </w:r>
      <w:r w:rsidR="009876AD" w:rsidRPr="008A1DB4">
        <w:rPr>
          <w:spacing w:val="-2"/>
          <w:lang w:val="en-US"/>
        </w:rPr>
        <w:t>E</w:t>
      </w:r>
      <w:r w:rsidR="00127339" w:rsidRPr="008A1DB4">
        <w:rPr>
          <w:spacing w:val="-2"/>
          <w:lang w:val="en-US"/>
        </w:rPr>
        <w:t>xpert witness</w:t>
      </w:r>
      <w:r w:rsidR="00481C8D" w:rsidRPr="008A1DB4">
        <w:rPr>
          <w:spacing w:val="-2"/>
          <w:lang w:val="en-US"/>
        </w:rPr>
        <w:t xml:space="preserve"> </w:t>
      </w:r>
      <w:proofErr w:type="spellStart"/>
      <w:r w:rsidR="00481C8D" w:rsidRPr="008A1DB4">
        <w:rPr>
          <w:spacing w:val="-2"/>
          <w:lang w:val="en-US"/>
        </w:rPr>
        <w:t>García</w:t>
      </w:r>
      <w:proofErr w:type="spellEnd"/>
      <w:r w:rsidR="00481C8D" w:rsidRPr="008A1DB4">
        <w:rPr>
          <w:spacing w:val="-2"/>
          <w:lang w:val="en-US"/>
        </w:rPr>
        <w:t xml:space="preserve"> </w:t>
      </w:r>
      <w:proofErr w:type="spellStart"/>
      <w:r w:rsidR="00481C8D" w:rsidRPr="008A1DB4">
        <w:rPr>
          <w:spacing w:val="-2"/>
          <w:lang w:val="en-US"/>
        </w:rPr>
        <w:t>Toma</w:t>
      </w:r>
      <w:proofErr w:type="spellEnd"/>
      <w:r w:rsidR="009876AD" w:rsidRPr="008A1DB4">
        <w:rPr>
          <w:spacing w:val="-2"/>
          <w:lang w:val="en-US"/>
        </w:rPr>
        <w:t xml:space="preserve"> expl</w:t>
      </w:r>
      <w:r w:rsidR="00562AA4" w:rsidRPr="008A1DB4">
        <w:rPr>
          <w:spacing w:val="-2"/>
          <w:lang w:val="en-US"/>
        </w:rPr>
        <w:t xml:space="preserve">ained that the judgment </w:t>
      </w:r>
      <w:r w:rsidR="00C45946" w:rsidRPr="008A1DB4">
        <w:rPr>
          <w:spacing w:val="-2"/>
          <w:lang w:val="en-US"/>
        </w:rPr>
        <w:t xml:space="preserve">of the </w:t>
      </w:r>
      <w:r w:rsidR="00B43F84" w:rsidRPr="008A1DB4">
        <w:rPr>
          <w:spacing w:val="-2"/>
          <w:lang w:val="en-US"/>
        </w:rPr>
        <w:t>Constitutional Court</w:t>
      </w:r>
      <w:r w:rsidR="00481C8D" w:rsidRPr="008A1DB4">
        <w:rPr>
          <w:spacing w:val="-2"/>
          <w:lang w:val="en-US"/>
        </w:rPr>
        <w:t xml:space="preserve"> </w:t>
      </w:r>
      <w:r w:rsidR="00DC784C" w:rsidRPr="008A1DB4">
        <w:rPr>
          <w:spacing w:val="-2"/>
          <w:lang w:val="en-US"/>
        </w:rPr>
        <w:t xml:space="preserve">has not been contravened, insofar as this </w:t>
      </w:r>
      <w:r w:rsidR="00A33F97" w:rsidRPr="008A1DB4">
        <w:rPr>
          <w:spacing w:val="-2"/>
          <w:lang w:val="en-US"/>
        </w:rPr>
        <w:t>decision</w:t>
      </w:r>
      <w:r w:rsidR="00DC784C" w:rsidRPr="008A1DB4">
        <w:rPr>
          <w:spacing w:val="-2"/>
          <w:lang w:val="en-US"/>
        </w:rPr>
        <w:t xml:space="preserve"> consists merely in an obligation “to refrain from extraditing </w:t>
      </w:r>
      <w:r w:rsidR="00B43F84" w:rsidRPr="008A1DB4">
        <w:rPr>
          <w:spacing w:val="-2"/>
          <w:lang w:val="en-US"/>
        </w:rPr>
        <w:t>Wong</w:t>
      </w:r>
      <w:r w:rsidR="00481C8D" w:rsidRPr="008A1DB4">
        <w:rPr>
          <w:spacing w:val="-2"/>
          <w:lang w:val="en-US"/>
        </w:rPr>
        <w:t xml:space="preserve"> Ho Wing</w:t>
      </w:r>
      <w:r w:rsidR="00DC784C" w:rsidRPr="008A1DB4">
        <w:rPr>
          <w:spacing w:val="-2"/>
          <w:lang w:val="en-US"/>
        </w:rPr>
        <w:t>,” and this has been complied with rigorously to date.</w:t>
      </w:r>
    </w:p>
    <w:p w14:paraId="53F90BC9" w14:textId="77777777" w:rsidR="00481C8D" w:rsidRPr="008A1DB4" w:rsidRDefault="00481C8D" w:rsidP="00956E97">
      <w:pPr>
        <w:pStyle w:val="PrrafodeSentencia"/>
        <w:numPr>
          <w:ilvl w:val="0"/>
          <w:numId w:val="0"/>
        </w:numPr>
        <w:rPr>
          <w:spacing w:val="-2"/>
          <w:lang w:val="en-US"/>
        </w:rPr>
      </w:pPr>
    </w:p>
    <w:p w14:paraId="14460A12" w14:textId="692119A9" w:rsidR="009876AD" w:rsidRPr="008A1DB4" w:rsidRDefault="00F36400" w:rsidP="00956E97">
      <w:pPr>
        <w:pStyle w:val="PrrafodeSentencia"/>
        <w:rPr>
          <w:spacing w:val="-2"/>
          <w:lang w:val="en-US"/>
        </w:rPr>
      </w:pPr>
      <w:r w:rsidRPr="008A1DB4">
        <w:rPr>
          <w:spacing w:val="-2"/>
          <w:lang w:val="en-US"/>
        </w:rPr>
        <w:lastRenderedPageBreak/>
        <w:t>This Court</w:t>
      </w:r>
      <w:r w:rsidR="00DC784C" w:rsidRPr="008A1DB4">
        <w:rPr>
          <w:spacing w:val="-2"/>
          <w:lang w:val="en-US"/>
        </w:rPr>
        <w:t xml:space="preserve"> considers that, in May 2011,</w:t>
      </w:r>
      <w:r w:rsidR="009876AD" w:rsidRPr="008A1DB4">
        <w:rPr>
          <w:spacing w:val="-2"/>
          <w:lang w:val="en-US"/>
        </w:rPr>
        <w:t xml:space="preserve"> </w:t>
      </w:r>
      <w:r w:rsidR="001E7113" w:rsidRPr="008A1DB4">
        <w:rPr>
          <w:spacing w:val="-2"/>
          <w:lang w:val="en-US"/>
        </w:rPr>
        <w:t>Wong</w:t>
      </w:r>
      <w:r w:rsidR="009876AD" w:rsidRPr="008A1DB4">
        <w:rPr>
          <w:spacing w:val="-2"/>
          <w:lang w:val="en-US"/>
        </w:rPr>
        <w:t xml:space="preserve"> Ho Wing obt</w:t>
      </w:r>
      <w:r w:rsidR="00DC784C" w:rsidRPr="008A1DB4">
        <w:rPr>
          <w:spacing w:val="-2"/>
          <w:lang w:val="en-US"/>
        </w:rPr>
        <w:t xml:space="preserve">ained a ruling </w:t>
      </w:r>
      <w:r w:rsidR="00C45946" w:rsidRPr="008A1DB4">
        <w:rPr>
          <w:spacing w:val="-2"/>
          <w:lang w:val="en-US"/>
        </w:rPr>
        <w:t xml:space="preserve">of the </w:t>
      </w:r>
      <w:r w:rsidR="00B43F84" w:rsidRPr="008A1DB4">
        <w:rPr>
          <w:spacing w:val="-2"/>
          <w:lang w:val="en-US"/>
        </w:rPr>
        <w:t>Constitutional Court</w:t>
      </w:r>
      <w:r w:rsidR="00CC2D44" w:rsidRPr="008A1DB4">
        <w:rPr>
          <w:spacing w:val="-2"/>
          <w:lang w:val="en-US"/>
        </w:rPr>
        <w:t xml:space="preserve">, </w:t>
      </w:r>
      <w:r w:rsidR="00DC784C" w:rsidRPr="008A1DB4">
        <w:rPr>
          <w:spacing w:val="-2"/>
          <w:lang w:val="en-US"/>
        </w:rPr>
        <w:t>which ordered the</w:t>
      </w:r>
      <w:r w:rsidR="00B43F84" w:rsidRPr="008A1DB4">
        <w:rPr>
          <w:spacing w:val="-2"/>
          <w:lang w:val="en-US"/>
        </w:rPr>
        <w:t xml:space="preserve"> Executive Branch</w:t>
      </w:r>
      <w:r w:rsidR="00CC2D44" w:rsidRPr="008A1DB4">
        <w:rPr>
          <w:spacing w:val="-2"/>
          <w:lang w:val="en-US"/>
        </w:rPr>
        <w:t xml:space="preserve"> </w:t>
      </w:r>
      <w:r w:rsidR="00DC784C" w:rsidRPr="008A1DB4">
        <w:rPr>
          <w:spacing w:val="-2"/>
          <w:lang w:val="en-US"/>
        </w:rPr>
        <w:t xml:space="preserve">to refrain from extraditing him. However, the Court takes note that, in this decision, </w:t>
      </w:r>
      <w:r w:rsidRPr="008A1DB4">
        <w:rPr>
          <w:spacing w:val="-2"/>
          <w:lang w:val="en-US"/>
        </w:rPr>
        <w:t xml:space="preserve">the </w:t>
      </w:r>
      <w:r w:rsidR="00B43F84" w:rsidRPr="008A1DB4">
        <w:rPr>
          <w:spacing w:val="-2"/>
          <w:lang w:val="en-US"/>
        </w:rPr>
        <w:t>Constitutional Court</w:t>
      </w:r>
      <w:r w:rsidR="009876AD" w:rsidRPr="008A1DB4">
        <w:rPr>
          <w:spacing w:val="-2"/>
          <w:lang w:val="en-US"/>
        </w:rPr>
        <w:t xml:space="preserve"> </w:t>
      </w:r>
      <w:r w:rsidR="00DC784C" w:rsidRPr="008A1DB4">
        <w:rPr>
          <w:spacing w:val="-2"/>
          <w:lang w:val="en-US"/>
        </w:rPr>
        <w:t xml:space="preserve">found that, according to the circumstances that existed at the time, a risk to the right </w:t>
      </w:r>
      <w:r w:rsidR="00775124" w:rsidRPr="008A1DB4">
        <w:rPr>
          <w:spacing w:val="-2"/>
          <w:lang w:val="en-US"/>
        </w:rPr>
        <w:t>to life</w:t>
      </w:r>
      <w:r w:rsidR="00622E39" w:rsidRPr="008A1DB4">
        <w:rPr>
          <w:spacing w:val="-2"/>
          <w:lang w:val="en-US"/>
        </w:rPr>
        <w:t xml:space="preserve"> </w:t>
      </w:r>
      <w:r w:rsidR="00B43F84" w:rsidRPr="008A1DB4">
        <w:rPr>
          <w:spacing w:val="-2"/>
          <w:lang w:val="en-US"/>
        </w:rPr>
        <w:t>of Wong</w:t>
      </w:r>
      <w:r w:rsidR="00622E39" w:rsidRPr="008A1DB4">
        <w:rPr>
          <w:spacing w:val="-2"/>
          <w:lang w:val="en-US"/>
        </w:rPr>
        <w:t xml:space="preserve"> Ho Wing</w:t>
      </w:r>
      <w:r w:rsidR="00DC784C" w:rsidRPr="008A1DB4">
        <w:rPr>
          <w:spacing w:val="-2"/>
          <w:lang w:val="en-US"/>
        </w:rPr>
        <w:t xml:space="preserve"> persisted, in view of the absence of the necessary and sufficient assurances to safeguard it.</w:t>
      </w:r>
      <w:r w:rsidR="009876AD" w:rsidRPr="008A1DB4">
        <w:rPr>
          <w:rStyle w:val="FootnoteReference"/>
          <w:spacing w:val="-2"/>
          <w:lang w:val="en-US"/>
        </w:rPr>
        <w:footnoteReference w:id="277"/>
      </w:r>
      <w:r w:rsidR="003824D9" w:rsidRPr="008A1DB4">
        <w:rPr>
          <w:spacing w:val="-2"/>
          <w:lang w:val="en-US"/>
        </w:rPr>
        <w:t xml:space="preserve"> </w:t>
      </w:r>
      <w:r w:rsidR="00DC784C" w:rsidRPr="008A1DB4">
        <w:rPr>
          <w:spacing w:val="-2"/>
          <w:lang w:val="en-US"/>
        </w:rPr>
        <w:t xml:space="preserve">In its decision of June </w:t>
      </w:r>
      <w:r w:rsidR="009876AD" w:rsidRPr="008A1DB4">
        <w:rPr>
          <w:spacing w:val="-2"/>
          <w:lang w:val="en-US"/>
        </w:rPr>
        <w:t>201</w:t>
      </w:r>
      <w:r w:rsidR="00DC784C" w:rsidRPr="008A1DB4">
        <w:rPr>
          <w:spacing w:val="-2"/>
          <w:lang w:val="en-US"/>
        </w:rPr>
        <w:t>1,</w:t>
      </w:r>
      <w:r w:rsidR="009876AD" w:rsidRPr="008A1DB4">
        <w:rPr>
          <w:spacing w:val="-2"/>
          <w:lang w:val="en-US"/>
        </w:rPr>
        <w:t xml:space="preserve"> </w:t>
      </w:r>
      <w:r w:rsidRPr="008A1DB4">
        <w:rPr>
          <w:spacing w:val="-2"/>
          <w:lang w:val="en-US"/>
        </w:rPr>
        <w:t xml:space="preserve">the </w:t>
      </w:r>
      <w:r w:rsidR="00B43F84" w:rsidRPr="008A1DB4">
        <w:rPr>
          <w:spacing w:val="-2"/>
          <w:lang w:val="en-US"/>
        </w:rPr>
        <w:t>Constitutional Court</w:t>
      </w:r>
      <w:r w:rsidR="009876AD" w:rsidRPr="008A1DB4">
        <w:rPr>
          <w:spacing w:val="-2"/>
          <w:lang w:val="en-US"/>
        </w:rPr>
        <w:t xml:space="preserve"> </w:t>
      </w:r>
      <w:r w:rsidR="00DC784C" w:rsidRPr="008A1DB4">
        <w:rPr>
          <w:spacing w:val="-2"/>
          <w:lang w:val="en-US"/>
        </w:rPr>
        <w:t xml:space="preserve">clarified that, when issuing its </w:t>
      </w:r>
      <w:r w:rsidR="00A33F97" w:rsidRPr="008A1DB4">
        <w:rPr>
          <w:spacing w:val="-2"/>
          <w:lang w:val="en-US"/>
        </w:rPr>
        <w:t>decision</w:t>
      </w:r>
      <w:r w:rsidR="00DC784C" w:rsidRPr="008A1DB4">
        <w:rPr>
          <w:spacing w:val="-2"/>
          <w:lang w:val="en-US"/>
        </w:rPr>
        <w:t xml:space="preserve">, it was unable to take into account the assurances that had been provided up until that time, because they were not included in the case file, and that the diplomatic notes it had provided information on the annulment of the death penalty, but did not explain its applicability to the case </w:t>
      </w:r>
      <w:r w:rsidR="00B43F84" w:rsidRPr="008A1DB4">
        <w:rPr>
          <w:spacing w:val="-2"/>
          <w:lang w:val="en-US"/>
        </w:rPr>
        <w:t>of Wong</w:t>
      </w:r>
      <w:r w:rsidR="009876AD" w:rsidRPr="008A1DB4">
        <w:rPr>
          <w:spacing w:val="-2"/>
          <w:lang w:val="en-US"/>
        </w:rPr>
        <w:t xml:space="preserve"> Ho Wing</w:t>
      </w:r>
      <w:r w:rsidR="00DC784C" w:rsidRPr="008A1DB4">
        <w:rPr>
          <w:spacing w:val="-2"/>
          <w:lang w:val="en-US"/>
        </w:rPr>
        <w:t>.</w:t>
      </w:r>
      <w:r w:rsidR="009876AD" w:rsidRPr="008A1DB4">
        <w:rPr>
          <w:rStyle w:val="FootnoteReference"/>
          <w:spacing w:val="-2"/>
          <w:lang w:val="en-US"/>
        </w:rPr>
        <w:footnoteReference w:id="278"/>
      </w:r>
      <w:r w:rsidR="009876AD" w:rsidRPr="008A1DB4">
        <w:rPr>
          <w:spacing w:val="-2"/>
          <w:lang w:val="en-US"/>
        </w:rPr>
        <w:t xml:space="preserve"> </w:t>
      </w:r>
      <w:r w:rsidR="00DC784C" w:rsidRPr="008A1DB4">
        <w:rPr>
          <w:spacing w:val="-2"/>
          <w:lang w:val="en-US"/>
        </w:rPr>
        <w:t>Thus</w:t>
      </w:r>
      <w:r w:rsidR="005143A1" w:rsidRPr="008A1DB4">
        <w:rPr>
          <w:spacing w:val="-2"/>
          <w:lang w:val="en-US"/>
        </w:rPr>
        <w:t xml:space="preserve">, </w:t>
      </w:r>
      <w:r w:rsidRPr="008A1DB4">
        <w:rPr>
          <w:spacing w:val="-2"/>
          <w:lang w:val="en-US"/>
        </w:rPr>
        <w:t xml:space="preserve">the </w:t>
      </w:r>
      <w:r w:rsidR="00B43F84" w:rsidRPr="008A1DB4">
        <w:rPr>
          <w:spacing w:val="-2"/>
          <w:lang w:val="en-US"/>
        </w:rPr>
        <w:t>Constitutional Court</w:t>
      </w:r>
      <w:r w:rsidR="005143A1" w:rsidRPr="008A1DB4">
        <w:rPr>
          <w:spacing w:val="-2"/>
          <w:lang w:val="en-US"/>
        </w:rPr>
        <w:t xml:space="preserve"> </w:t>
      </w:r>
      <w:r w:rsidR="00DC784C" w:rsidRPr="008A1DB4">
        <w:rPr>
          <w:spacing w:val="-2"/>
          <w:lang w:val="en-US"/>
        </w:rPr>
        <w:t xml:space="preserve">was unable to assess either the annulment </w:t>
      </w:r>
      <w:r w:rsidR="00BB44A4" w:rsidRPr="008A1DB4">
        <w:rPr>
          <w:spacing w:val="-2"/>
          <w:lang w:val="en-US"/>
        </w:rPr>
        <w:t xml:space="preserve">of the </w:t>
      </w:r>
      <w:r w:rsidR="00A3310A" w:rsidRPr="008A1DB4">
        <w:rPr>
          <w:spacing w:val="-2"/>
          <w:lang w:val="en-US"/>
        </w:rPr>
        <w:t>death penalty</w:t>
      </w:r>
      <w:r w:rsidR="005143A1" w:rsidRPr="008A1DB4">
        <w:rPr>
          <w:spacing w:val="-2"/>
          <w:lang w:val="en-US"/>
        </w:rPr>
        <w:t xml:space="preserve"> </w:t>
      </w:r>
      <w:r w:rsidR="00DC784C" w:rsidRPr="008A1DB4">
        <w:rPr>
          <w:spacing w:val="-2"/>
          <w:lang w:val="en-US"/>
        </w:rPr>
        <w:t xml:space="preserve">for the offense of </w:t>
      </w:r>
      <w:r w:rsidR="00127339" w:rsidRPr="008A1DB4">
        <w:rPr>
          <w:spacing w:val="-2"/>
          <w:lang w:val="en-US"/>
        </w:rPr>
        <w:t>smuggling ordinary merchandise</w:t>
      </w:r>
      <w:r w:rsidRPr="008A1DB4">
        <w:rPr>
          <w:spacing w:val="-2"/>
          <w:lang w:val="en-US"/>
        </w:rPr>
        <w:t xml:space="preserve"> and </w:t>
      </w:r>
      <w:r w:rsidR="00DC784C" w:rsidRPr="008A1DB4">
        <w:rPr>
          <w:spacing w:val="-2"/>
          <w:lang w:val="en-US"/>
        </w:rPr>
        <w:t xml:space="preserve">it applicability to </w:t>
      </w:r>
      <w:r w:rsidR="00B43F84" w:rsidRPr="008A1DB4">
        <w:rPr>
          <w:spacing w:val="-2"/>
          <w:lang w:val="en-US"/>
        </w:rPr>
        <w:t>Wong</w:t>
      </w:r>
      <w:r w:rsidR="005143A1" w:rsidRPr="008A1DB4">
        <w:rPr>
          <w:spacing w:val="-2"/>
          <w:lang w:val="en-US"/>
        </w:rPr>
        <w:t xml:space="preserve"> Ho Wing</w:t>
      </w:r>
      <w:r w:rsidR="00DC784C" w:rsidRPr="008A1DB4">
        <w:rPr>
          <w:spacing w:val="-2"/>
          <w:lang w:val="en-US"/>
        </w:rPr>
        <w:t xml:space="preserve">’s situation, or </w:t>
      </w:r>
      <w:r w:rsidR="00653211" w:rsidRPr="008A1DB4">
        <w:rPr>
          <w:spacing w:val="-2"/>
          <w:lang w:val="en-US"/>
        </w:rPr>
        <w:t xml:space="preserve">the </w:t>
      </w:r>
      <w:r w:rsidR="00DC784C" w:rsidRPr="008A1DB4">
        <w:rPr>
          <w:spacing w:val="-2"/>
          <w:lang w:val="en-US"/>
        </w:rPr>
        <w:t xml:space="preserve">subsequent </w:t>
      </w:r>
      <w:r w:rsidR="00945E57" w:rsidRPr="008A1DB4">
        <w:rPr>
          <w:spacing w:val="-2"/>
          <w:lang w:val="en-US"/>
        </w:rPr>
        <w:t>diplomatic assurances</w:t>
      </w:r>
      <w:r w:rsidR="00DC784C" w:rsidRPr="008A1DB4">
        <w:rPr>
          <w:spacing w:val="-2"/>
          <w:lang w:val="en-US"/>
        </w:rPr>
        <w:t xml:space="preserve"> provided by </w:t>
      </w:r>
      <w:r w:rsidR="00FE5E87" w:rsidRPr="008A1DB4">
        <w:rPr>
          <w:spacing w:val="-2"/>
          <w:lang w:val="en-US"/>
        </w:rPr>
        <w:t>the People’s Republic of China</w:t>
      </w:r>
      <w:r w:rsidR="001246AD" w:rsidRPr="008A1DB4">
        <w:rPr>
          <w:spacing w:val="-2"/>
          <w:lang w:val="en-US"/>
        </w:rPr>
        <w:t xml:space="preserve">, </w:t>
      </w:r>
      <w:r w:rsidR="00DC784C" w:rsidRPr="008A1DB4">
        <w:rPr>
          <w:spacing w:val="-2"/>
          <w:lang w:val="en-US"/>
        </w:rPr>
        <w:t>which this Court has been able to assess</w:t>
      </w:r>
      <w:r w:rsidR="001246AD" w:rsidRPr="008A1DB4">
        <w:rPr>
          <w:spacing w:val="-2"/>
          <w:lang w:val="en-US"/>
        </w:rPr>
        <w:t xml:space="preserve"> (</w:t>
      </w:r>
      <w:r w:rsidR="001246AD" w:rsidRPr="008A1DB4">
        <w:rPr>
          <w:i/>
          <w:spacing w:val="-2"/>
          <w:lang w:val="en-US"/>
        </w:rPr>
        <w:t>supra</w:t>
      </w:r>
      <w:r w:rsidR="001246AD" w:rsidRPr="008A1DB4">
        <w:rPr>
          <w:spacing w:val="-2"/>
          <w:lang w:val="en-US"/>
        </w:rPr>
        <w:t xml:space="preserve"> </w:t>
      </w:r>
      <w:r w:rsidR="00631F9C" w:rsidRPr="008A1DB4">
        <w:rPr>
          <w:spacing w:val="-2"/>
          <w:lang w:val="en-US"/>
        </w:rPr>
        <w:t>paras.</w:t>
      </w:r>
      <w:r w:rsidR="001246AD"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_Ref419383246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146</w:t>
      </w:r>
      <w:r w:rsidR="00BE2225" w:rsidRPr="008A1DB4">
        <w:rPr>
          <w:spacing w:val="-2"/>
          <w:lang w:val="en-US"/>
        </w:rPr>
        <w:fldChar w:fldCharType="end"/>
      </w:r>
      <w:r w:rsidR="00DC784C" w:rsidRPr="008A1DB4">
        <w:rPr>
          <w:spacing w:val="-2"/>
          <w:lang w:val="en-US"/>
        </w:rPr>
        <w:t xml:space="preserve"> to</w:t>
      </w:r>
      <w:r w:rsidR="001246AD"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_Ref419391696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188</w:t>
      </w:r>
      <w:r w:rsidR="00BE2225" w:rsidRPr="008A1DB4">
        <w:rPr>
          <w:spacing w:val="-2"/>
          <w:lang w:val="en-US"/>
        </w:rPr>
        <w:fldChar w:fldCharType="end"/>
      </w:r>
      <w:r w:rsidR="001246AD" w:rsidRPr="008A1DB4">
        <w:rPr>
          <w:spacing w:val="-2"/>
          <w:lang w:val="en-US"/>
        </w:rPr>
        <w:t xml:space="preserve">). </w:t>
      </w:r>
    </w:p>
    <w:p w14:paraId="5DFD052B" w14:textId="77777777" w:rsidR="009876AD" w:rsidRPr="008A1DB4" w:rsidRDefault="009876AD" w:rsidP="00956E97">
      <w:pPr>
        <w:pStyle w:val="PrrafodeSentencia"/>
        <w:numPr>
          <w:ilvl w:val="0"/>
          <w:numId w:val="0"/>
        </w:numPr>
        <w:rPr>
          <w:spacing w:val="-2"/>
          <w:lang w:val="en-US"/>
        </w:rPr>
      </w:pPr>
    </w:p>
    <w:p w14:paraId="4EBC180A" w14:textId="0B0BCDBC" w:rsidR="000A5AA5" w:rsidRPr="008A1DB4" w:rsidRDefault="00F36400" w:rsidP="00956E97">
      <w:pPr>
        <w:pStyle w:val="PrrafodeSentencia"/>
        <w:rPr>
          <w:i/>
          <w:spacing w:val="-2"/>
          <w:lang w:val="en-US"/>
        </w:rPr>
      </w:pPr>
      <w:r w:rsidRPr="008A1DB4">
        <w:rPr>
          <w:spacing w:val="-2"/>
          <w:lang w:val="en-US"/>
        </w:rPr>
        <w:t>The Court</w:t>
      </w:r>
      <w:r w:rsidR="00087F4D" w:rsidRPr="008A1DB4">
        <w:rPr>
          <w:spacing w:val="-2"/>
          <w:lang w:val="en-US"/>
        </w:rPr>
        <w:t xml:space="preserve"> </w:t>
      </w:r>
      <w:r w:rsidR="00A33F97" w:rsidRPr="008A1DB4">
        <w:rPr>
          <w:spacing w:val="-2"/>
          <w:lang w:val="en-US"/>
        </w:rPr>
        <w:t>notes that, following the decisio</w:t>
      </w:r>
      <w:r w:rsidR="00087F4D" w:rsidRPr="008A1DB4">
        <w:rPr>
          <w:spacing w:val="-2"/>
          <w:lang w:val="en-US"/>
        </w:rPr>
        <w:t>n</w:t>
      </w:r>
      <w:r w:rsidR="00C45946" w:rsidRPr="008A1DB4">
        <w:rPr>
          <w:spacing w:val="-2"/>
          <w:lang w:val="en-US"/>
        </w:rPr>
        <w:t xml:space="preserve"> of the </w:t>
      </w:r>
      <w:r w:rsidR="00B43F84" w:rsidRPr="008A1DB4">
        <w:rPr>
          <w:spacing w:val="-2"/>
          <w:lang w:val="en-US"/>
        </w:rPr>
        <w:t>Constitutional Court</w:t>
      </w:r>
      <w:r w:rsidR="00087F4D" w:rsidRPr="008A1DB4">
        <w:rPr>
          <w:spacing w:val="-2"/>
          <w:lang w:val="en-US"/>
        </w:rPr>
        <w:t>,</w:t>
      </w:r>
      <w:r w:rsidR="00A33F97" w:rsidRPr="008A1DB4">
        <w:rPr>
          <w:spacing w:val="-2"/>
          <w:lang w:val="en-US"/>
        </w:rPr>
        <w:t xml:space="preserve"> the domestic judicial authorities have issued rulings indicating that it is not possible to review or amend </w:t>
      </w:r>
      <w:r w:rsidR="00C45946" w:rsidRPr="008A1DB4">
        <w:rPr>
          <w:spacing w:val="-2"/>
          <w:lang w:val="en-US"/>
        </w:rPr>
        <w:t xml:space="preserve">the </w:t>
      </w:r>
      <w:r w:rsidR="00B43F84" w:rsidRPr="008A1DB4">
        <w:rPr>
          <w:spacing w:val="-2"/>
          <w:lang w:val="en-US"/>
        </w:rPr>
        <w:t>Constitutional Court</w:t>
      </w:r>
      <w:r w:rsidR="00A33F97" w:rsidRPr="008A1DB4">
        <w:rPr>
          <w:spacing w:val="-2"/>
          <w:lang w:val="en-US"/>
        </w:rPr>
        <w:t>’s decision</w:t>
      </w:r>
      <w:r w:rsidR="00087F4D" w:rsidRPr="008A1DB4">
        <w:rPr>
          <w:spacing w:val="-2"/>
          <w:lang w:val="en-US"/>
        </w:rPr>
        <w:t xml:space="preserve">. </w:t>
      </w:r>
      <w:r w:rsidR="00A33F97" w:rsidRPr="008A1DB4">
        <w:rPr>
          <w:spacing w:val="-2"/>
          <w:lang w:val="en-US"/>
        </w:rPr>
        <w:t>However, it considers that the State must decide, pursuant to its domestic law, how to proceed with</w:t>
      </w:r>
      <w:r w:rsidR="009876AD" w:rsidRPr="008A1DB4">
        <w:rPr>
          <w:spacing w:val="-2"/>
          <w:lang w:val="en-US"/>
        </w:rPr>
        <w:t xml:space="preserve"> </w:t>
      </w:r>
      <w:r w:rsidR="00087CF8" w:rsidRPr="008A1DB4">
        <w:rPr>
          <w:spacing w:val="-2"/>
          <w:lang w:val="en-US"/>
        </w:rPr>
        <w:t xml:space="preserve">the </w:t>
      </w:r>
      <w:r w:rsidR="00A33F97" w:rsidRPr="008A1DB4">
        <w:rPr>
          <w:spacing w:val="-2"/>
          <w:lang w:val="en-US"/>
        </w:rPr>
        <w:t>request to extradite</w:t>
      </w:r>
      <w:r w:rsidR="00B43F84" w:rsidRPr="008A1DB4">
        <w:rPr>
          <w:spacing w:val="-2"/>
          <w:lang w:val="en-US"/>
        </w:rPr>
        <w:t xml:space="preserve"> Wong</w:t>
      </w:r>
      <w:r w:rsidR="009876AD" w:rsidRPr="008A1DB4">
        <w:rPr>
          <w:spacing w:val="-2"/>
          <w:lang w:val="en-US"/>
        </w:rPr>
        <w:t xml:space="preserve"> Ho Wing, </w:t>
      </w:r>
      <w:r w:rsidR="00A33F97" w:rsidRPr="008A1DB4">
        <w:rPr>
          <w:spacing w:val="-2"/>
          <w:lang w:val="en-US"/>
        </w:rPr>
        <w:t xml:space="preserve">bearing in mind that, at this time, </w:t>
      </w:r>
      <w:r w:rsidR="0079515C" w:rsidRPr="008A1DB4">
        <w:rPr>
          <w:spacing w:val="-2"/>
          <w:lang w:val="en-US"/>
        </w:rPr>
        <w:t>there</w:t>
      </w:r>
      <w:r w:rsidR="00A33F97" w:rsidRPr="008A1DB4">
        <w:rPr>
          <w:spacing w:val="-2"/>
          <w:lang w:val="en-US"/>
        </w:rPr>
        <w:t xml:space="preserve"> would be no risk to his rights to life and </w:t>
      </w:r>
      <w:r w:rsidR="00776D24" w:rsidRPr="008A1DB4">
        <w:rPr>
          <w:spacing w:val="-2"/>
          <w:lang w:val="en-US"/>
        </w:rPr>
        <w:t>personal integrity</w:t>
      </w:r>
      <w:r w:rsidR="009876AD" w:rsidRPr="008A1DB4">
        <w:rPr>
          <w:spacing w:val="-2"/>
          <w:lang w:val="en-US"/>
        </w:rPr>
        <w:t xml:space="preserve"> </w:t>
      </w:r>
      <w:r w:rsidR="00893DA0" w:rsidRPr="008A1DB4">
        <w:rPr>
          <w:spacing w:val="-2"/>
          <w:lang w:val="en-US"/>
        </w:rPr>
        <w:t>if he is extradited</w:t>
      </w:r>
      <w:r w:rsidR="00A33F97" w:rsidRPr="008A1DB4">
        <w:rPr>
          <w:spacing w:val="-2"/>
          <w:lang w:val="en-US"/>
        </w:rPr>
        <w:t xml:space="preserve">, but, at the same, that there is a </w:t>
      </w:r>
      <w:r w:rsidR="00B43F84" w:rsidRPr="008A1DB4">
        <w:rPr>
          <w:spacing w:val="-2"/>
          <w:lang w:val="en-US"/>
        </w:rPr>
        <w:t>Constitutional Court</w:t>
      </w:r>
      <w:r w:rsidR="00A33F97" w:rsidRPr="008A1DB4">
        <w:rPr>
          <w:spacing w:val="-2"/>
          <w:lang w:val="en-US"/>
        </w:rPr>
        <w:t xml:space="preserve"> decision that,</w:t>
      </w:r>
      <w:r w:rsidR="009876AD" w:rsidRPr="008A1DB4">
        <w:rPr>
          <w:spacing w:val="-2"/>
          <w:lang w:val="en-US"/>
        </w:rPr>
        <w:t xml:space="preserve"> </w:t>
      </w:r>
      <w:r w:rsidR="009876AD" w:rsidRPr="008A1DB4">
        <w:rPr>
          <w:i/>
          <w:spacing w:val="-2"/>
          <w:lang w:val="en-US"/>
        </w:rPr>
        <w:t>prima facie</w:t>
      </w:r>
      <w:r w:rsidR="00A33F97" w:rsidRPr="008A1DB4">
        <w:rPr>
          <w:i/>
          <w:spacing w:val="-2"/>
          <w:lang w:val="en-US"/>
        </w:rPr>
        <w:t>,</w:t>
      </w:r>
      <w:r w:rsidR="00A33F97" w:rsidRPr="008A1DB4">
        <w:rPr>
          <w:spacing w:val="-2"/>
          <w:lang w:val="en-US"/>
        </w:rPr>
        <w:t xml:space="preserve"> cannot be amended and that, in principle, is binding for the</w:t>
      </w:r>
      <w:r w:rsidR="00B43F84" w:rsidRPr="008A1DB4">
        <w:rPr>
          <w:spacing w:val="-2"/>
          <w:lang w:val="en-US"/>
        </w:rPr>
        <w:t xml:space="preserve"> Executive Branch</w:t>
      </w:r>
      <w:r w:rsidR="009876AD" w:rsidRPr="008A1DB4">
        <w:rPr>
          <w:spacing w:val="-2"/>
          <w:lang w:val="en-US"/>
        </w:rPr>
        <w:t xml:space="preserve">. </w:t>
      </w:r>
    </w:p>
    <w:p w14:paraId="20F3142C" w14:textId="77777777" w:rsidR="002F0E5D" w:rsidRPr="008A1DB4" w:rsidRDefault="002F0E5D" w:rsidP="00956E97">
      <w:pPr>
        <w:pStyle w:val="PrrafodeSentencia"/>
        <w:numPr>
          <w:ilvl w:val="0"/>
          <w:numId w:val="0"/>
        </w:numPr>
        <w:rPr>
          <w:spacing w:val="-2"/>
          <w:lang w:val="en-US"/>
        </w:rPr>
      </w:pPr>
    </w:p>
    <w:p w14:paraId="28599BFA" w14:textId="058C2916" w:rsidR="002F0E5D" w:rsidRPr="008A1DB4" w:rsidRDefault="00A33F97" w:rsidP="00956E97">
      <w:pPr>
        <w:pStyle w:val="PrrafodeSentencia"/>
        <w:rPr>
          <w:spacing w:val="-2"/>
          <w:lang w:val="en-US"/>
        </w:rPr>
      </w:pPr>
      <w:bookmarkStart w:id="838" w:name="_Ref429411623"/>
      <w:r w:rsidRPr="008A1DB4">
        <w:rPr>
          <w:spacing w:val="-2"/>
          <w:lang w:val="en-US"/>
        </w:rPr>
        <w:t xml:space="preserve">In addition, the Court takes into account that, as indicated by the State and uncontested by </w:t>
      </w:r>
      <w:r w:rsidR="00C45946" w:rsidRPr="008A1DB4">
        <w:rPr>
          <w:spacing w:val="-2"/>
          <w:lang w:val="en-US"/>
        </w:rPr>
        <w:t>the representative</w:t>
      </w:r>
      <w:r w:rsidRPr="008A1DB4">
        <w:rPr>
          <w:spacing w:val="-2"/>
          <w:lang w:val="en-US"/>
        </w:rPr>
        <w:t xml:space="preserve"> or </w:t>
      </w:r>
      <w:r w:rsidR="00F36400" w:rsidRPr="008A1DB4">
        <w:rPr>
          <w:spacing w:val="-2"/>
          <w:lang w:val="en-US"/>
        </w:rPr>
        <w:t>the Commission</w:t>
      </w:r>
      <w:r w:rsidR="002F0E5D" w:rsidRPr="008A1DB4">
        <w:rPr>
          <w:spacing w:val="-2"/>
          <w:lang w:val="en-US"/>
        </w:rPr>
        <w:t xml:space="preserve">, </w:t>
      </w:r>
      <w:r w:rsidRPr="008A1DB4">
        <w:rPr>
          <w:spacing w:val="-2"/>
          <w:lang w:val="en-US"/>
        </w:rPr>
        <w:t xml:space="preserve">under the laws of Peru, </w:t>
      </w:r>
      <w:r w:rsidR="00776D24" w:rsidRPr="008A1DB4">
        <w:rPr>
          <w:bCs/>
          <w:spacing w:val="-2"/>
          <w:lang w:val="en-US"/>
        </w:rPr>
        <w:t xml:space="preserve">the </w:t>
      </w:r>
      <w:r w:rsidR="00B43F84" w:rsidRPr="008A1DB4">
        <w:rPr>
          <w:bCs/>
          <w:spacing w:val="-2"/>
          <w:lang w:val="en-US"/>
        </w:rPr>
        <w:t>Executive Branch</w:t>
      </w:r>
      <w:r w:rsidR="00420B6F">
        <w:rPr>
          <w:bCs/>
          <w:spacing w:val="-2"/>
          <w:lang w:val="en-US"/>
        </w:rPr>
        <w:t xml:space="preserve">’s </w:t>
      </w:r>
      <w:r w:rsidR="00420B6F">
        <w:rPr>
          <w:spacing w:val="-2"/>
          <w:lang w:val="en-US"/>
        </w:rPr>
        <w:t>discretionary acts</w:t>
      </w:r>
      <w:r w:rsidR="002F0E5D" w:rsidRPr="008A1DB4">
        <w:rPr>
          <w:bCs/>
          <w:spacing w:val="-2"/>
          <w:lang w:val="en-US"/>
        </w:rPr>
        <w:t xml:space="preserve"> </w:t>
      </w:r>
      <w:r w:rsidR="00420B6F">
        <w:rPr>
          <w:bCs/>
          <w:spacing w:val="-2"/>
          <w:lang w:val="en-US"/>
        </w:rPr>
        <w:t>may be subject</w:t>
      </w:r>
      <w:r w:rsidRPr="008A1DB4">
        <w:rPr>
          <w:bCs/>
          <w:spacing w:val="-2"/>
          <w:lang w:val="en-US"/>
        </w:rPr>
        <w:t xml:space="preserve"> to subsequent constitutional control. E</w:t>
      </w:r>
      <w:r w:rsidR="00127339" w:rsidRPr="008A1DB4">
        <w:rPr>
          <w:bCs/>
          <w:spacing w:val="-2"/>
          <w:lang w:val="en-US"/>
        </w:rPr>
        <w:t>xpert witness</w:t>
      </w:r>
      <w:r w:rsidR="002F0E5D" w:rsidRPr="008A1DB4">
        <w:rPr>
          <w:bCs/>
          <w:spacing w:val="-2"/>
          <w:lang w:val="en-US"/>
        </w:rPr>
        <w:t xml:space="preserve"> </w:t>
      </w:r>
      <w:proofErr w:type="spellStart"/>
      <w:r w:rsidR="002F0E5D" w:rsidRPr="008A1DB4">
        <w:rPr>
          <w:bCs/>
          <w:spacing w:val="-2"/>
          <w:lang w:val="en-US"/>
        </w:rPr>
        <w:t>García</w:t>
      </w:r>
      <w:proofErr w:type="spellEnd"/>
      <w:r w:rsidR="002F0E5D" w:rsidRPr="008A1DB4">
        <w:rPr>
          <w:bCs/>
          <w:spacing w:val="-2"/>
          <w:lang w:val="en-US"/>
        </w:rPr>
        <w:t xml:space="preserve"> </w:t>
      </w:r>
      <w:proofErr w:type="spellStart"/>
      <w:r w:rsidR="002F0E5D" w:rsidRPr="008A1DB4">
        <w:rPr>
          <w:bCs/>
          <w:spacing w:val="-2"/>
          <w:lang w:val="en-US"/>
        </w:rPr>
        <w:t>Toma</w:t>
      </w:r>
      <w:proofErr w:type="spellEnd"/>
      <w:r w:rsidRPr="008A1DB4">
        <w:rPr>
          <w:bCs/>
          <w:spacing w:val="-2"/>
          <w:lang w:val="en-US"/>
        </w:rPr>
        <w:t xml:space="preserve"> </w:t>
      </w:r>
      <w:r w:rsidR="00420B6F">
        <w:rPr>
          <w:bCs/>
          <w:spacing w:val="-2"/>
          <w:lang w:val="en-US"/>
        </w:rPr>
        <w:t>expressed</w:t>
      </w:r>
      <w:r w:rsidRPr="008A1DB4">
        <w:rPr>
          <w:bCs/>
          <w:spacing w:val="-2"/>
          <w:lang w:val="en-US"/>
        </w:rPr>
        <w:t xml:space="preserve"> the same opinion, and explained that the decision</w:t>
      </w:r>
      <w:r w:rsidR="00776D24" w:rsidRPr="008A1DB4">
        <w:rPr>
          <w:bCs/>
          <w:spacing w:val="-2"/>
          <w:lang w:val="en-US"/>
        </w:rPr>
        <w:t xml:space="preserve"> of the </w:t>
      </w:r>
      <w:r w:rsidR="00B43F84" w:rsidRPr="008A1DB4">
        <w:rPr>
          <w:bCs/>
          <w:spacing w:val="-2"/>
          <w:lang w:val="en-US"/>
        </w:rPr>
        <w:t>Executive Branch</w:t>
      </w:r>
      <w:r w:rsidR="00420B6F">
        <w:rPr>
          <w:bCs/>
          <w:spacing w:val="-2"/>
          <w:lang w:val="en-US"/>
        </w:rPr>
        <w:t>,</w:t>
      </w:r>
      <w:r w:rsidR="002F0E5D" w:rsidRPr="008A1DB4">
        <w:rPr>
          <w:bCs/>
          <w:spacing w:val="-2"/>
          <w:lang w:val="en-US"/>
        </w:rPr>
        <w:t xml:space="preserve"> </w:t>
      </w:r>
      <w:r w:rsidR="002F0E5D" w:rsidRPr="008A1DB4">
        <w:rPr>
          <w:spacing w:val="-2"/>
          <w:lang w:val="en-US"/>
        </w:rPr>
        <w:t>“</w:t>
      </w:r>
      <w:r w:rsidRPr="008A1DB4">
        <w:rPr>
          <w:spacing w:val="-2"/>
          <w:lang w:val="en-US"/>
        </w:rPr>
        <w:t xml:space="preserve">although it is political, </w:t>
      </w:r>
      <w:r w:rsidR="002F0E5D" w:rsidRPr="008A1DB4">
        <w:rPr>
          <w:spacing w:val="-2"/>
          <w:lang w:val="en-US"/>
        </w:rPr>
        <w:t xml:space="preserve">[…] </w:t>
      </w:r>
      <w:r w:rsidRPr="008A1DB4">
        <w:rPr>
          <w:spacing w:val="-2"/>
          <w:lang w:val="en-US"/>
        </w:rPr>
        <w:t>is not exempt from control, and this is because, following this decision, any</w:t>
      </w:r>
      <w:r w:rsidR="00115662">
        <w:rPr>
          <w:spacing w:val="-2"/>
          <w:lang w:val="en-US"/>
        </w:rPr>
        <w:t xml:space="preserve"> person subject to extradition</w:t>
      </w:r>
      <w:r w:rsidR="00115662" w:rsidRPr="00115662">
        <w:rPr>
          <w:spacing w:val="-2"/>
          <w:lang w:val="en-US"/>
        </w:rPr>
        <w:t xml:space="preserve"> </w:t>
      </w:r>
      <w:r w:rsidR="00115662" w:rsidRPr="008A1DB4">
        <w:rPr>
          <w:spacing w:val="-2"/>
          <w:lang w:val="en-US"/>
        </w:rPr>
        <w:t>may appeal that decision before the corresponding judge</w:t>
      </w:r>
      <w:r w:rsidR="00115662">
        <w:rPr>
          <w:spacing w:val="-2"/>
          <w:lang w:val="en-US"/>
        </w:rPr>
        <w:t>,</w:t>
      </w:r>
      <w:r w:rsidRPr="008A1DB4">
        <w:rPr>
          <w:spacing w:val="-2"/>
          <w:lang w:val="en-US"/>
        </w:rPr>
        <w:t xml:space="preserve"> using the constitutional procedures indicated in the Code of Constitutional Procedure.</w:t>
      </w:r>
      <w:r w:rsidR="002F0E5D" w:rsidRPr="008A1DB4">
        <w:rPr>
          <w:spacing w:val="-2"/>
          <w:lang w:val="en-US"/>
        </w:rPr>
        <w:t>”</w:t>
      </w:r>
      <w:r w:rsidR="002F0E5D" w:rsidRPr="008A1DB4">
        <w:rPr>
          <w:rStyle w:val="FootnoteReference"/>
          <w:rFonts w:cs="Callibri"/>
          <w:spacing w:val="-2"/>
          <w:lang w:val="en-US"/>
        </w:rPr>
        <w:footnoteReference w:id="279"/>
      </w:r>
      <w:r w:rsidRPr="008A1DB4">
        <w:rPr>
          <w:spacing w:val="-2"/>
          <w:lang w:val="en-US"/>
        </w:rPr>
        <w:t xml:space="preserve"> Thus, </w:t>
      </w:r>
      <w:r w:rsidR="001E7113" w:rsidRPr="008A1DB4">
        <w:rPr>
          <w:spacing w:val="-2"/>
          <w:lang w:val="en-US"/>
        </w:rPr>
        <w:t>Wong</w:t>
      </w:r>
      <w:r w:rsidR="001A08D6" w:rsidRPr="008A1DB4">
        <w:rPr>
          <w:spacing w:val="-2"/>
          <w:lang w:val="en-US"/>
        </w:rPr>
        <w:t xml:space="preserve"> Ho Wing </w:t>
      </w:r>
      <w:r w:rsidRPr="008A1DB4">
        <w:rPr>
          <w:spacing w:val="-2"/>
          <w:lang w:val="en-US"/>
        </w:rPr>
        <w:t xml:space="preserve">is still able to obtain a judicial review of the said decision if he does not agree with it. </w:t>
      </w:r>
      <w:r w:rsidR="00F36400" w:rsidRPr="008A1DB4">
        <w:rPr>
          <w:spacing w:val="-2"/>
          <w:lang w:val="en-US"/>
        </w:rPr>
        <w:t>The Court</w:t>
      </w:r>
      <w:r w:rsidR="005D6949" w:rsidRPr="008A1DB4">
        <w:rPr>
          <w:spacing w:val="-2"/>
          <w:lang w:val="en-US"/>
        </w:rPr>
        <w:t xml:space="preserve"> </w:t>
      </w:r>
      <w:r w:rsidRPr="008A1DB4">
        <w:rPr>
          <w:spacing w:val="-2"/>
          <w:lang w:val="en-US"/>
        </w:rPr>
        <w:t>notes that the review by a judge or court is a basic requirement to ensure an adeq</w:t>
      </w:r>
      <w:r w:rsidR="00901330">
        <w:rPr>
          <w:spacing w:val="-2"/>
          <w:lang w:val="en-US"/>
        </w:rPr>
        <w:t>uate control and scrutiny of</w:t>
      </w:r>
      <w:r w:rsidRPr="008A1DB4">
        <w:rPr>
          <w:spacing w:val="-2"/>
          <w:lang w:val="en-US"/>
        </w:rPr>
        <w:t xml:space="preserve"> administrative acts that affect fundamental rights.</w:t>
      </w:r>
      <w:r w:rsidR="005D6949" w:rsidRPr="008A1DB4">
        <w:rPr>
          <w:spacing w:val="-2"/>
          <w:vertAlign w:val="superscript"/>
          <w:lang w:val="en-US"/>
        </w:rPr>
        <w:footnoteReference w:id="280"/>
      </w:r>
      <w:r w:rsidRPr="008A1DB4">
        <w:rPr>
          <w:spacing w:val="-2"/>
          <w:lang w:val="en-US"/>
        </w:rPr>
        <w:t xml:space="preserve"> In addition, it considers that the remedy used to contest th</w:t>
      </w:r>
      <w:r w:rsidR="00901330">
        <w:rPr>
          <w:spacing w:val="-2"/>
          <w:lang w:val="en-US"/>
        </w:rPr>
        <w:t>e final decision in this matter</w:t>
      </w:r>
      <w:r w:rsidRPr="008A1DB4">
        <w:rPr>
          <w:spacing w:val="-2"/>
          <w:lang w:val="en-US"/>
        </w:rPr>
        <w:t xml:space="preserve"> must have </w:t>
      </w:r>
      <w:proofErr w:type="spellStart"/>
      <w:r w:rsidRPr="008A1DB4">
        <w:rPr>
          <w:spacing w:val="-2"/>
          <w:lang w:val="en-US"/>
        </w:rPr>
        <w:t>suspensive</w:t>
      </w:r>
      <w:proofErr w:type="spellEnd"/>
      <w:r w:rsidRPr="008A1DB4">
        <w:rPr>
          <w:spacing w:val="-2"/>
          <w:lang w:val="en-US"/>
        </w:rPr>
        <w:t xml:space="preserve"> </w:t>
      </w:r>
      <w:r w:rsidR="0079515C" w:rsidRPr="008A1DB4">
        <w:rPr>
          <w:spacing w:val="-2"/>
          <w:lang w:val="en-US"/>
        </w:rPr>
        <w:t>effects</w:t>
      </w:r>
      <w:r w:rsidRPr="008A1DB4">
        <w:rPr>
          <w:spacing w:val="-2"/>
          <w:lang w:val="en-US"/>
        </w:rPr>
        <w:t>, so that the measure is not implemented until the court hearing the appeal has issued a decision.</w:t>
      </w:r>
      <w:r w:rsidR="005D6949" w:rsidRPr="008A1DB4">
        <w:rPr>
          <w:spacing w:val="-2"/>
          <w:vertAlign w:val="superscript"/>
          <w:lang w:val="en-US"/>
        </w:rPr>
        <w:footnoteReference w:id="281"/>
      </w:r>
      <w:bookmarkEnd w:id="838"/>
      <w:r w:rsidR="001A08D6" w:rsidRPr="008A1DB4">
        <w:rPr>
          <w:spacing w:val="-2"/>
          <w:lang w:val="en-US"/>
        </w:rPr>
        <w:t xml:space="preserve"> </w:t>
      </w:r>
    </w:p>
    <w:p w14:paraId="10C17DF2" w14:textId="77777777" w:rsidR="000A5AA5" w:rsidRPr="008A1DB4" w:rsidRDefault="000A5AA5" w:rsidP="00956E97">
      <w:pPr>
        <w:pStyle w:val="PrrafodeSentencia"/>
        <w:numPr>
          <w:ilvl w:val="0"/>
          <w:numId w:val="0"/>
        </w:numPr>
        <w:rPr>
          <w:spacing w:val="-2"/>
          <w:lang w:val="en-US"/>
        </w:rPr>
      </w:pPr>
    </w:p>
    <w:p w14:paraId="6A096243" w14:textId="18A4DEC7" w:rsidR="00413EB0" w:rsidRPr="008A1DB4" w:rsidRDefault="00A33F97" w:rsidP="00956E97">
      <w:pPr>
        <w:pStyle w:val="PrrafodeSentencia"/>
        <w:rPr>
          <w:spacing w:val="-2"/>
          <w:lang w:val="en-US"/>
        </w:rPr>
      </w:pPr>
      <w:bookmarkStart w:id="839" w:name="_Ref423358951"/>
      <w:r w:rsidRPr="008A1DB4">
        <w:rPr>
          <w:spacing w:val="-2"/>
          <w:lang w:val="en-US"/>
        </w:rPr>
        <w:t>Based on the preceding conclusions, the Court finds that, in the actual circumstances of this case, it is not in order to issue a ruling on the alleged failure to comply with the decision</w:t>
      </w:r>
      <w:r w:rsidR="00C45946" w:rsidRPr="008A1DB4">
        <w:rPr>
          <w:spacing w:val="-2"/>
          <w:lang w:val="en-US"/>
        </w:rPr>
        <w:t xml:space="preserve"> of the </w:t>
      </w:r>
      <w:r w:rsidR="00B43F84" w:rsidRPr="008A1DB4">
        <w:rPr>
          <w:spacing w:val="-2"/>
          <w:lang w:val="en-US"/>
        </w:rPr>
        <w:t>Constitutional Court</w:t>
      </w:r>
      <w:r w:rsidR="00481C8D" w:rsidRPr="008A1DB4">
        <w:rPr>
          <w:spacing w:val="-2"/>
          <w:lang w:val="en-US"/>
        </w:rPr>
        <w:t>.</w:t>
      </w:r>
      <w:bookmarkEnd w:id="839"/>
      <w:r w:rsidR="009876AD" w:rsidRPr="008A1DB4">
        <w:rPr>
          <w:spacing w:val="-2"/>
          <w:lang w:val="en-US"/>
        </w:rPr>
        <w:t xml:space="preserve"> </w:t>
      </w:r>
    </w:p>
    <w:p w14:paraId="050B8AC5" w14:textId="77777777" w:rsidR="0021527A" w:rsidRPr="008A1DB4" w:rsidRDefault="0021527A" w:rsidP="00956E97">
      <w:pPr>
        <w:pStyle w:val="PrrafodeSentencia"/>
        <w:numPr>
          <w:ilvl w:val="0"/>
          <w:numId w:val="0"/>
        </w:numPr>
        <w:rPr>
          <w:spacing w:val="-2"/>
          <w:lang w:val="en-US"/>
        </w:rPr>
      </w:pPr>
    </w:p>
    <w:p w14:paraId="26D766A8" w14:textId="4CEA3D5B" w:rsidR="00470B06" w:rsidRPr="008A1DB4" w:rsidRDefault="00470B06" w:rsidP="00956E97">
      <w:pPr>
        <w:pStyle w:val="Heading2"/>
        <w:ind w:left="1440" w:firstLine="0"/>
        <w:rPr>
          <w:spacing w:val="-2"/>
          <w:lang w:val="en-US"/>
        </w:rPr>
      </w:pPr>
      <w:bookmarkStart w:id="840" w:name="_Toc418912627"/>
      <w:bookmarkStart w:id="841" w:name="_Toc419394419"/>
      <w:bookmarkStart w:id="842" w:name="_Toc429490279"/>
      <w:bookmarkStart w:id="843" w:name="_Toc429503793"/>
      <w:bookmarkStart w:id="844" w:name="_Toc429504299"/>
      <w:bookmarkStart w:id="845" w:name="_Toc429678012"/>
      <w:bookmarkStart w:id="846" w:name="_Toc430017175"/>
      <w:bookmarkStart w:id="847" w:name="_Toc430017404"/>
      <w:bookmarkStart w:id="848" w:name="_Toc430018686"/>
      <w:bookmarkStart w:id="849" w:name="_Toc430125284"/>
      <w:bookmarkStart w:id="850" w:name="_Toc430125392"/>
      <w:r w:rsidRPr="008A1DB4">
        <w:rPr>
          <w:spacing w:val="-2"/>
          <w:lang w:val="en-US"/>
        </w:rPr>
        <w:t>B.</w:t>
      </w:r>
      <w:r w:rsidR="009C446C" w:rsidRPr="008A1DB4">
        <w:rPr>
          <w:spacing w:val="-2"/>
          <w:lang w:val="en-US"/>
        </w:rPr>
        <w:t>2</w:t>
      </w:r>
      <w:r w:rsidRPr="008A1DB4">
        <w:rPr>
          <w:spacing w:val="-2"/>
          <w:lang w:val="en-US"/>
        </w:rPr>
        <w:t xml:space="preserve">) </w:t>
      </w:r>
      <w:r w:rsidR="00A33F97" w:rsidRPr="008A1DB4">
        <w:rPr>
          <w:spacing w:val="-2"/>
          <w:lang w:val="en-US"/>
        </w:rPr>
        <w:t>Reasonable time of the</w:t>
      </w:r>
      <w:r w:rsidR="00671326" w:rsidRPr="008A1DB4">
        <w:rPr>
          <w:spacing w:val="-2"/>
          <w:lang w:val="en-US"/>
        </w:rPr>
        <w:t xml:space="preserve"> </w:t>
      </w:r>
      <w:r w:rsidR="00FC5891" w:rsidRPr="008A1DB4">
        <w:rPr>
          <w:spacing w:val="-2"/>
          <w:lang w:val="en-US"/>
        </w:rPr>
        <w:t>extradition process</w:t>
      </w:r>
      <w:bookmarkEnd w:id="840"/>
      <w:bookmarkEnd w:id="841"/>
      <w:bookmarkEnd w:id="842"/>
      <w:bookmarkEnd w:id="843"/>
      <w:bookmarkEnd w:id="844"/>
      <w:bookmarkEnd w:id="845"/>
      <w:bookmarkEnd w:id="846"/>
      <w:bookmarkEnd w:id="847"/>
      <w:bookmarkEnd w:id="848"/>
      <w:bookmarkEnd w:id="849"/>
      <w:bookmarkEnd w:id="850"/>
      <w:r w:rsidRPr="008A1DB4">
        <w:rPr>
          <w:spacing w:val="-2"/>
          <w:lang w:val="en-US"/>
        </w:rPr>
        <w:t xml:space="preserve"> </w:t>
      </w:r>
    </w:p>
    <w:p w14:paraId="308A12A0" w14:textId="77777777" w:rsidR="00470B06" w:rsidRPr="008A1DB4" w:rsidRDefault="00470B06" w:rsidP="00956E97">
      <w:pPr>
        <w:rPr>
          <w:spacing w:val="-2"/>
          <w:lang w:val="en-US"/>
        </w:rPr>
      </w:pPr>
    </w:p>
    <w:p w14:paraId="3BF94490" w14:textId="0FEB4BDD" w:rsidR="00B92C3E" w:rsidRPr="008A1DB4" w:rsidRDefault="00B92C3E" w:rsidP="00956E97">
      <w:pPr>
        <w:pStyle w:val="PrrafodeSentencia"/>
        <w:rPr>
          <w:spacing w:val="-2"/>
          <w:lang w:val="en-US"/>
        </w:rPr>
      </w:pPr>
      <w:bookmarkStart w:id="851" w:name="_Ref423345456"/>
      <w:bookmarkStart w:id="852" w:name="_Ref418880954"/>
      <w:r w:rsidRPr="008A1DB4">
        <w:rPr>
          <w:spacing w:val="-2"/>
          <w:lang w:val="en-US"/>
        </w:rPr>
        <w:t>Re</w:t>
      </w:r>
      <w:r w:rsidR="00A33F97" w:rsidRPr="008A1DB4">
        <w:rPr>
          <w:spacing w:val="-2"/>
          <w:lang w:val="en-US"/>
        </w:rPr>
        <w:t xml:space="preserve">garding the guarantee of a </w:t>
      </w:r>
      <w:r w:rsidR="00A33F97" w:rsidRPr="00901330">
        <w:rPr>
          <w:spacing w:val="-2"/>
          <w:lang w:val="en-US"/>
        </w:rPr>
        <w:t>reasonable time</w:t>
      </w:r>
      <w:r w:rsidRPr="00901330">
        <w:rPr>
          <w:spacing w:val="-2"/>
          <w:lang w:val="en-US"/>
        </w:rPr>
        <w:t xml:space="preserve">, </w:t>
      </w:r>
      <w:r w:rsidR="00F36400" w:rsidRPr="00901330">
        <w:rPr>
          <w:spacing w:val="-2"/>
          <w:lang w:val="en-US"/>
        </w:rPr>
        <w:t>Article</w:t>
      </w:r>
      <w:r w:rsidR="00A33F97" w:rsidRPr="00901330">
        <w:rPr>
          <w:spacing w:val="-2"/>
          <w:lang w:val="en-US"/>
        </w:rPr>
        <w:t xml:space="preserve"> 8(1)</w:t>
      </w:r>
      <w:r w:rsidR="00F36400" w:rsidRPr="00901330">
        <w:rPr>
          <w:spacing w:val="-2"/>
          <w:lang w:val="en-US"/>
        </w:rPr>
        <w:t xml:space="preserve"> of the American Convention</w:t>
      </w:r>
      <w:r w:rsidRPr="00901330">
        <w:rPr>
          <w:spacing w:val="-2"/>
          <w:lang w:val="en-US"/>
        </w:rPr>
        <w:t xml:space="preserve"> establ</w:t>
      </w:r>
      <w:r w:rsidR="0079515C" w:rsidRPr="00901330">
        <w:rPr>
          <w:spacing w:val="-2"/>
          <w:lang w:val="en-US"/>
        </w:rPr>
        <w:t>ishes that</w:t>
      </w:r>
      <w:r w:rsidR="00A33F97" w:rsidRPr="00901330">
        <w:rPr>
          <w:spacing w:val="-2"/>
          <w:lang w:val="en-US"/>
        </w:rPr>
        <w:t xml:space="preserve"> “[e</w:t>
      </w:r>
      <w:r w:rsidRPr="00901330">
        <w:rPr>
          <w:spacing w:val="-2"/>
          <w:lang w:val="en-US"/>
        </w:rPr>
        <w:t>]</w:t>
      </w:r>
      <w:r w:rsidR="00A33F97" w:rsidRPr="00901330">
        <w:rPr>
          <w:spacing w:val="-3"/>
          <w:lang w:val="en-US"/>
        </w:rPr>
        <w:t>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901330">
        <w:rPr>
          <w:spacing w:val="-2"/>
          <w:lang w:val="en-US"/>
        </w:rPr>
        <w:t>”</w:t>
      </w:r>
      <w:bookmarkEnd w:id="851"/>
    </w:p>
    <w:p w14:paraId="64C82A3E" w14:textId="77777777" w:rsidR="00B92C3E" w:rsidRPr="008A1DB4" w:rsidRDefault="00B92C3E" w:rsidP="00956E97">
      <w:pPr>
        <w:tabs>
          <w:tab w:val="left" w:pos="567"/>
        </w:tabs>
        <w:rPr>
          <w:spacing w:val="-2"/>
          <w:lang w:val="en-US"/>
        </w:rPr>
      </w:pPr>
    </w:p>
    <w:p w14:paraId="6E0975DF" w14:textId="516D8929" w:rsidR="00B00581" w:rsidRPr="008A1DB4" w:rsidRDefault="00A33F97" w:rsidP="00956E97">
      <w:pPr>
        <w:pStyle w:val="PrrafodeSentencia"/>
        <w:rPr>
          <w:spacing w:val="-2"/>
          <w:lang w:val="en-US"/>
        </w:rPr>
      </w:pPr>
      <w:bookmarkStart w:id="853" w:name="_Ref423345462"/>
      <w:r w:rsidRPr="008A1DB4">
        <w:rPr>
          <w:spacing w:val="-2"/>
          <w:lang w:val="en-US"/>
        </w:rPr>
        <w:t>I</w:t>
      </w:r>
      <w:r w:rsidR="00B92C3E" w:rsidRPr="008A1DB4">
        <w:rPr>
          <w:spacing w:val="-2"/>
          <w:lang w:val="en-US"/>
        </w:rPr>
        <w:t>n princip</w:t>
      </w:r>
      <w:r w:rsidRPr="008A1DB4">
        <w:rPr>
          <w:spacing w:val="-2"/>
          <w:lang w:val="en-US"/>
        </w:rPr>
        <w:t xml:space="preserve">le, the jurisdictional function belongs preeminently to the Judiciary, notwithstanding the fact that other public authorities or bodies may exercise jurisdictional functions in certain specific situations. In other words, when </w:t>
      </w:r>
      <w:r w:rsidR="00F36400" w:rsidRPr="008A1DB4">
        <w:rPr>
          <w:spacing w:val="-2"/>
          <w:lang w:val="en-US"/>
        </w:rPr>
        <w:t>the Convention</w:t>
      </w:r>
      <w:r w:rsidR="00B92C3E" w:rsidRPr="008A1DB4">
        <w:rPr>
          <w:spacing w:val="-2"/>
          <w:lang w:val="en-US"/>
        </w:rPr>
        <w:t xml:space="preserve"> </w:t>
      </w:r>
      <w:r w:rsidRPr="008A1DB4">
        <w:rPr>
          <w:spacing w:val="-2"/>
          <w:lang w:val="en-US"/>
        </w:rPr>
        <w:t xml:space="preserve">refers to the right of every person to a hearing by “a competent </w:t>
      </w:r>
      <w:r w:rsidRPr="00901330">
        <w:rPr>
          <w:spacing w:val="-2"/>
          <w:lang w:val="en-US"/>
        </w:rPr>
        <w:t>tribunal” “</w:t>
      </w:r>
      <w:r w:rsidRPr="00901330">
        <w:rPr>
          <w:spacing w:val="-3"/>
          <w:lang w:val="en-US"/>
        </w:rPr>
        <w:t>for the determination of his rights,” this</w:t>
      </w:r>
      <w:r w:rsidRPr="008A1DB4">
        <w:rPr>
          <w:spacing w:val="-3"/>
          <w:lang w:val="en-US"/>
        </w:rPr>
        <w:t xml:space="preserve"> expression refers to any public authority, whether administrative, legislative or judicial, which by means of its decisions determines rights and obligations </w:t>
      </w:r>
      <w:r w:rsidRPr="008A1DB4">
        <w:rPr>
          <w:spacing w:val="-2"/>
          <w:lang w:val="en-US"/>
        </w:rPr>
        <w:t xml:space="preserve">of the individual. For </w:t>
      </w:r>
      <w:r w:rsidR="00901330">
        <w:rPr>
          <w:spacing w:val="-2"/>
          <w:lang w:val="en-US"/>
        </w:rPr>
        <w:t>this reason, the</w:t>
      </w:r>
      <w:r w:rsidRPr="008A1DB4">
        <w:rPr>
          <w:spacing w:val="-2"/>
          <w:lang w:val="en-US"/>
        </w:rPr>
        <w:t xml:space="preserve"> Court considers that any State</w:t>
      </w:r>
      <w:r w:rsidR="00901330">
        <w:rPr>
          <w:spacing w:val="-2"/>
          <w:lang w:val="en-US"/>
        </w:rPr>
        <w:t xml:space="preserve"> organ</w:t>
      </w:r>
      <w:r w:rsidRPr="008A1DB4">
        <w:rPr>
          <w:spacing w:val="-2"/>
          <w:lang w:val="en-US"/>
        </w:rPr>
        <w:t xml:space="preserve"> that exercises functions of a m</w:t>
      </w:r>
      <w:r w:rsidR="00901330">
        <w:rPr>
          <w:spacing w:val="-2"/>
          <w:lang w:val="en-US"/>
        </w:rPr>
        <w:t>aterially jurisdictional nature</w:t>
      </w:r>
      <w:r w:rsidRPr="008A1DB4">
        <w:rPr>
          <w:spacing w:val="-2"/>
          <w:lang w:val="en-US"/>
        </w:rPr>
        <w:t xml:space="preserve"> has the obligation to adopt decision</w:t>
      </w:r>
      <w:r w:rsidR="00901330">
        <w:rPr>
          <w:spacing w:val="-2"/>
          <w:lang w:val="en-US"/>
        </w:rPr>
        <w:t>s</w:t>
      </w:r>
      <w:r w:rsidRPr="008A1DB4">
        <w:rPr>
          <w:spacing w:val="-2"/>
          <w:lang w:val="en-US"/>
        </w:rPr>
        <w:t xml:space="preserve"> that respect the guarantees of due </w:t>
      </w:r>
      <w:r w:rsidR="00775124" w:rsidRPr="008A1DB4">
        <w:rPr>
          <w:spacing w:val="-2"/>
          <w:lang w:val="en-US"/>
        </w:rPr>
        <w:t>process</w:t>
      </w:r>
      <w:r w:rsidR="00B92C3E" w:rsidRPr="008A1DB4">
        <w:rPr>
          <w:spacing w:val="-2"/>
          <w:lang w:val="en-US"/>
        </w:rPr>
        <w:t xml:space="preserve"> </w:t>
      </w:r>
      <w:r w:rsidRPr="008A1DB4">
        <w:rPr>
          <w:spacing w:val="-2"/>
          <w:lang w:val="en-US"/>
        </w:rPr>
        <w:t xml:space="preserve">of law in the terms of </w:t>
      </w:r>
      <w:r w:rsidR="0058668C" w:rsidRPr="008A1DB4">
        <w:rPr>
          <w:spacing w:val="-2"/>
          <w:lang w:val="en-US"/>
        </w:rPr>
        <w:t>Article</w:t>
      </w:r>
      <w:r w:rsidRPr="008A1DB4">
        <w:rPr>
          <w:spacing w:val="-2"/>
          <w:lang w:val="en-US"/>
        </w:rPr>
        <w:t xml:space="preserve"> 8(1)</w:t>
      </w:r>
      <w:r w:rsidR="00F36400" w:rsidRPr="008A1DB4">
        <w:rPr>
          <w:spacing w:val="-2"/>
          <w:lang w:val="en-US"/>
        </w:rPr>
        <w:t xml:space="preserve"> of the American Convention</w:t>
      </w:r>
      <w:r w:rsidRPr="008A1DB4">
        <w:rPr>
          <w:spacing w:val="-2"/>
          <w:lang w:val="en-US"/>
        </w:rPr>
        <w:t>.</w:t>
      </w:r>
      <w:r w:rsidR="00B92C3E" w:rsidRPr="008A1DB4">
        <w:rPr>
          <w:rStyle w:val="FootnoteReference"/>
          <w:spacing w:val="-2"/>
          <w:lang w:val="en-US"/>
        </w:rPr>
        <w:footnoteReference w:id="282"/>
      </w:r>
      <w:r w:rsidRPr="008A1DB4">
        <w:rPr>
          <w:spacing w:val="-2"/>
          <w:lang w:val="en-US"/>
        </w:rPr>
        <w:t xml:space="preserve"> Thus, the Court has establishes that, in proceedings such as those that may culminate in the expulsion or deportation of aliens, the State may not issue administrative acts or adopt judicial decisions without respecting certain basic guarantees, the content of which coincides substantially with those established in </w:t>
      </w:r>
      <w:r w:rsidR="00F36400" w:rsidRPr="008A1DB4">
        <w:rPr>
          <w:spacing w:val="-2"/>
          <w:lang w:val="en-US"/>
        </w:rPr>
        <w:t>Article</w:t>
      </w:r>
      <w:r w:rsidR="00B92C3E" w:rsidRPr="008A1DB4">
        <w:rPr>
          <w:spacing w:val="-2"/>
          <w:lang w:val="en-US"/>
        </w:rPr>
        <w:t xml:space="preserve"> 8</w:t>
      </w:r>
      <w:r w:rsidR="00F36400" w:rsidRPr="008A1DB4">
        <w:rPr>
          <w:spacing w:val="-2"/>
          <w:lang w:val="en-US"/>
        </w:rPr>
        <w:t xml:space="preserve"> of the Convention</w:t>
      </w:r>
      <w:r w:rsidRPr="008A1DB4">
        <w:rPr>
          <w:spacing w:val="-2"/>
          <w:lang w:val="en-US"/>
        </w:rPr>
        <w:t>.</w:t>
      </w:r>
      <w:r w:rsidR="00B92C3E" w:rsidRPr="008A1DB4">
        <w:rPr>
          <w:spacing w:val="-2"/>
          <w:vertAlign w:val="superscript"/>
          <w:lang w:val="en-US"/>
        </w:rPr>
        <w:footnoteReference w:id="283"/>
      </w:r>
      <w:r w:rsidRPr="008A1DB4">
        <w:rPr>
          <w:spacing w:val="-2"/>
          <w:lang w:val="en-US"/>
        </w:rPr>
        <w:t xml:space="preserve"> Although extradi</w:t>
      </w:r>
      <w:r w:rsidR="00901330">
        <w:rPr>
          <w:spacing w:val="-2"/>
          <w:lang w:val="en-US"/>
        </w:rPr>
        <w:t>tion processes are mechanisms for</w:t>
      </w:r>
      <w:r w:rsidRPr="008A1DB4">
        <w:rPr>
          <w:spacing w:val="-2"/>
          <w:lang w:val="en-US"/>
        </w:rPr>
        <w:t xml:space="preserve"> international cooperation between States in criminal matters, the Court reiterates that they must observe the States’ international </w:t>
      </w:r>
      <w:r w:rsidR="00030FA9" w:rsidRPr="008A1DB4">
        <w:rPr>
          <w:spacing w:val="-2"/>
          <w:lang w:val="en-US"/>
        </w:rPr>
        <w:t>human rights</w:t>
      </w:r>
      <w:r w:rsidRPr="008A1DB4">
        <w:rPr>
          <w:spacing w:val="-2"/>
          <w:lang w:val="en-US"/>
        </w:rPr>
        <w:t xml:space="preserve"> obligations, insofar as th</w:t>
      </w:r>
      <w:r w:rsidR="00901330">
        <w:rPr>
          <w:spacing w:val="-2"/>
          <w:lang w:val="en-US"/>
        </w:rPr>
        <w:t>e respective</w:t>
      </w:r>
      <w:r w:rsidRPr="008A1DB4">
        <w:rPr>
          <w:spacing w:val="-2"/>
          <w:lang w:val="en-US"/>
        </w:rPr>
        <w:t xml:space="preserve"> decision may affect the rights of the individual </w:t>
      </w:r>
      <w:r w:rsidR="00B92C3E" w:rsidRPr="008A1DB4">
        <w:rPr>
          <w:spacing w:val="-2"/>
          <w:lang w:val="en-US"/>
        </w:rPr>
        <w:t>(</w:t>
      </w:r>
      <w:r w:rsidR="00B92C3E" w:rsidRPr="008A1DB4">
        <w:rPr>
          <w:i/>
          <w:spacing w:val="-2"/>
          <w:lang w:val="en-US"/>
        </w:rPr>
        <w:t>supra</w:t>
      </w:r>
      <w:r w:rsidR="00B92C3E"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_Ref419136042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119</w:t>
      </w:r>
      <w:r w:rsidR="00BE2225" w:rsidRPr="008A1DB4">
        <w:rPr>
          <w:spacing w:val="-2"/>
          <w:lang w:val="en-US"/>
        </w:rPr>
        <w:fldChar w:fldCharType="end"/>
      </w:r>
      <w:r w:rsidRPr="008A1DB4">
        <w:rPr>
          <w:spacing w:val="-2"/>
          <w:lang w:val="en-US"/>
        </w:rPr>
        <w:t>). I</w:t>
      </w:r>
      <w:r w:rsidR="00B92C3E" w:rsidRPr="008A1DB4">
        <w:rPr>
          <w:spacing w:val="-2"/>
          <w:lang w:val="en-US"/>
        </w:rPr>
        <w:t xml:space="preserve">n particular, </w:t>
      </w:r>
      <w:r w:rsidRPr="008A1DB4">
        <w:rPr>
          <w:spacing w:val="-2"/>
          <w:lang w:val="en-US"/>
        </w:rPr>
        <w:t xml:space="preserve">extradition proceedings must respect certain basic guarantees of </w:t>
      </w:r>
      <w:r w:rsidR="00775124" w:rsidRPr="008A1DB4">
        <w:rPr>
          <w:spacing w:val="-2"/>
          <w:lang w:val="en-US"/>
        </w:rPr>
        <w:t>due process</w:t>
      </w:r>
      <w:r w:rsidR="00B92C3E" w:rsidRPr="008A1DB4">
        <w:rPr>
          <w:spacing w:val="-2"/>
          <w:lang w:val="en-US"/>
        </w:rPr>
        <w:t xml:space="preserve">, </w:t>
      </w:r>
      <w:r w:rsidRPr="008A1DB4">
        <w:rPr>
          <w:spacing w:val="-2"/>
          <w:lang w:val="en-US"/>
        </w:rPr>
        <w:t>taking into account the political and legal aspects of such processes.</w:t>
      </w:r>
      <w:bookmarkEnd w:id="853"/>
    </w:p>
    <w:p w14:paraId="7BFBD4AF" w14:textId="77777777" w:rsidR="00B00581" w:rsidRPr="008A1DB4" w:rsidRDefault="00B00581" w:rsidP="00956E97">
      <w:pPr>
        <w:pStyle w:val="PrrafodeSentencia"/>
        <w:numPr>
          <w:ilvl w:val="0"/>
          <w:numId w:val="0"/>
        </w:numPr>
        <w:rPr>
          <w:spacing w:val="-2"/>
          <w:lang w:val="en-US"/>
        </w:rPr>
      </w:pPr>
    </w:p>
    <w:p w14:paraId="071B3457" w14:textId="5FC0E35D" w:rsidR="00470B06" w:rsidRPr="008A1DB4" w:rsidRDefault="00F36400" w:rsidP="00956E97">
      <w:pPr>
        <w:pStyle w:val="PrrafodeSentencia"/>
        <w:rPr>
          <w:spacing w:val="-2"/>
          <w:lang w:val="en-US"/>
        </w:rPr>
      </w:pPr>
      <w:bookmarkStart w:id="854" w:name="_Ref429069773"/>
      <w:r w:rsidRPr="008A1DB4">
        <w:rPr>
          <w:spacing w:val="-2"/>
          <w:lang w:val="en-US"/>
        </w:rPr>
        <w:t>This Court</w:t>
      </w:r>
      <w:r w:rsidR="00470B06" w:rsidRPr="008A1DB4">
        <w:rPr>
          <w:spacing w:val="-2"/>
          <w:lang w:val="en-US"/>
        </w:rPr>
        <w:t xml:space="preserve"> h</w:t>
      </w:r>
      <w:r w:rsidR="00A33F97" w:rsidRPr="008A1DB4">
        <w:rPr>
          <w:spacing w:val="-2"/>
          <w:lang w:val="en-US"/>
        </w:rPr>
        <w:t>as indicated that the</w:t>
      </w:r>
      <w:r w:rsidR="00470B06" w:rsidRPr="008A1DB4">
        <w:rPr>
          <w:spacing w:val="-2"/>
          <w:lang w:val="en-US"/>
        </w:rPr>
        <w:t xml:space="preserve"> “</w:t>
      </w:r>
      <w:r w:rsidR="00A33F97" w:rsidRPr="008A1DB4">
        <w:rPr>
          <w:spacing w:val="-2"/>
          <w:lang w:val="en-US"/>
        </w:rPr>
        <w:t>reasonable time</w:t>
      </w:r>
      <w:r w:rsidR="00470B06" w:rsidRPr="008A1DB4">
        <w:rPr>
          <w:spacing w:val="-2"/>
          <w:lang w:val="en-US"/>
        </w:rPr>
        <w:t xml:space="preserve">” </w:t>
      </w:r>
      <w:r w:rsidR="00A33F97" w:rsidRPr="008A1DB4">
        <w:rPr>
          <w:spacing w:val="-2"/>
          <w:lang w:val="en-US"/>
        </w:rPr>
        <w:t xml:space="preserve">referred to in </w:t>
      </w:r>
      <w:r w:rsidRPr="008A1DB4">
        <w:rPr>
          <w:spacing w:val="-2"/>
          <w:lang w:val="en-US"/>
        </w:rPr>
        <w:t>Article</w:t>
      </w:r>
      <w:r w:rsidR="00A33F97" w:rsidRPr="008A1DB4">
        <w:rPr>
          <w:spacing w:val="-2"/>
          <w:lang w:val="en-US"/>
        </w:rPr>
        <w:t xml:space="preserve"> 8(1)</w:t>
      </w:r>
      <w:r w:rsidRPr="008A1DB4">
        <w:rPr>
          <w:spacing w:val="-2"/>
          <w:lang w:val="en-US"/>
        </w:rPr>
        <w:t xml:space="preserve"> of the Convention</w:t>
      </w:r>
      <w:r w:rsidR="00470B06" w:rsidRPr="008A1DB4">
        <w:rPr>
          <w:spacing w:val="-2"/>
          <w:lang w:val="en-US"/>
        </w:rPr>
        <w:t xml:space="preserve"> </w:t>
      </w:r>
      <w:r w:rsidR="00A33F97" w:rsidRPr="008A1DB4">
        <w:rPr>
          <w:spacing w:val="-2"/>
          <w:lang w:val="en-US"/>
        </w:rPr>
        <w:t>must be assessed in relation to the total duration of the proceedings, from the first procedural action until a final decision is delivered, including any appeals that may eventually be filed.</w:t>
      </w:r>
      <w:r w:rsidR="00470B06" w:rsidRPr="008A1DB4">
        <w:rPr>
          <w:spacing w:val="-2"/>
          <w:vertAlign w:val="superscript"/>
          <w:lang w:val="en-US"/>
        </w:rPr>
        <w:footnoteReference w:id="284"/>
      </w:r>
      <w:r w:rsidR="00A33F97" w:rsidRPr="008A1DB4">
        <w:rPr>
          <w:spacing w:val="-2"/>
          <w:lang w:val="en-US"/>
        </w:rPr>
        <w:t xml:space="preserve"> In this case, </w:t>
      </w:r>
      <w:r w:rsidR="00FC5891" w:rsidRPr="008A1DB4">
        <w:rPr>
          <w:spacing w:val="-2"/>
          <w:lang w:val="en-US"/>
        </w:rPr>
        <w:t>the extradition process</w:t>
      </w:r>
      <w:r w:rsidR="00470B06" w:rsidRPr="008A1DB4">
        <w:rPr>
          <w:spacing w:val="-2"/>
          <w:lang w:val="en-US"/>
        </w:rPr>
        <w:t xml:space="preserve"> </w:t>
      </w:r>
      <w:r w:rsidR="00A33F97" w:rsidRPr="008A1DB4">
        <w:rPr>
          <w:spacing w:val="-2"/>
          <w:lang w:val="en-US"/>
        </w:rPr>
        <w:t>has not concluded, so that it is necessary to take into account the time that has elapsed from</w:t>
      </w:r>
      <w:r w:rsidR="001E7113" w:rsidRPr="008A1DB4">
        <w:rPr>
          <w:spacing w:val="-2"/>
          <w:lang w:val="en-US"/>
        </w:rPr>
        <w:t xml:space="preserve"> the arrest of</w:t>
      </w:r>
      <w:r w:rsidR="00B43F84" w:rsidRPr="008A1DB4">
        <w:rPr>
          <w:spacing w:val="-2"/>
          <w:lang w:val="en-US"/>
        </w:rPr>
        <w:t xml:space="preserve"> Wong</w:t>
      </w:r>
      <w:r w:rsidR="00A33F97" w:rsidRPr="008A1DB4">
        <w:rPr>
          <w:spacing w:val="-2"/>
          <w:lang w:val="en-US"/>
        </w:rPr>
        <w:t xml:space="preserve"> Ho Wing on</w:t>
      </w:r>
      <w:r w:rsidR="00470B06" w:rsidRPr="008A1DB4">
        <w:rPr>
          <w:spacing w:val="-2"/>
          <w:lang w:val="en-US"/>
        </w:rPr>
        <w:t xml:space="preserve"> </w:t>
      </w:r>
      <w:r w:rsidR="001E7113" w:rsidRPr="008A1DB4">
        <w:rPr>
          <w:spacing w:val="-2"/>
          <w:lang w:val="en-US"/>
        </w:rPr>
        <w:t>October 27,</w:t>
      </w:r>
      <w:r w:rsidR="00470B06" w:rsidRPr="008A1DB4">
        <w:rPr>
          <w:spacing w:val="-2"/>
          <w:lang w:val="en-US"/>
        </w:rPr>
        <w:t xml:space="preserve"> 2008</w:t>
      </w:r>
      <w:r w:rsidR="00A33F97" w:rsidRPr="008A1DB4">
        <w:rPr>
          <w:spacing w:val="-2"/>
          <w:lang w:val="en-US"/>
        </w:rPr>
        <w:t>,</w:t>
      </w:r>
      <w:r w:rsidR="00470B06" w:rsidRPr="008A1DB4">
        <w:rPr>
          <w:spacing w:val="-2"/>
          <w:lang w:val="en-US"/>
        </w:rPr>
        <w:t xml:space="preserve"> </w:t>
      </w:r>
      <w:r w:rsidR="003C49A4" w:rsidRPr="008A1DB4">
        <w:rPr>
          <w:spacing w:val="-2"/>
          <w:lang w:val="en-US"/>
        </w:rPr>
        <w:t>to date</w:t>
      </w:r>
      <w:r w:rsidR="00470B06" w:rsidRPr="008A1DB4">
        <w:rPr>
          <w:spacing w:val="-2"/>
          <w:lang w:val="en-US"/>
        </w:rPr>
        <w:t xml:space="preserve">. </w:t>
      </w:r>
      <w:r w:rsidR="00A33F97" w:rsidRPr="008A1DB4">
        <w:rPr>
          <w:spacing w:val="-2"/>
          <w:lang w:val="en-US"/>
        </w:rPr>
        <w:t>In order to determine the reasonableness of the time that this process has lasted, the Court will proceed to analyze, in light of the fact</w:t>
      </w:r>
      <w:r w:rsidR="00562FE4">
        <w:rPr>
          <w:spacing w:val="-2"/>
          <w:lang w:val="en-US"/>
        </w:rPr>
        <w:t>s</w:t>
      </w:r>
      <w:r w:rsidR="00A33F97" w:rsidRPr="008A1DB4">
        <w:rPr>
          <w:spacing w:val="-2"/>
          <w:lang w:val="en-US"/>
        </w:rPr>
        <w:t xml:space="preserve"> of this case, the four elements that case law has established to determine where the time is reasonable: (</w:t>
      </w:r>
      <w:proofErr w:type="spellStart"/>
      <w:r w:rsidR="00A33F97" w:rsidRPr="008A1DB4">
        <w:rPr>
          <w:spacing w:val="-2"/>
          <w:lang w:val="en-US"/>
        </w:rPr>
        <w:t>i</w:t>
      </w:r>
      <w:proofErr w:type="spellEnd"/>
      <w:r w:rsidR="00A33F97" w:rsidRPr="008A1DB4">
        <w:rPr>
          <w:spacing w:val="-2"/>
          <w:lang w:val="en-US"/>
        </w:rPr>
        <w:t>) the complexity of the matter; (ii) the procedural activity of the interested party; (iii) the conduct of the judicial authorities,</w:t>
      </w:r>
      <w:r w:rsidR="00470B06" w:rsidRPr="008A1DB4">
        <w:rPr>
          <w:rStyle w:val="FootnoteReference"/>
          <w:spacing w:val="-2"/>
          <w:lang w:val="en-US"/>
        </w:rPr>
        <w:footnoteReference w:id="285"/>
      </w:r>
      <w:r w:rsidRPr="008A1DB4">
        <w:rPr>
          <w:spacing w:val="-2"/>
          <w:lang w:val="en-US"/>
        </w:rPr>
        <w:t xml:space="preserve"> and </w:t>
      </w:r>
      <w:r w:rsidR="00470B06" w:rsidRPr="008A1DB4">
        <w:rPr>
          <w:spacing w:val="-2"/>
          <w:lang w:val="en-US"/>
        </w:rPr>
        <w:t>iv)</w:t>
      </w:r>
      <w:r w:rsidR="00A33F97" w:rsidRPr="008A1DB4">
        <w:rPr>
          <w:spacing w:val="-2"/>
          <w:lang w:val="en-US"/>
        </w:rPr>
        <w:t xml:space="preserve"> the </w:t>
      </w:r>
      <w:r w:rsidR="00A33F97" w:rsidRPr="008A1DB4">
        <w:rPr>
          <w:spacing w:val="-2"/>
          <w:lang w:val="en-US"/>
        </w:rPr>
        <w:lastRenderedPageBreak/>
        <w:t>effects on the legal situation of the person involved in the proceedings.</w:t>
      </w:r>
      <w:r w:rsidR="00470B06" w:rsidRPr="008A1DB4">
        <w:rPr>
          <w:spacing w:val="-2"/>
          <w:vertAlign w:val="superscript"/>
          <w:lang w:val="en-US"/>
        </w:rPr>
        <w:footnoteReference w:id="286"/>
      </w:r>
      <w:r w:rsidR="00A33F97" w:rsidRPr="008A1DB4">
        <w:rPr>
          <w:spacing w:val="-2"/>
          <w:lang w:val="en-US"/>
        </w:rPr>
        <w:t xml:space="preserve"> In this chapter, the Court will only analyze the reasonableness of the time </w:t>
      </w:r>
      <w:r w:rsidR="00671326" w:rsidRPr="008A1DB4">
        <w:rPr>
          <w:spacing w:val="-2"/>
          <w:lang w:val="en-US"/>
        </w:rPr>
        <w:t xml:space="preserve">of the </w:t>
      </w:r>
      <w:r w:rsidR="00FC5891" w:rsidRPr="008A1DB4">
        <w:rPr>
          <w:spacing w:val="-2"/>
          <w:lang w:val="en-US"/>
        </w:rPr>
        <w:t>extradition process</w:t>
      </w:r>
      <w:r w:rsidRPr="008A1DB4">
        <w:rPr>
          <w:spacing w:val="-2"/>
          <w:lang w:val="en-US"/>
        </w:rPr>
        <w:t xml:space="preserve"> and </w:t>
      </w:r>
      <w:r w:rsidR="00A33F97" w:rsidRPr="008A1DB4">
        <w:rPr>
          <w:spacing w:val="-2"/>
          <w:lang w:val="en-US"/>
        </w:rPr>
        <w:t>not of the proceedings resulting from the applications for</w:t>
      </w:r>
      <w:r w:rsidR="00470B06" w:rsidRPr="008A1DB4">
        <w:rPr>
          <w:spacing w:val="-2"/>
          <w:lang w:val="en-US"/>
        </w:rPr>
        <w:t xml:space="preserve"> </w:t>
      </w:r>
      <w:r w:rsidR="00E022F9" w:rsidRPr="008A1DB4">
        <w:rPr>
          <w:i/>
          <w:spacing w:val="-2"/>
          <w:lang w:val="en-US"/>
        </w:rPr>
        <w:t>habeas corpus</w:t>
      </w:r>
      <w:r w:rsidR="00A33F97" w:rsidRPr="008A1DB4">
        <w:rPr>
          <w:i/>
          <w:spacing w:val="-2"/>
          <w:lang w:val="en-US"/>
        </w:rPr>
        <w:t>,</w:t>
      </w:r>
      <w:r w:rsidR="00470B06" w:rsidRPr="008A1DB4">
        <w:rPr>
          <w:i/>
          <w:spacing w:val="-2"/>
          <w:lang w:val="en-US"/>
        </w:rPr>
        <w:t xml:space="preserve"> </w:t>
      </w:r>
      <w:r w:rsidR="00A33F97" w:rsidRPr="008A1DB4">
        <w:rPr>
          <w:spacing w:val="-2"/>
          <w:lang w:val="en-US"/>
        </w:rPr>
        <w:t xml:space="preserve">which will be </w:t>
      </w:r>
      <w:r w:rsidR="0079515C" w:rsidRPr="008A1DB4">
        <w:rPr>
          <w:spacing w:val="-2"/>
          <w:lang w:val="en-US"/>
        </w:rPr>
        <w:t>examined</w:t>
      </w:r>
      <w:r w:rsidR="00A33F97" w:rsidRPr="008A1DB4">
        <w:rPr>
          <w:spacing w:val="-2"/>
          <w:lang w:val="en-US"/>
        </w:rPr>
        <w:t xml:space="preserve"> in the chapter on the deprivation of liberty </w:t>
      </w:r>
      <w:r w:rsidR="00B43F84" w:rsidRPr="008A1DB4">
        <w:rPr>
          <w:spacing w:val="-2"/>
          <w:lang w:val="en-US"/>
        </w:rPr>
        <w:t>of Wong</w:t>
      </w:r>
      <w:r w:rsidR="00470B06" w:rsidRPr="008A1DB4">
        <w:rPr>
          <w:spacing w:val="-2"/>
          <w:lang w:val="en-US"/>
        </w:rPr>
        <w:t xml:space="preserve"> Ho Wing (</w:t>
      </w:r>
      <w:r w:rsidR="00470B06" w:rsidRPr="008A1DB4">
        <w:rPr>
          <w:i/>
          <w:spacing w:val="-2"/>
          <w:lang w:val="en-US"/>
        </w:rPr>
        <w:t>infra</w:t>
      </w:r>
      <w:r w:rsidR="00470B06" w:rsidRPr="008A1DB4">
        <w:rPr>
          <w:spacing w:val="-2"/>
          <w:lang w:val="en-US"/>
        </w:rPr>
        <w:t xml:space="preserve"> </w:t>
      </w:r>
      <w:r w:rsidR="00A33F97" w:rsidRPr="008A1DB4">
        <w:rPr>
          <w:spacing w:val="-2"/>
          <w:lang w:val="en-US"/>
        </w:rPr>
        <w:t>Chapter</w:t>
      </w:r>
      <w:r w:rsidR="00470B06" w:rsidRPr="008A1DB4">
        <w:rPr>
          <w:spacing w:val="-2"/>
          <w:lang w:val="en-US"/>
        </w:rPr>
        <w:t xml:space="preserve"> XI). </w:t>
      </w:r>
      <w:r w:rsidR="00A33F97" w:rsidRPr="008A1DB4">
        <w:rPr>
          <w:spacing w:val="-2"/>
          <w:lang w:val="en-US"/>
        </w:rPr>
        <w:t>However, the</w:t>
      </w:r>
      <w:r w:rsidR="00562FE4">
        <w:rPr>
          <w:spacing w:val="-2"/>
          <w:lang w:val="en-US"/>
        </w:rPr>
        <w:t xml:space="preserve"> applications for</w:t>
      </w:r>
      <w:r w:rsidR="00A33F97" w:rsidRPr="008A1DB4">
        <w:rPr>
          <w:spacing w:val="-2"/>
          <w:lang w:val="en-US"/>
        </w:rPr>
        <w:t xml:space="preserve"> </w:t>
      </w:r>
      <w:r w:rsidR="00E022F9" w:rsidRPr="008A1DB4">
        <w:rPr>
          <w:i/>
          <w:spacing w:val="-2"/>
          <w:lang w:val="en-US"/>
        </w:rPr>
        <w:t>habeas corpus</w:t>
      </w:r>
      <w:r w:rsidR="00470B06" w:rsidRPr="008A1DB4">
        <w:rPr>
          <w:i/>
          <w:spacing w:val="-2"/>
          <w:lang w:val="en-US"/>
        </w:rPr>
        <w:t xml:space="preserve"> </w:t>
      </w:r>
      <w:r w:rsidR="00A33F97" w:rsidRPr="008A1DB4">
        <w:rPr>
          <w:spacing w:val="-2"/>
          <w:lang w:val="en-US"/>
        </w:rPr>
        <w:t xml:space="preserve">will be taken into account to the extent that they affected the duration of the extradition process. </w:t>
      </w:r>
      <w:bookmarkEnd w:id="852"/>
      <w:bookmarkEnd w:id="854"/>
    </w:p>
    <w:p w14:paraId="39B39D56" w14:textId="77777777" w:rsidR="00470B06" w:rsidRPr="008A1DB4" w:rsidRDefault="00470B06" w:rsidP="00956E97">
      <w:pPr>
        <w:tabs>
          <w:tab w:val="left" w:pos="284"/>
          <w:tab w:val="left" w:pos="567"/>
        </w:tabs>
        <w:rPr>
          <w:spacing w:val="-2"/>
          <w:lang w:val="en-US"/>
        </w:rPr>
      </w:pPr>
    </w:p>
    <w:p w14:paraId="3AA7BAC5" w14:textId="2D0BD9F0" w:rsidR="00470B06" w:rsidRPr="008A1DB4" w:rsidRDefault="002F0927" w:rsidP="00956E97">
      <w:pPr>
        <w:pStyle w:val="Heading3"/>
        <w:rPr>
          <w:spacing w:val="-2"/>
          <w:lang w:val="en-US"/>
        </w:rPr>
      </w:pPr>
      <w:bookmarkStart w:id="855" w:name="_Toc418912840"/>
      <w:bookmarkStart w:id="856" w:name="_Toc419394420"/>
      <w:bookmarkStart w:id="857" w:name="_Toc429490280"/>
      <w:bookmarkStart w:id="858" w:name="_Toc429503794"/>
      <w:bookmarkStart w:id="859" w:name="_Toc429504300"/>
      <w:bookmarkStart w:id="860" w:name="_Toc429678013"/>
      <w:bookmarkStart w:id="861" w:name="_Toc430017176"/>
      <w:bookmarkStart w:id="862" w:name="_Toc430017405"/>
      <w:bookmarkStart w:id="863" w:name="_Toc430018687"/>
      <w:bookmarkStart w:id="864" w:name="_Toc430125285"/>
      <w:bookmarkStart w:id="865" w:name="_Toc430125393"/>
      <w:r w:rsidRPr="008A1DB4">
        <w:rPr>
          <w:spacing w:val="-2"/>
          <w:lang w:val="en-US"/>
        </w:rPr>
        <w:t>B.</w:t>
      </w:r>
      <w:r w:rsidR="00404CAB" w:rsidRPr="008A1DB4">
        <w:rPr>
          <w:spacing w:val="-2"/>
          <w:lang w:val="en-US"/>
        </w:rPr>
        <w:t>2</w:t>
      </w:r>
      <w:r w:rsidRPr="008A1DB4">
        <w:rPr>
          <w:spacing w:val="-2"/>
          <w:lang w:val="en-US"/>
        </w:rPr>
        <w:t>.a</w:t>
      </w:r>
      <w:r w:rsidR="00470B06" w:rsidRPr="008A1DB4">
        <w:rPr>
          <w:spacing w:val="-2"/>
          <w:lang w:val="en-US"/>
        </w:rPr>
        <w:t xml:space="preserve">) </w:t>
      </w:r>
      <w:r w:rsidR="00A33F97" w:rsidRPr="008A1DB4">
        <w:rPr>
          <w:spacing w:val="-2"/>
          <w:lang w:val="en-US"/>
        </w:rPr>
        <w:t>Complexity of the matter</w:t>
      </w:r>
      <w:bookmarkEnd w:id="855"/>
      <w:bookmarkEnd w:id="856"/>
      <w:bookmarkEnd w:id="857"/>
      <w:bookmarkEnd w:id="858"/>
      <w:bookmarkEnd w:id="859"/>
      <w:bookmarkEnd w:id="860"/>
      <w:bookmarkEnd w:id="861"/>
      <w:bookmarkEnd w:id="862"/>
      <w:bookmarkEnd w:id="863"/>
      <w:bookmarkEnd w:id="864"/>
      <w:bookmarkEnd w:id="865"/>
    </w:p>
    <w:p w14:paraId="4FB4D8D4" w14:textId="77777777" w:rsidR="00863509" w:rsidRPr="008A1DB4" w:rsidRDefault="00863509" w:rsidP="00956E97">
      <w:pPr>
        <w:pStyle w:val="PrrafodeSentencia"/>
        <w:numPr>
          <w:ilvl w:val="0"/>
          <w:numId w:val="0"/>
        </w:numPr>
        <w:rPr>
          <w:spacing w:val="-2"/>
          <w:lang w:val="en-US"/>
        </w:rPr>
      </w:pPr>
    </w:p>
    <w:p w14:paraId="5B803364" w14:textId="3B2FBFD4" w:rsidR="00470B06" w:rsidRPr="008A1DB4" w:rsidRDefault="00F36400" w:rsidP="004D2183">
      <w:pPr>
        <w:pStyle w:val="PrrafodeSentencia"/>
        <w:rPr>
          <w:b/>
          <w:spacing w:val="-2"/>
          <w:lang w:val="en-US"/>
        </w:rPr>
      </w:pPr>
      <w:r w:rsidRPr="008A1DB4">
        <w:rPr>
          <w:spacing w:val="-2"/>
          <w:lang w:val="en-US"/>
        </w:rPr>
        <w:t>This Court</w:t>
      </w:r>
      <w:r w:rsidR="00470B06" w:rsidRPr="008A1DB4">
        <w:rPr>
          <w:spacing w:val="-2"/>
          <w:lang w:val="en-US"/>
        </w:rPr>
        <w:t xml:space="preserve"> ha</w:t>
      </w:r>
      <w:r w:rsidR="00A33F97" w:rsidRPr="008A1DB4">
        <w:rPr>
          <w:spacing w:val="-2"/>
          <w:lang w:val="en-US"/>
        </w:rPr>
        <w:t>s taken different criteria into account to determine the complexity of a proceeding.</w:t>
      </w:r>
      <w:r w:rsidR="00055657" w:rsidRPr="008A1DB4">
        <w:rPr>
          <w:rStyle w:val="FootnoteReference"/>
          <w:spacing w:val="-2"/>
          <w:lang w:val="en-US"/>
        </w:rPr>
        <w:footnoteReference w:id="287"/>
      </w:r>
      <w:r w:rsidR="00A33F97" w:rsidRPr="008A1DB4">
        <w:rPr>
          <w:spacing w:val="-2"/>
          <w:lang w:val="en-US"/>
        </w:rPr>
        <w:t xml:space="preserve"> These include the complexity of the evidence,</w:t>
      </w:r>
      <w:r w:rsidR="00470B06" w:rsidRPr="008A1DB4">
        <w:rPr>
          <w:rStyle w:val="FootnoteReference"/>
          <w:spacing w:val="-2"/>
          <w:lang w:val="en-US"/>
        </w:rPr>
        <w:footnoteReference w:id="288"/>
      </w:r>
      <w:r w:rsidR="00A33F97" w:rsidRPr="008A1DB4">
        <w:rPr>
          <w:spacing w:val="-2"/>
          <w:lang w:val="en-US"/>
        </w:rPr>
        <w:t xml:space="preserve"> the number of procedural subjects,</w:t>
      </w:r>
      <w:r w:rsidR="00470B06" w:rsidRPr="008A1DB4">
        <w:rPr>
          <w:rStyle w:val="FootnoteReference"/>
          <w:spacing w:val="-2"/>
          <w:lang w:val="en-US"/>
        </w:rPr>
        <w:footnoteReference w:id="289"/>
      </w:r>
      <w:r w:rsidR="00A33F97" w:rsidRPr="008A1DB4">
        <w:rPr>
          <w:spacing w:val="-2"/>
          <w:lang w:val="en-US"/>
        </w:rPr>
        <w:t xml:space="preserve"> or the number of victims,</w:t>
      </w:r>
      <w:r w:rsidR="00470B06" w:rsidRPr="008A1DB4">
        <w:rPr>
          <w:rStyle w:val="FootnoteReference"/>
          <w:spacing w:val="-2"/>
          <w:lang w:val="en-US"/>
        </w:rPr>
        <w:footnoteReference w:id="290"/>
      </w:r>
      <w:r w:rsidR="00A33F97" w:rsidRPr="008A1DB4">
        <w:rPr>
          <w:spacing w:val="-2"/>
          <w:lang w:val="en-US"/>
        </w:rPr>
        <w:t xml:space="preserve"> the time elapse</w:t>
      </w:r>
      <w:r w:rsidR="004D2183" w:rsidRPr="008A1DB4">
        <w:rPr>
          <w:spacing w:val="-2"/>
          <w:lang w:val="en-US"/>
        </w:rPr>
        <w:t>d</w:t>
      </w:r>
      <w:r w:rsidR="00A33F97" w:rsidRPr="008A1DB4">
        <w:rPr>
          <w:spacing w:val="-2"/>
          <w:lang w:val="en-US"/>
        </w:rPr>
        <w:t xml:space="preserve"> since the violation,</w:t>
      </w:r>
      <w:r w:rsidR="00470B06" w:rsidRPr="008A1DB4">
        <w:rPr>
          <w:rStyle w:val="FootnoteReference"/>
          <w:spacing w:val="-2"/>
          <w:lang w:val="en-US"/>
        </w:rPr>
        <w:footnoteReference w:id="291"/>
      </w:r>
      <w:r w:rsidR="00A33F97" w:rsidRPr="008A1DB4">
        <w:rPr>
          <w:spacing w:val="-2"/>
          <w:lang w:val="en-US"/>
        </w:rPr>
        <w:t xml:space="preserve"> the characteristics of the remedies established by domestic law,</w:t>
      </w:r>
      <w:r w:rsidR="00470B06" w:rsidRPr="008A1DB4">
        <w:rPr>
          <w:rStyle w:val="FootnoteReference"/>
          <w:spacing w:val="-2"/>
          <w:lang w:val="en-US"/>
        </w:rPr>
        <w:footnoteReference w:id="292"/>
      </w:r>
      <w:r w:rsidR="00A33F97" w:rsidRPr="008A1DB4">
        <w:rPr>
          <w:spacing w:val="-2"/>
          <w:lang w:val="en-US"/>
        </w:rPr>
        <w:t xml:space="preserve"> the context in which the violation occurred,</w:t>
      </w:r>
      <w:r w:rsidR="00470B06" w:rsidRPr="008A1DB4">
        <w:rPr>
          <w:rStyle w:val="FootnoteReference"/>
          <w:spacing w:val="-2"/>
          <w:lang w:val="en-US"/>
        </w:rPr>
        <w:footnoteReference w:id="293"/>
      </w:r>
      <w:r w:rsidRPr="008A1DB4">
        <w:rPr>
          <w:spacing w:val="-2"/>
          <w:lang w:val="en-US"/>
        </w:rPr>
        <w:t xml:space="preserve"> and</w:t>
      </w:r>
      <w:r w:rsidR="00A33F97" w:rsidRPr="008A1DB4">
        <w:rPr>
          <w:spacing w:val="-2"/>
          <w:lang w:val="en-US"/>
        </w:rPr>
        <w:t xml:space="preserve"> the number of remedies filed in the proceedings.</w:t>
      </w:r>
      <w:r w:rsidR="00470B06" w:rsidRPr="008A1DB4">
        <w:rPr>
          <w:rStyle w:val="FootnoteReference"/>
          <w:spacing w:val="-2"/>
          <w:lang w:val="en-US"/>
        </w:rPr>
        <w:footnoteReference w:id="294"/>
      </w:r>
      <w:r w:rsidR="00470B06" w:rsidRPr="008A1DB4">
        <w:rPr>
          <w:spacing w:val="-2"/>
          <w:lang w:val="en-US"/>
        </w:rPr>
        <w:t xml:space="preserve"> </w:t>
      </w:r>
      <w:r w:rsidRPr="008A1DB4">
        <w:rPr>
          <w:spacing w:val="-2"/>
          <w:lang w:val="en-US"/>
        </w:rPr>
        <w:t>The Court</w:t>
      </w:r>
      <w:r w:rsidR="00470B06" w:rsidRPr="008A1DB4">
        <w:rPr>
          <w:spacing w:val="-2"/>
          <w:lang w:val="en-US"/>
        </w:rPr>
        <w:t xml:space="preserve"> </w:t>
      </w:r>
      <w:r w:rsidR="004D2183" w:rsidRPr="008A1DB4">
        <w:rPr>
          <w:spacing w:val="-2"/>
          <w:lang w:val="en-US"/>
        </w:rPr>
        <w:t xml:space="preserve">affirms that, contrary to the State’s assertions, the lack of clarity in the judgments of the local courts or the </w:t>
      </w:r>
      <w:r w:rsidR="00562FE4">
        <w:rPr>
          <w:spacing w:val="-2"/>
          <w:lang w:val="en-US"/>
        </w:rPr>
        <w:t>application</w:t>
      </w:r>
      <w:r w:rsidR="004D2183" w:rsidRPr="008A1DB4">
        <w:rPr>
          <w:spacing w:val="-2"/>
          <w:lang w:val="en-US"/>
        </w:rPr>
        <w:t xml:space="preserve"> of </w:t>
      </w:r>
      <w:r w:rsidR="00C45946" w:rsidRPr="008A1DB4">
        <w:rPr>
          <w:spacing w:val="-2"/>
          <w:lang w:val="en-US"/>
        </w:rPr>
        <w:t>provisional measures</w:t>
      </w:r>
      <w:r w:rsidR="00470B06" w:rsidRPr="008A1DB4">
        <w:rPr>
          <w:spacing w:val="-2"/>
          <w:lang w:val="en-US"/>
        </w:rPr>
        <w:t xml:space="preserve"> </w:t>
      </w:r>
      <w:r w:rsidR="004D2183" w:rsidRPr="008A1DB4">
        <w:rPr>
          <w:spacing w:val="-2"/>
          <w:lang w:val="en-US"/>
        </w:rPr>
        <w:t>ordered by</w:t>
      </w:r>
      <w:r w:rsidR="00470B06" w:rsidRPr="008A1DB4">
        <w:rPr>
          <w:spacing w:val="-2"/>
          <w:lang w:val="en-US"/>
        </w:rPr>
        <w:t xml:space="preserve"> </w:t>
      </w:r>
      <w:r w:rsidR="004D2183" w:rsidRPr="008A1DB4">
        <w:rPr>
          <w:spacing w:val="-2"/>
          <w:lang w:val="en-US"/>
        </w:rPr>
        <w:t>the inter-American system</w:t>
      </w:r>
      <w:r w:rsidR="00470B06" w:rsidRPr="008A1DB4">
        <w:rPr>
          <w:spacing w:val="-2"/>
          <w:lang w:val="en-US"/>
        </w:rPr>
        <w:t xml:space="preserve"> </w:t>
      </w:r>
      <w:r w:rsidR="004D2183" w:rsidRPr="008A1DB4">
        <w:rPr>
          <w:spacing w:val="-2"/>
          <w:lang w:val="en-US"/>
        </w:rPr>
        <w:t>for the protection of human</w:t>
      </w:r>
      <w:r w:rsidR="00030FA9" w:rsidRPr="008A1DB4">
        <w:rPr>
          <w:spacing w:val="-2"/>
          <w:lang w:val="en-US"/>
        </w:rPr>
        <w:t xml:space="preserve"> rights</w:t>
      </w:r>
      <w:r w:rsidR="00470B06" w:rsidRPr="008A1DB4">
        <w:rPr>
          <w:spacing w:val="-2"/>
          <w:lang w:val="en-US"/>
        </w:rPr>
        <w:t xml:space="preserve"> </w:t>
      </w:r>
      <w:r w:rsidR="004D2183" w:rsidRPr="008A1DB4">
        <w:rPr>
          <w:spacing w:val="-2"/>
          <w:lang w:val="en-US"/>
        </w:rPr>
        <w:t xml:space="preserve">cannot exempt the State from its obligation to ensure the </w:t>
      </w:r>
      <w:r w:rsidR="00A33F97" w:rsidRPr="008A1DB4">
        <w:rPr>
          <w:spacing w:val="-2"/>
          <w:lang w:val="en-US"/>
        </w:rPr>
        <w:t>reasonable time</w:t>
      </w:r>
      <w:r w:rsidR="00470B06" w:rsidRPr="008A1DB4">
        <w:rPr>
          <w:spacing w:val="-2"/>
          <w:lang w:val="en-US"/>
        </w:rPr>
        <w:t xml:space="preserve"> </w:t>
      </w:r>
      <w:r w:rsidR="004D2183" w:rsidRPr="008A1DB4">
        <w:rPr>
          <w:spacing w:val="-2"/>
          <w:lang w:val="en-US"/>
        </w:rPr>
        <w:t xml:space="preserve">of the proceedings, or to justify their delay. However, in this case, the Court notes that </w:t>
      </w:r>
      <w:r w:rsidR="002D1CFC" w:rsidRPr="008A1DB4">
        <w:rPr>
          <w:spacing w:val="-2"/>
          <w:lang w:val="en-US"/>
        </w:rPr>
        <w:t xml:space="preserve">the </w:t>
      </w:r>
      <w:r w:rsidR="00FC5891" w:rsidRPr="008A1DB4">
        <w:rPr>
          <w:spacing w:val="-2"/>
          <w:lang w:val="en-US"/>
        </w:rPr>
        <w:t>extradition process</w:t>
      </w:r>
      <w:r w:rsidR="002D1CFC" w:rsidRPr="008A1DB4">
        <w:rPr>
          <w:spacing w:val="-2"/>
          <w:lang w:val="en-US"/>
        </w:rPr>
        <w:t xml:space="preserve"> </w:t>
      </w:r>
      <w:r w:rsidR="004D2183" w:rsidRPr="008A1DB4">
        <w:rPr>
          <w:spacing w:val="-2"/>
          <w:lang w:val="en-US"/>
        </w:rPr>
        <w:t>between</w:t>
      </w:r>
      <w:r w:rsidR="00470B06" w:rsidRPr="008A1DB4">
        <w:rPr>
          <w:spacing w:val="-2"/>
          <w:lang w:val="en-US"/>
        </w:rPr>
        <w:t xml:space="preserve"> </w:t>
      </w:r>
      <w:r w:rsidR="00FE5E87" w:rsidRPr="008A1DB4">
        <w:rPr>
          <w:spacing w:val="-2"/>
          <w:lang w:val="en-US"/>
        </w:rPr>
        <w:t>Peru</w:t>
      </w:r>
      <w:r w:rsidRPr="008A1DB4">
        <w:rPr>
          <w:spacing w:val="-2"/>
          <w:lang w:val="en-US"/>
        </w:rPr>
        <w:t xml:space="preserve"> and </w:t>
      </w:r>
      <w:r w:rsidR="00470B06" w:rsidRPr="008A1DB4">
        <w:rPr>
          <w:spacing w:val="-2"/>
          <w:lang w:val="en-US"/>
        </w:rPr>
        <w:t>China invo</w:t>
      </w:r>
      <w:r w:rsidR="004D2183" w:rsidRPr="008A1DB4">
        <w:rPr>
          <w:spacing w:val="-2"/>
          <w:lang w:val="en-US"/>
        </w:rPr>
        <w:t>lves diplomatic relations and communications between two State</w:t>
      </w:r>
      <w:r w:rsidR="00562FE4">
        <w:rPr>
          <w:spacing w:val="-2"/>
          <w:lang w:val="en-US"/>
        </w:rPr>
        <w:t>s</w:t>
      </w:r>
      <w:r w:rsidR="004D2183" w:rsidRPr="008A1DB4">
        <w:rPr>
          <w:spacing w:val="-2"/>
          <w:lang w:val="en-US"/>
        </w:rPr>
        <w:t xml:space="preserve"> with different legal systems and languages and that require the participation of numerous and different entities of both States. In addition, the absence of case law in this matter at the domestic or regional level and the diversity of remedies filed by both the presumed vic</w:t>
      </w:r>
      <w:r w:rsidR="00562FE4">
        <w:rPr>
          <w:spacing w:val="-2"/>
          <w:lang w:val="en-US"/>
        </w:rPr>
        <w:t>tim and the organs of the State</w:t>
      </w:r>
      <w:r w:rsidR="004D2183" w:rsidRPr="008A1DB4">
        <w:rPr>
          <w:spacing w:val="-2"/>
          <w:lang w:val="en-US"/>
        </w:rPr>
        <w:t xml:space="preserve"> (</w:t>
      </w:r>
      <w:r w:rsidR="004D2183" w:rsidRPr="008A1DB4">
        <w:rPr>
          <w:i/>
          <w:spacing w:val="-2"/>
          <w:lang w:val="en-US"/>
        </w:rPr>
        <w:t>infra</w:t>
      </w:r>
      <w:r w:rsidR="004D2183" w:rsidRPr="008A1DB4">
        <w:rPr>
          <w:spacing w:val="-2"/>
          <w:lang w:val="en-US"/>
        </w:rPr>
        <w:t xml:space="preserve"> B.2.b</w:t>
      </w:r>
      <w:r w:rsidR="004D2183" w:rsidRPr="008A1DB4">
        <w:rPr>
          <w:i/>
          <w:spacing w:val="-2"/>
          <w:lang w:val="en-US"/>
        </w:rPr>
        <w:t xml:space="preserve"> and </w:t>
      </w:r>
      <w:r w:rsidR="004D2183" w:rsidRPr="008A1DB4">
        <w:rPr>
          <w:spacing w:val="-2"/>
          <w:lang w:val="en-US"/>
        </w:rPr>
        <w:t>B.2.c) have contributed to make the process more complex and had an impact on prolonging it.</w:t>
      </w:r>
      <w:r w:rsidR="00470B06" w:rsidRPr="008A1DB4">
        <w:rPr>
          <w:spacing w:val="-2"/>
          <w:vertAlign w:val="superscript"/>
          <w:lang w:val="en-US"/>
        </w:rPr>
        <w:footnoteReference w:id="295"/>
      </w:r>
      <w:r w:rsidR="004D2183" w:rsidRPr="008A1DB4">
        <w:rPr>
          <w:spacing w:val="-2"/>
          <w:lang w:val="en-US"/>
        </w:rPr>
        <w:t xml:space="preserve"> Therefore, the Court recognizes that the case is complex. However, the other elements of a reasonable time must be examined to determine whether the State has complied with this guarantee. </w:t>
      </w:r>
      <w:r w:rsidR="00470B06" w:rsidRPr="008A1DB4">
        <w:rPr>
          <w:spacing w:val="-2"/>
          <w:lang w:val="en-US"/>
        </w:rPr>
        <w:t xml:space="preserve"> </w:t>
      </w:r>
    </w:p>
    <w:p w14:paraId="0FA3D06E" w14:textId="77777777" w:rsidR="00B56E36" w:rsidRPr="008A1DB4" w:rsidRDefault="00B56E36" w:rsidP="00B56E36">
      <w:pPr>
        <w:pStyle w:val="PrrafodeSentencia"/>
        <w:numPr>
          <w:ilvl w:val="0"/>
          <w:numId w:val="0"/>
        </w:numPr>
        <w:tabs>
          <w:tab w:val="left" w:pos="567"/>
        </w:tabs>
        <w:rPr>
          <w:b/>
          <w:spacing w:val="-2"/>
          <w:lang w:val="en-US"/>
        </w:rPr>
      </w:pPr>
    </w:p>
    <w:p w14:paraId="6040701F" w14:textId="23646B0F" w:rsidR="00470B06" w:rsidRPr="008A1DB4" w:rsidRDefault="001834F4" w:rsidP="00956E97">
      <w:pPr>
        <w:pStyle w:val="Heading3"/>
        <w:rPr>
          <w:b/>
          <w:spacing w:val="-2"/>
          <w:lang w:val="en-US"/>
        </w:rPr>
      </w:pPr>
      <w:bookmarkStart w:id="866" w:name="_Toc418912841"/>
      <w:bookmarkStart w:id="867" w:name="_Toc419394421"/>
      <w:bookmarkStart w:id="868" w:name="_Toc429490281"/>
      <w:bookmarkStart w:id="869" w:name="_Toc429503795"/>
      <w:bookmarkStart w:id="870" w:name="_Toc429504301"/>
      <w:bookmarkStart w:id="871" w:name="_Toc429678014"/>
      <w:bookmarkStart w:id="872" w:name="_Toc430017177"/>
      <w:bookmarkStart w:id="873" w:name="_Toc430017406"/>
      <w:bookmarkStart w:id="874" w:name="_Toc430018688"/>
      <w:bookmarkStart w:id="875" w:name="_Toc430125286"/>
      <w:bookmarkStart w:id="876" w:name="_Toc430125394"/>
      <w:r w:rsidRPr="008A1DB4">
        <w:rPr>
          <w:spacing w:val="-2"/>
          <w:lang w:val="en-US"/>
        </w:rPr>
        <w:t>B.</w:t>
      </w:r>
      <w:r w:rsidR="00107399" w:rsidRPr="008A1DB4">
        <w:rPr>
          <w:spacing w:val="-2"/>
          <w:lang w:val="en-US"/>
        </w:rPr>
        <w:t>2</w:t>
      </w:r>
      <w:r w:rsidRPr="008A1DB4">
        <w:rPr>
          <w:spacing w:val="-2"/>
          <w:lang w:val="en-US"/>
        </w:rPr>
        <w:t>.b</w:t>
      </w:r>
      <w:r w:rsidR="00470B06" w:rsidRPr="008A1DB4">
        <w:rPr>
          <w:spacing w:val="-2"/>
          <w:lang w:val="en-US"/>
        </w:rPr>
        <w:t xml:space="preserve">) </w:t>
      </w:r>
      <w:r w:rsidR="004D2183" w:rsidRPr="008A1DB4">
        <w:rPr>
          <w:spacing w:val="-2"/>
          <w:lang w:val="en-US"/>
        </w:rPr>
        <w:t>Procedural activity of the interested party</w:t>
      </w:r>
      <w:bookmarkEnd w:id="866"/>
      <w:bookmarkEnd w:id="867"/>
      <w:bookmarkEnd w:id="868"/>
      <w:bookmarkEnd w:id="869"/>
      <w:bookmarkEnd w:id="870"/>
      <w:bookmarkEnd w:id="871"/>
      <w:bookmarkEnd w:id="872"/>
      <w:bookmarkEnd w:id="873"/>
      <w:bookmarkEnd w:id="874"/>
      <w:bookmarkEnd w:id="875"/>
      <w:bookmarkEnd w:id="876"/>
    </w:p>
    <w:p w14:paraId="231A4B93" w14:textId="77777777" w:rsidR="00470B06" w:rsidRPr="008A1DB4" w:rsidRDefault="00470B06" w:rsidP="00956E97">
      <w:pPr>
        <w:tabs>
          <w:tab w:val="left" w:pos="567"/>
        </w:tabs>
        <w:rPr>
          <w:b/>
          <w:spacing w:val="-2"/>
          <w:lang w:val="en-US"/>
        </w:rPr>
      </w:pPr>
    </w:p>
    <w:p w14:paraId="42D218F9" w14:textId="552B8B26" w:rsidR="00470B06" w:rsidRPr="008A1DB4" w:rsidRDefault="00F36400" w:rsidP="00956E97">
      <w:pPr>
        <w:pStyle w:val="PrrafodeSentencia"/>
        <w:rPr>
          <w:b/>
          <w:spacing w:val="-2"/>
          <w:lang w:val="en-US"/>
        </w:rPr>
      </w:pPr>
      <w:r w:rsidRPr="0079515C">
        <w:rPr>
          <w:spacing w:val="-2"/>
          <w:lang w:val="en-US"/>
        </w:rPr>
        <w:lastRenderedPageBreak/>
        <w:t>The Court</w:t>
      </w:r>
      <w:r w:rsidR="00C01BD1" w:rsidRPr="0079515C">
        <w:rPr>
          <w:spacing w:val="-2"/>
          <w:lang w:val="en-US"/>
        </w:rPr>
        <w:t xml:space="preserve"> observes that the case file does not reveal that, during</w:t>
      </w:r>
      <w:r w:rsidR="00671326" w:rsidRPr="0079515C">
        <w:rPr>
          <w:spacing w:val="-2"/>
          <w:lang w:val="en-US"/>
        </w:rPr>
        <w:t xml:space="preserve"> the </w:t>
      </w:r>
      <w:r w:rsidR="00FC5891" w:rsidRPr="0079515C">
        <w:rPr>
          <w:spacing w:val="-2"/>
          <w:lang w:val="en-US"/>
        </w:rPr>
        <w:t>extradition process</w:t>
      </w:r>
      <w:r w:rsidR="00C01BD1" w:rsidRPr="0079515C">
        <w:rPr>
          <w:spacing w:val="-2"/>
          <w:lang w:val="en-US"/>
        </w:rPr>
        <w:t>,</w:t>
      </w:r>
      <w:r w:rsidR="00470B06" w:rsidRPr="0079515C">
        <w:rPr>
          <w:spacing w:val="-2"/>
          <w:lang w:val="en-US"/>
        </w:rPr>
        <w:t xml:space="preserve"> </w:t>
      </w:r>
      <w:r w:rsidR="001E7113" w:rsidRPr="0079515C">
        <w:rPr>
          <w:spacing w:val="-2"/>
          <w:lang w:val="en-US"/>
        </w:rPr>
        <w:t>Wong</w:t>
      </w:r>
      <w:r w:rsidR="00470B06" w:rsidRPr="008A1DB4">
        <w:rPr>
          <w:spacing w:val="-2"/>
          <w:lang w:val="en-US"/>
        </w:rPr>
        <w:t xml:space="preserve"> Ho Wing o</w:t>
      </w:r>
      <w:r w:rsidR="00C01BD1" w:rsidRPr="008A1DB4">
        <w:rPr>
          <w:spacing w:val="-2"/>
          <w:lang w:val="en-US"/>
        </w:rPr>
        <w:t>r</w:t>
      </w:r>
      <w:r w:rsidR="00470B06" w:rsidRPr="008A1DB4">
        <w:rPr>
          <w:spacing w:val="-2"/>
          <w:lang w:val="en-US"/>
        </w:rPr>
        <w:t xml:space="preserve"> </w:t>
      </w:r>
      <w:r w:rsidR="008601B6" w:rsidRPr="008A1DB4">
        <w:rPr>
          <w:spacing w:val="-2"/>
          <w:lang w:val="en-US"/>
        </w:rPr>
        <w:t>his representative</w:t>
      </w:r>
      <w:r w:rsidR="00470B06" w:rsidRPr="008A1DB4">
        <w:rPr>
          <w:spacing w:val="-2"/>
          <w:lang w:val="en-US"/>
        </w:rPr>
        <w:t xml:space="preserve"> </w:t>
      </w:r>
      <w:r w:rsidR="00C01BD1" w:rsidRPr="008A1DB4">
        <w:rPr>
          <w:spacing w:val="-2"/>
          <w:lang w:val="en-US"/>
        </w:rPr>
        <w:t xml:space="preserve">failed to comply with any </w:t>
      </w:r>
      <w:r w:rsidR="00562FE4">
        <w:rPr>
          <w:spacing w:val="-2"/>
          <w:lang w:val="en-US"/>
        </w:rPr>
        <w:t>deadline</w:t>
      </w:r>
      <w:r w:rsidR="00C01BD1" w:rsidRPr="008A1DB4">
        <w:rPr>
          <w:spacing w:val="-2"/>
          <w:lang w:val="en-US"/>
        </w:rPr>
        <w:t xml:space="preserve"> that could have delayed the proceedings. The</w:t>
      </w:r>
      <w:r w:rsidR="00C45946" w:rsidRPr="008A1DB4">
        <w:rPr>
          <w:spacing w:val="-2"/>
          <w:lang w:val="en-US"/>
        </w:rPr>
        <w:t xml:space="preserve"> representative</w:t>
      </w:r>
      <w:r w:rsidR="00470B06" w:rsidRPr="008A1DB4">
        <w:rPr>
          <w:spacing w:val="-2"/>
          <w:lang w:val="en-US"/>
        </w:rPr>
        <w:t xml:space="preserve"> </w:t>
      </w:r>
      <w:r w:rsidR="00C01BD1" w:rsidRPr="008A1DB4">
        <w:rPr>
          <w:spacing w:val="-2"/>
          <w:lang w:val="en-US"/>
        </w:rPr>
        <w:t>has filed six applications for</w:t>
      </w:r>
      <w:r w:rsidR="00470B06" w:rsidRPr="008A1DB4">
        <w:rPr>
          <w:spacing w:val="-2"/>
          <w:lang w:val="en-US"/>
        </w:rPr>
        <w:t xml:space="preserve"> </w:t>
      </w:r>
      <w:r w:rsidR="00E022F9" w:rsidRPr="008A1DB4">
        <w:rPr>
          <w:i/>
          <w:spacing w:val="-2"/>
          <w:lang w:val="en-US"/>
        </w:rPr>
        <w:t>habeas corpus</w:t>
      </w:r>
      <w:r w:rsidR="00C01BD1" w:rsidRPr="008A1DB4">
        <w:rPr>
          <w:i/>
          <w:spacing w:val="-2"/>
          <w:lang w:val="en-US"/>
        </w:rPr>
        <w:t xml:space="preserve">; </w:t>
      </w:r>
      <w:r w:rsidR="00C01BD1" w:rsidRPr="008A1DB4">
        <w:rPr>
          <w:spacing w:val="-2"/>
          <w:lang w:val="en-US"/>
        </w:rPr>
        <w:t>however,</w:t>
      </w:r>
      <w:r w:rsidR="00470B06" w:rsidRPr="008A1DB4">
        <w:rPr>
          <w:i/>
          <w:spacing w:val="-2"/>
          <w:lang w:val="en-US"/>
        </w:rPr>
        <w:t xml:space="preserve"> </w:t>
      </w:r>
      <w:r w:rsidR="00C01BD1" w:rsidRPr="008A1DB4">
        <w:rPr>
          <w:spacing w:val="-2"/>
          <w:lang w:val="en-US"/>
        </w:rPr>
        <w:t xml:space="preserve">in this regard, it should be stressed that </w:t>
      </w:r>
      <w:r w:rsidRPr="008A1DB4">
        <w:rPr>
          <w:spacing w:val="-2"/>
          <w:lang w:val="en-US"/>
        </w:rPr>
        <w:t>the presumed victim</w:t>
      </w:r>
      <w:r w:rsidR="00470B06" w:rsidRPr="008A1DB4">
        <w:rPr>
          <w:spacing w:val="-2"/>
          <w:lang w:val="en-US"/>
        </w:rPr>
        <w:t xml:space="preserve"> </w:t>
      </w:r>
      <w:r w:rsidR="00C01BD1" w:rsidRPr="008A1DB4">
        <w:rPr>
          <w:spacing w:val="-2"/>
          <w:lang w:val="en-US"/>
        </w:rPr>
        <w:t xml:space="preserve">was making use of judicial remedies established by the laws applicable to the defense of his rights, which </w:t>
      </w:r>
      <w:r w:rsidR="00470B06" w:rsidRPr="008A1DB4">
        <w:rPr>
          <w:i/>
          <w:iCs/>
          <w:spacing w:val="-2"/>
          <w:lang w:val="en-US"/>
        </w:rPr>
        <w:t xml:space="preserve">per se </w:t>
      </w:r>
      <w:r w:rsidR="00C01BD1" w:rsidRPr="008A1DB4">
        <w:rPr>
          <w:spacing w:val="-2"/>
          <w:lang w:val="en-US"/>
        </w:rPr>
        <w:t>cannot be used against him.</w:t>
      </w:r>
      <w:r w:rsidR="00470B06" w:rsidRPr="008A1DB4">
        <w:rPr>
          <w:spacing w:val="-2"/>
          <w:vertAlign w:val="superscript"/>
          <w:lang w:val="en-US"/>
        </w:rPr>
        <w:footnoteReference w:id="296"/>
      </w:r>
      <w:r w:rsidR="00C01BD1" w:rsidRPr="008A1DB4">
        <w:rPr>
          <w:spacing w:val="-2"/>
          <w:lang w:val="en-US"/>
        </w:rPr>
        <w:t xml:space="preserve"> In this regard, this Court has considered that the filing of remedies is an objective factor that should not be attributed to either</w:t>
      </w:r>
      <w:r w:rsidR="00470B06" w:rsidRPr="008A1DB4">
        <w:rPr>
          <w:spacing w:val="-2"/>
          <w:lang w:val="en-US"/>
        </w:rPr>
        <w:t xml:space="preserve"> </w:t>
      </w:r>
      <w:r w:rsidRPr="008A1DB4">
        <w:rPr>
          <w:spacing w:val="-2"/>
          <w:lang w:val="en-US"/>
        </w:rPr>
        <w:t>the presumed victim</w:t>
      </w:r>
      <w:r w:rsidR="00470B06" w:rsidRPr="008A1DB4">
        <w:rPr>
          <w:spacing w:val="-2"/>
          <w:lang w:val="en-US"/>
        </w:rPr>
        <w:t xml:space="preserve"> </w:t>
      </w:r>
      <w:r w:rsidR="00C01BD1" w:rsidRPr="008A1DB4">
        <w:rPr>
          <w:spacing w:val="-2"/>
          <w:lang w:val="en-US"/>
        </w:rPr>
        <w:t xml:space="preserve">or to the </w:t>
      </w:r>
      <w:proofErr w:type="gramStart"/>
      <w:r w:rsidR="00C01BD1" w:rsidRPr="008A1DB4">
        <w:rPr>
          <w:spacing w:val="-2"/>
          <w:lang w:val="en-US"/>
        </w:rPr>
        <w:t>defendant</w:t>
      </w:r>
      <w:proofErr w:type="gramEnd"/>
      <w:r w:rsidR="00C01BD1" w:rsidRPr="008A1DB4">
        <w:rPr>
          <w:spacing w:val="-2"/>
          <w:lang w:val="en-US"/>
        </w:rPr>
        <w:t xml:space="preserve"> State, but should be taken into account as an objective element when determining whether the duration of the proceedings exceeded a </w:t>
      </w:r>
      <w:r w:rsidR="00A33F97" w:rsidRPr="008A1DB4">
        <w:rPr>
          <w:spacing w:val="-2"/>
          <w:lang w:val="en-US"/>
        </w:rPr>
        <w:t>reasonable time</w:t>
      </w:r>
      <w:r w:rsidR="00C01BD1" w:rsidRPr="008A1DB4">
        <w:rPr>
          <w:spacing w:val="-2"/>
          <w:lang w:val="en-US"/>
        </w:rPr>
        <w:t>.</w:t>
      </w:r>
      <w:r w:rsidR="00470B06" w:rsidRPr="008A1DB4">
        <w:rPr>
          <w:spacing w:val="-2"/>
          <w:vertAlign w:val="superscript"/>
          <w:lang w:val="en-US"/>
        </w:rPr>
        <w:footnoteReference w:id="297"/>
      </w:r>
      <w:r w:rsidR="00C01BD1" w:rsidRPr="008A1DB4">
        <w:rPr>
          <w:spacing w:val="-2"/>
          <w:lang w:val="en-US"/>
        </w:rPr>
        <w:t xml:space="preserve"> Also, following the </w:t>
      </w:r>
      <w:r w:rsidR="00B43F84" w:rsidRPr="008A1DB4">
        <w:rPr>
          <w:spacing w:val="-2"/>
          <w:lang w:val="en-US"/>
        </w:rPr>
        <w:t>Constitutional Court</w:t>
      </w:r>
      <w:r w:rsidR="00C01BD1" w:rsidRPr="008A1DB4">
        <w:rPr>
          <w:spacing w:val="-2"/>
          <w:lang w:val="en-US"/>
        </w:rPr>
        <w:t xml:space="preserve">’s </w:t>
      </w:r>
      <w:r w:rsidR="0079515C" w:rsidRPr="008A1DB4">
        <w:rPr>
          <w:spacing w:val="-2"/>
          <w:lang w:val="en-US"/>
        </w:rPr>
        <w:t>decision</w:t>
      </w:r>
      <w:r w:rsidR="00C01BD1" w:rsidRPr="008A1DB4">
        <w:rPr>
          <w:spacing w:val="-2"/>
          <w:lang w:val="en-US"/>
        </w:rPr>
        <w:t xml:space="preserve">, most of the briefs and remedies filed by </w:t>
      </w:r>
      <w:r w:rsidR="00C45946" w:rsidRPr="008A1DB4">
        <w:rPr>
          <w:spacing w:val="-2"/>
          <w:lang w:val="en-US"/>
        </w:rPr>
        <w:t>the representative</w:t>
      </w:r>
      <w:r w:rsidR="00C01BD1" w:rsidRPr="008A1DB4">
        <w:rPr>
          <w:spacing w:val="-2"/>
          <w:lang w:val="en-US"/>
        </w:rPr>
        <w:t xml:space="preserve"> have sought the rapid resolution</w:t>
      </w:r>
      <w:r w:rsidR="00470B06" w:rsidRPr="008A1DB4">
        <w:rPr>
          <w:spacing w:val="-2"/>
          <w:lang w:val="en-US"/>
        </w:rPr>
        <w:t xml:space="preserve"> </w:t>
      </w:r>
      <w:r w:rsidR="00C01BD1" w:rsidRPr="008A1DB4">
        <w:rPr>
          <w:spacing w:val="-2"/>
          <w:lang w:val="en-US"/>
        </w:rPr>
        <w:t>of the proceedings, requesting the adoption of a final decision.</w:t>
      </w:r>
    </w:p>
    <w:p w14:paraId="1114E8BE" w14:textId="77777777" w:rsidR="00470B06" w:rsidRPr="008A1DB4" w:rsidRDefault="00470B06" w:rsidP="00956E97">
      <w:pPr>
        <w:tabs>
          <w:tab w:val="left" w:pos="567"/>
        </w:tabs>
        <w:rPr>
          <w:b/>
          <w:spacing w:val="-2"/>
          <w:lang w:val="en-US"/>
        </w:rPr>
      </w:pPr>
    </w:p>
    <w:p w14:paraId="6A318428" w14:textId="5FB5A06A" w:rsidR="00470B06" w:rsidRPr="008A1DB4" w:rsidRDefault="00C01BD1" w:rsidP="00956E97">
      <w:pPr>
        <w:pStyle w:val="PrrafodeSentencia"/>
        <w:rPr>
          <w:b/>
          <w:spacing w:val="-2"/>
          <w:lang w:val="en-US"/>
        </w:rPr>
      </w:pPr>
      <w:r w:rsidRPr="008A1DB4">
        <w:rPr>
          <w:spacing w:val="-2"/>
          <w:lang w:val="en-US"/>
        </w:rPr>
        <w:t xml:space="preserve">Additionally, </w:t>
      </w:r>
      <w:r w:rsidR="00562FE4">
        <w:rPr>
          <w:spacing w:val="-2"/>
          <w:lang w:val="en-US"/>
        </w:rPr>
        <w:t xml:space="preserve">none of </w:t>
      </w:r>
      <w:r w:rsidRPr="008A1DB4">
        <w:rPr>
          <w:spacing w:val="-2"/>
          <w:lang w:val="en-US"/>
        </w:rPr>
        <w:t xml:space="preserve">the applications for </w:t>
      </w:r>
      <w:r w:rsidR="00E022F9" w:rsidRPr="008A1DB4">
        <w:rPr>
          <w:i/>
          <w:spacing w:val="-2"/>
          <w:lang w:val="en-US"/>
        </w:rPr>
        <w:t>habeas corpus</w:t>
      </w:r>
      <w:r w:rsidR="00470B06" w:rsidRPr="008A1DB4">
        <w:rPr>
          <w:i/>
          <w:spacing w:val="-2"/>
          <w:lang w:val="en-US"/>
        </w:rPr>
        <w:t xml:space="preserve"> </w:t>
      </w:r>
      <w:r w:rsidR="00562FE4">
        <w:rPr>
          <w:spacing w:val="-2"/>
          <w:lang w:val="en-US"/>
        </w:rPr>
        <w:t>had</w:t>
      </w:r>
      <w:r w:rsidRPr="008A1DB4">
        <w:rPr>
          <w:spacing w:val="-2"/>
          <w:lang w:val="en-US"/>
        </w:rPr>
        <w:t xml:space="preserve"> </w:t>
      </w:r>
      <w:proofErr w:type="spellStart"/>
      <w:r w:rsidRPr="008A1DB4">
        <w:rPr>
          <w:spacing w:val="-2"/>
          <w:lang w:val="en-US"/>
        </w:rPr>
        <w:t>suspensive</w:t>
      </w:r>
      <w:proofErr w:type="spellEnd"/>
      <w:r w:rsidRPr="008A1DB4">
        <w:rPr>
          <w:spacing w:val="-2"/>
          <w:lang w:val="en-US"/>
        </w:rPr>
        <w:t xml:space="preserve"> effects on </w:t>
      </w:r>
      <w:r w:rsidR="00FC5891" w:rsidRPr="008A1DB4">
        <w:rPr>
          <w:spacing w:val="-2"/>
          <w:lang w:val="en-US"/>
        </w:rPr>
        <w:t>the extradition process</w:t>
      </w:r>
      <w:r w:rsidR="00470B06" w:rsidRPr="008A1DB4">
        <w:rPr>
          <w:spacing w:val="-2"/>
          <w:lang w:val="en-US"/>
        </w:rPr>
        <w:t xml:space="preserve">, </w:t>
      </w:r>
      <w:r w:rsidR="00562FE4">
        <w:rPr>
          <w:spacing w:val="-2"/>
          <w:lang w:val="en-US"/>
        </w:rPr>
        <w:t>except t</w:t>
      </w:r>
      <w:r w:rsidRPr="008A1DB4">
        <w:rPr>
          <w:spacing w:val="-2"/>
          <w:lang w:val="en-US"/>
        </w:rPr>
        <w:t xml:space="preserve">he first application, where the court concerned ordered the suspension “of the processing </w:t>
      </w:r>
      <w:r w:rsidR="00671326" w:rsidRPr="008A1DB4">
        <w:rPr>
          <w:spacing w:val="-2"/>
          <w:lang w:val="en-US"/>
        </w:rPr>
        <w:t xml:space="preserve">of the </w:t>
      </w:r>
      <w:r w:rsidR="00562FE4">
        <w:rPr>
          <w:spacing w:val="-2"/>
          <w:lang w:val="en-US"/>
        </w:rPr>
        <w:t>extradition</w:t>
      </w:r>
      <w:r w:rsidRPr="008A1DB4">
        <w:rPr>
          <w:spacing w:val="-2"/>
          <w:lang w:val="en-US"/>
        </w:rPr>
        <w:t xml:space="preserve">” from </w:t>
      </w:r>
      <w:r w:rsidR="00E022F9" w:rsidRPr="008A1DB4">
        <w:rPr>
          <w:spacing w:val="-2"/>
          <w:lang w:val="en-US"/>
        </w:rPr>
        <w:t xml:space="preserve">February </w:t>
      </w:r>
      <w:r w:rsidRPr="008A1DB4">
        <w:rPr>
          <w:spacing w:val="-2"/>
          <w:lang w:val="en-US"/>
        </w:rPr>
        <w:t>1</w:t>
      </w:r>
      <w:r w:rsidR="00E022F9" w:rsidRPr="008A1DB4">
        <w:rPr>
          <w:spacing w:val="-2"/>
          <w:lang w:val="en-US"/>
        </w:rPr>
        <w:t>2,</w:t>
      </w:r>
      <w:r w:rsidR="00470B06" w:rsidRPr="008A1DB4">
        <w:rPr>
          <w:spacing w:val="-2"/>
          <w:lang w:val="en-US"/>
        </w:rPr>
        <w:t xml:space="preserve"> 2009, </w:t>
      </w:r>
      <w:r w:rsidRPr="008A1DB4">
        <w:rPr>
          <w:spacing w:val="-2"/>
          <w:lang w:val="en-US"/>
        </w:rPr>
        <w:t>to</w:t>
      </w:r>
      <w:r w:rsidR="00E022F9" w:rsidRPr="008A1DB4">
        <w:rPr>
          <w:spacing w:val="-2"/>
          <w:lang w:val="en-US"/>
        </w:rPr>
        <w:t xml:space="preserve"> April 24,</w:t>
      </w:r>
      <w:r w:rsidR="00470B06" w:rsidRPr="008A1DB4">
        <w:rPr>
          <w:spacing w:val="-2"/>
          <w:lang w:val="en-US"/>
        </w:rPr>
        <w:t xml:space="preserve"> 2009</w:t>
      </w:r>
      <w:r w:rsidR="00562FE4">
        <w:rPr>
          <w:spacing w:val="-2"/>
          <w:lang w:val="en-US"/>
        </w:rPr>
        <w:t>,</w:t>
      </w:r>
      <w:r w:rsidR="00470B06" w:rsidRPr="008A1DB4">
        <w:rPr>
          <w:spacing w:val="-2"/>
          <w:lang w:val="en-US"/>
        </w:rPr>
        <w:t xml:space="preserve"> </w:t>
      </w:r>
      <w:r w:rsidRPr="008A1DB4">
        <w:rPr>
          <w:spacing w:val="-2"/>
          <w:lang w:val="en-US"/>
        </w:rPr>
        <w:t xml:space="preserve">when it annulled this suspension </w:t>
      </w:r>
      <w:r w:rsidR="00470B06" w:rsidRPr="008A1DB4">
        <w:rPr>
          <w:spacing w:val="-2"/>
          <w:lang w:val="en-US"/>
        </w:rPr>
        <w:t>(</w:t>
      </w:r>
      <w:r w:rsidR="00470B06" w:rsidRPr="008A1DB4">
        <w:rPr>
          <w:i/>
          <w:spacing w:val="-2"/>
          <w:lang w:val="en-US"/>
        </w:rPr>
        <w:t xml:space="preserve">supra </w:t>
      </w:r>
      <w:r w:rsidR="00C45946" w:rsidRPr="008A1DB4">
        <w:rPr>
          <w:spacing w:val="-2"/>
          <w:lang w:val="en-US"/>
        </w:rPr>
        <w:t xml:space="preserve">para. </w:t>
      </w:r>
      <w:r w:rsidR="00380714" w:rsidRPr="008A1DB4">
        <w:rPr>
          <w:spacing w:val="-2"/>
          <w:lang w:val="en-US"/>
        </w:rPr>
        <w:fldChar w:fldCharType="begin"/>
      </w:r>
      <w:r w:rsidR="00380714" w:rsidRPr="008A1DB4">
        <w:rPr>
          <w:spacing w:val="-2"/>
          <w:lang w:val="en-US"/>
        </w:rPr>
        <w:instrText xml:space="preserve"> REF _Ref429400075 \r \h </w:instrText>
      </w:r>
      <w:r w:rsidR="00DC41F4" w:rsidRPr="008A1DB4">
        <w:rPr>
          <w:spacing w:val="-2"/>
          <w:lang w:val="en-US"/>
        </w:rPr>
        <w:instrText xml:space="preserve"> \* MERGEFORMAT </w:instrText>
      </w:r>
      <w:r w:rsidR="00380714" w:rsidRPr="008A1DB4">
        <w:rPr>
          <w:spacing w:val="-2"/>
          <w:lang w:val="en-US"/>
        </w:rPr>
      </w:r>
      <w:r w:rsidR="00380714" w:rsidRPr="008A1DB4">
        <w:rPr>
          <w:spacing w:val="-2"/>
          <w:lang w:val="en-US"/>
        </w:rPr>
        <w:fldChar w:fldCharType="separate"/>
      </w:r>
      <w:r w:rsidR="00E961FA" w:rsidRPr="008A1DB4">
        <w:rPr>
          <w:spacing w:val="-2"/>
          <w:lang w:val="en-US"/>
        </w:rPr>
        <w:t>68</w:t>
      </w:r>
      <w:r w:rsidR="00380714" w:rsidRPr="008A1DB4">
        <w:rPr>
          <w:spacing w:val="-2"/>
          <w:lang w:val="en-US"/>
        </w:rPr>
        <w:fldChar w:fldCharType="end"/>
      </w:r>
      <w:r w:rsidR="00470B06" w:rsidRPr="008A1DB4">
        <w:rPr>
          <w:spacing w:val="-2"/>
          <w:lang w:val="en-US"/>
        </w:rPr>
        <w:t xml:space="preserve">). </w:t>
      </w:r>
      <w:r w:rsidRPr="008A1DB4">
        <w:rPr>
          <w:spacing w:val="-2"/>
          <w:lang w:val="en-US"/>
        </w:rPr>
        <w:t xml:space="preserve">This period during which the proceedings were suspended will not be taken into account when determining whether </w:t>
      </w:r>
      <w:r w:rsidR="00E740D4" w:rsidRPr="008A1DB4">
        <w:rPr>
          <w:spacing w:val="-2"/>
          <w:lang w:val="en-US"/>
        </w:rPr>
        <w:t>the duration of the</w:t>
      </w:r>
      <w:r w:rsidR="00671326" w:rsidRPr="008A1DB4">
        <w:rPr>
          <w:spacing w:val="-2"/>
          <w:lang w:val="en-US"/>
        </w:rPr>
        <w:t xml:space="preserve"> </w:t>
      </w:r>
      <w:r w:rsidR="00FC5891" w:rsidRPr="008A1DB4">
        <w:rPr>
          <w:spacing w:val="-2"/>
          <w:lang w:val="en-US"/>
        </w:rPr>
        <w:t>extradition process</w:t>
      </w:r>
      <w:r w:rsidR="00470B06" w:rsidRPr="008A1DB4">
        <w:rPr>
          <w:spacing w:val="-2"/>
          <w:lang w:val="en-US"/>
        </w:rPr>
        <w:t xml:space="preserve"> </w:t>
      </w:r>
      <w:r w:rsidRPr="008A1DB4">
        <w:rPr>
          <w:spacing w:val="-2"/>
          <w:lang w:val="en-US"/>
        </w:rPr>
        <w:t>was reasonable</w:t>
      </w:r>
      <w:r w:rsidR="00470B06" w:rsidRPr="008A1DB4">
        <w:rPr>
          <w:spacing w:val="-2"/>
          <w:lang w:val="en-US"/>
        </w:rPr>
        <w:t>.</w:t>
      </w:r>
    </w:p>
    <w:p w14:paraId="08A7E925" w14:textId="77777777" w:rsidR="00470B06" w:rsidRPr="008A1DB4" w:rsidRDefault="00470B06" w:rsidP="00956E97">
      <w:pPr>
        <w:rPr>
          <w:b/>
          <w:spacing w:val="-2"/>
          <w:lang w:val="en-US"/>
        </w:rPr>
      </w:pPr>
    </w:p>
    <w:p w14:paraId="2CA7F886" w14:textId="51BDBFA7" w:rsidR="00470B06" w:rsidRPr="008A1DB4" w:rsidRDefault="00C01BD1" w:rsidP="00956E97">
      <w:pPr>
        <w:pStyle w:val="PrrafodeSentencia"/>
        <w:rPr>
          <w:b/>
          <w:spacing w:val="-2"/>
          <w:lang w:val="en-US"/>
        </w:rPr>
      </w:pPr>
      <w:r w:rsidRPr="008A1DB4">
        <w:rPr>
          <w:spacing w:val="-2"/>
          <w:lang w:val="en-US"/>
        </w:rPr>
        <w:t xml:space="preserve">The State referred to actions taken before </w:t>
      </w:r>
      <w:r w:rsidR="004D2183" w:rsidRPr="008A1DB4">
        <w:rPr>
          <w:spacing w:val="-2"/>
          <w:lang w:val="en-US"/>
        </w:rPr>
        <w:t>the inter-American system</w:t>
      </w:r>
      <w:r w:rsidR="00F36400" w:rsidRPr="008A1DB4">
        <w:rPr>
          <w:spacing w:val="-2"/>
          <w:lang w:val="en-US"/>
        </w:rPr>
        <w:t xml:space="preserve"> and</w:t>
      </w:r>
      <w:r w:rsidRPr="008A1DB4">
        <w:rPr>
          <w:spacing w:val="-2"/>
          <w:lang w:val="en-US"/>
        </w:rPr>
        <w:t xml:space="preserve"> the fact that the</w:t>
      </w:r>
      <w:r w:rsidR="00470B06" w:rsidRPr="008A1DB4">
        <w:rPr>
          <w:spacing w:val="-2"/>
          <w:lang w:val="en-US"/>
        </w:rPr>
        <w:t xml:space="preserve"> </w:t>
      </w:r>
      <w:r w:rsidR="00C45946" w:rsidRPr="008A1DB4">
        <w:rPr>
          <w:spacing w:val="-2"/>
          <w:lang w:val="en-US"/>
        </w:rPr>
        <w:t>provisional measures</w:t>
      </w:r>
      <w:r w:rsidR="00470B06" w:rsidRPr="008A1DB4">
        <w:rPr>
          <w:spacing w:val="-2"/>
          <w:lang w:val="en-US"/>
        </w:rPr>
        <w:t xml:space="preserve"> </w:t>
      </w:r>
      <w:r w:rsidRPr="008A1DB4">
        <w:rPr>
          <w:spacing w:val="-2"/>
          <w:lang w:val="en-US"/>
        </w:rPr>
        <w:t xml:space="preserve">were in force as one of the factors that affected the prolongation of the process </w:t>
      </w:r>
      <w:r w:rsidR="00470B06" w:rsidRPr="008A1DB4">
        <w:rPr>
          <w:spacing w:val="-2"/>
          <w:lang w:val="en-US"/>
        </w:rPr>
        <w:t>(</w:t>
      </w:r>
      <w:r w:rsidR="00470B06" w:rsidRPr="008A1DB4">
        <w:rPr>
          <w:i/>
          <w:spacing w:val="-2"/>
          <w:lang w:val="en-US"/>
        </w:rPr>
        <w:t xml:space="preserve">supra </w:t>
      </w:r>
      <w:r w:rsidR="00C45946" w:rsidRPr="008A1DB4">
        <w:rPr>
          <w:spacing w:val="-2"/>
          <w:lang w:val="en-US"/>
        </w:rPr>
        <w:t xml:space="preserve">para. </w:t>
      </w:r>
      <w:r w:rsidR="007B514E" w:rsidRPr="008A1DB4">
        <w:rPr>
          <w:spacing w:val="-2"/>
          <w:lang w:val="en-US"/>
        </w:rPr>
        <w:fldChar w:fldCharType="begin"/>
      </w:r>
      <w:r w:rsidR="007B514E" w:rsidRPr="008A1DB4">
        <w:rPr>
          <w:spacing w:val="-2"/>
          <w:lang w:val="en-US"/>
        </w:rPr>
        <w:instrText xml:space="preserve"> REF _Ref429400134 \r \h </w:instrText>
      </w:r>
      <w:r w:rsidR="00DC41F4" w:rsidRPr="008A1DB4">
        <w:rPr>
          <w:spacing w:val="-2"/>
          <w:lang w:val="en-US"/>
        </w:rPr>
        <w:instrText xml:space="preserve"> \* MERGEFORMAT </w:instrText>
      </w:r>
      <w:r w:rsidR="007B514E" w:rsidRPr="008A1DB4">
        <w:rPr>
          <w:spacing w:val="-2"/>
          <w:lang w:val="en-US"/>
        </w:rPr>
      </w:r>
      <w:r w:rsidR="007B514E" w:rsidRPr="008A1DB4">
        <w:rPr>
          <w:spacing w:val="-2"/>
          <w:lang w:val="en-US"/>
        </w:rPr>
        <w:fldChar w:fldCharType="separate"/>
      </w:r>
      <w:r w:rsidR="00E961FA" w:rsidRPr="008A1DB4">
        <w:rPr>
          <w:spacing w:val="-2"/>
          <w:lang w:val="en-US"/>
        </w:rPr>
        <w:t>192</w:t>
      </w:r>
      <w:r w:rsidR="007B514E" w:rsidRPr="008A1DB4">
        <w:rPr>
          <w:spacing w:val="-2"/>
          <w:lang w:val="en-US"/>
        </w:rPr>
        <w:fldChar w:fldCharType="end"/>
      </w:r>
      <w:r w:rsidR="00470B06" w:rsidRPr="008A1DB4">
        <w:rPr>
          <w:spacing w:val="-2"/>
          <w:lang w:val="en-US"/>
        </w:rPr>
        <w:t xml:space="preserve">). </w:t>
      </w:r>
      <w:r w:rsidRPr="008A1DB4">
        <w:rPr>
          <w:spacing w:val="-2"/>
          <w:lang w:val="en-US"/>
        </w:rPr>
        <w:t xml:space="preserve">In this regard, the Court notes that, </w:t>
      </w:r>
      <w:r w:rsidR="00562FE4">
        <w:rPr>
          <w:spacing w:val="-2"/>
          <w:lang w:val="en-US"/>
        </w:rPr>
        <w:t>under</w:t>
      </w:r>
      <w:r w:rsidRPr="008A1DB4">
        <w:rPr>
          <w:spacing w:val="-2"/>
          <w:lang w:val="en-US"/>
        </w:rPr>
        <w:t xml:space="preserve"> the</w:t>
      </w:r>
      <w:r w:rsidR="00470B06" w:rsidRPr="008A1DB4">
        <w:rPr>
          <w:spacing w:val="-2"/>
          <w:lang w:val="en-US"/>
        </w:rPr>
        <w:t xml:space="preserve"> </w:t>
      </w:r>
      <w:r w:rsidR="00C45946" w:rsidRPr="008A1DB4">
        <w:rPr>
          <w:spacing w:val="-2"/>
          <w:lang w:val="en-US"/>
        </w:rPr>
        <w:t>provisional measures</w:t>
      </w:r>
      <w:r w:rsidRPr="008A1DB4">
        <w:rPr>
          <w:spacing w:val="-2"/>
          <w:lang w:val="en-US"/>
        </w:rPr>
        <w:t xml:space="preserve">, it had ordered the State to “refrain from extraditing </w:t>
      </w:r>
      <w:r w:rsidR="00B43F84" w:rsidRPr="008A1DB4">
        <w:rPr>
          <w:spacing w:val="-2"/>
          <w:lang w:val="en-US"/>
        </w:rPr>
        <w:t>Wong</w:t>
      </w:r>
      <w:r w:rsidR="00470B06" w:rsidRPr="008A1DB4">
        <w:rPr>
          <w:spacing w:val="-2"/>
          <w:lang w:val="en-US"/>
        </w:rPr>
        <w:t xml:space="preserve"> Ho Wing” </w:t>
      </w:r>
      <w:r w:rsidRPr="008A1DB4">
        <w:rPr>
          <w:spacing w:val="-2"/>
          <w:lang w:val="en-US"/>
        </w:rPr>
        <w:t>until the case had been decided by the</w:t>
      </w:r>
      <w:r w:rsidR="00F36400" w:rsidRPr="008A1DB4">
        <w:rPr>
          <w:spacing w:val="-2"/>
          <w:lang w:val="en-US"/>
        </w:rPr>
        <w:t xml:space="preserve"> Inter-American Commission and </w:t>
      </w:r>
      <w:r w:rsidRPr="008A1DB4">
        <w:rPr>
          <w:spacing w:val="-2"/>
          <w:lang w:val="en-US"/>
        </w:rPr>
        <w:t>s</w:t>
      </w:r>
      <w:r w:rsidR="00A3310A" w:rsidRPr="008A1DB4">
        <w:rPr>
          <w:spacing w:val="-2"/>
          <w:lang w:val="en-US"/>
        </w:rPr>
        <w:t>ubsequently</w:t>
      </w:r>
      <w:r w:rsidRPr="008A1DB4">
        <w:rPr>
          <w:spacing w:val="-2"/>
          <w:lang w:val="en-US"/>
        </w:rPr>
        <w:t xml:space="preserve"> by</w:t>
      </w:r>
      <w:r w:rsidR="00470B06" w:rsidRPr="008A1DB4">
        <w:rPr>
          <w:spacing w:val="-2"/>
          <w:lang w:val="en-US"/>
        </w:rPr>
        <w:t xml:space="preserve"> </w:t>
      </w:r>
      <w:r w:rsidR="00F36400" w:rsidRPr="008A1DB4">
        <w:rPr>
          <w:spacing w:val="-2"/>
          <w:lang w:val="en-US"/>
        </w:rPr>
        <w:t>the Court</w:t>
      </w:r>
      <w:r w:rsidR="00470B06" w:rsidRPr="008A1DB4">
        <w:rPr>
          <w:spacing w:val="-2"/>
          <w:lang w:val="en-US"/>
        </w:rPr>
        <w:t xml:space="preserve">. </w:t>
      </w:r>
      <w:r w:rsidR="00562FE4">
        <w:rPr>
          <w:spacing w:val="-2"/>
          <w:lang w:val="en-US"/>
        </w:rPr>
        <w:t>The purpose of tho</w:t>
      </w:r>
      <w:r w:rsidRPr="008A1DB4">
        <w:rPr>
          <w:spacing w:val="-2"/>
          <w:lang w:val="en-US"/>
        </w:rPr>
        <w:t xml:space="preserve">se measures was to avoid </w:t>
      </w:r>
      <w:r w:rsidR="001E7113" w:rsidRPr="008A1DB4">
        <w:rPr>
          <w:spacing w:val="-2"/>
          <w:lang w:val="en-US"/>
        </w:rPr>
        <w:t>Wong</w:t>
      </w:r>
      <w:r w:rsidR="00470B06" w:rsidRPr="008A1DB4">
        <w:rPr>
          <w:spacing w:val="-2"/>
          <w:lang w:val="en-US"/>
        </w:rPr>
        <w:t xml:space="preserve"> Ho Wing </w:t>
      </w:r>
      <w:r w:rsidRPr="008A1DB4">
        <w:rPr>
          <w:spacing w:val="-2"/>
          <w:lang w:val="en-US"/>
        </w:rPr>
        <w:t>being physically removed from the jurisdiction of Peru and transferred to a jurisdiction outside the inter-American system, when violation of due process in his extradition proceedings and a possible risk to his life and personal integrity if he was returned to the</w:t>
      </w:r>
      <w:r w:rsidR="00470B06" w:rsidRPr="008A1DB4">
        <w:rPr>
          <w:spacing w:val="-2"/>
          <w:lang w:val="en-US"/>
        </w:rPr>
        <w:t xml:space="preserve"> </w:t>
      </w:r>
      <w:r w:rsidRPr="008A1DB4">
        <w:rPr>
          <w:spacing w:val="-2"/>
          <w:lang w:val="en-US"/>
        </w:rPr>
        <w:t>r</w:t>
      </w:r>
      <w:r w:rsidR="001E7113" w:rsidRPr="008A1DB4">
        <w:rPr>
          <w:spacing w:val="-2"/>
          <w:lang w:val="en-US"/>
        </w:rPr>
        <w:t>equesting State</w:t>
      </w:r>
      <w:r w:rsidRPr="008A1DB4">
        <w:rPr>
          <w:spacing w:val="-2"/>
          <w:lang w:val="en-US"/>
        </w:rPr>
        <w:t xml:space="preserve"> had been alleged.</w:t>
      </w:r>
      <w:r w:rsidR="00470B06" w:rsidRPr="008A1DB4">
        <w:rPr>
          <w:rStyle w:val="FootnoteReference"/>
          <w:spacing w:val="-2"/>
          <w:lang w:val="en-US"/>
        </w:rPr>
        <w:footnoteReference w:id="298"/>
      </w:r>
      <w:r w:rsidRPr="008A1DB4">
        <w:rPr>
          <w:spacing w:val="-2"/>
          <w:lang w:val="en-US"/>
        </w:rPr>
        <w:t xml:space="preserve"> This order did not prevent </w:t>
      </w:r>
      <w:r w:rsidR="00B43F84" w:rsidRPr="008A1DB4">
        <w:rPr>
          <w:spacing w:val="-2"/>
          <w:lang w:val="en-US"/>
        </w:rPr>
        <w:t>the Executive Branch</w:t>
      </w:r>
      <w:r w:rsidR="00470B06" w:rsidRPr="008A1DB4">
        <w:rPr>
          <w:spacing w:val="-2"/>
          <w:lang w:val="en-US"/>
        </w:rPr>
        <w:t xml:space="preserve"> </w:t>
      </w:r>
      <w:r w:rsidR="00E022F9" w:rsidRPr="008A1DB4">
        <w:rPr>
          <w:spacing w:val="-2"/>
          <w:lang w:val="en-US"/>
        </w:rPr>
        <w:t>of Peru</w:t>
      </w:r>
      <w:r w:rsidR="00751182" w:rsidRPr="008A1DB4">
        <w:rPr>
          <w:spacing w:val="-2"/>
          <w:lang w:val="en-US"/>
        </w:rPr>
        <w:t xml:space="preserve"> </w:t>
      </w:r>
      <w:r w:rsidRPr="008A1DB4">
        <w:rPr>
          <w:spacing w:val="-2"/>
          <w:lang w:val="en-US"/>
        </w:rPr>
        <w:t xml:space="preserve">from taking a final decision for or against </w:t>
      </w:r>
      <w:r w:rsidR="00087CF8" w:rsidRPr="008A1DB4">
        <w:rPr>
          <w:spacing w:val="-2"/>
          <w:lang w:val="en-US"/>
        </w:rPr>
        <w:t>the extradition request</w:t>
      </w:r>
      <w:r w:rsidRPr="008A1DB4">
        <w:rPr>
          <w:spacing w:val="-2"/>
          <w:lang w:val="en-US"/>
        </w:rPr>
        <w:t xml:space="preserve">; it merely sought to avoid </w:t>
      </w:r>
      <w:r w:rsidR="00F36400" w:rsidRPr="008A1DB4">
        <w:rPr>
          <w:spacing w:val="-2"/>
          <w:lang w:val="en-US"/>
        </w:rPr>
        <w:t xml:space="preserve">the </w:t>
      </w:r>
      <w:r w:rsidR="00F36400" w:rsidRPr="008A1DB4">
        <w:rPr>
          <w:spacing w:val="-2"/>
          <w:lang w:val="en-US"/>
        </w:rPr>
        <w:lastRenderedPageBreak/>
        <w:t>presumed victim</w:t>
      </w:r>
      <w:r w:rsidR="008A236E" w:rsidRPr="008A1DB4">
        <w:rPr>
          <w:spacing w:val="-2"/>
          <w:lang w:val="en-US"/>
        </w:rPr>
        <w:t xml:space="preserve"> </w:t>
      </w:r>
      <w:r w:rsidRPr="008A1DB4">
        <w:rPr>
          <w:spacing w:val="-2"/>
          <w:lang w:val="en-US"/>
        </w:rPr>
        <w:t>being removed from the State’s jurisdiction. To the contrary, on repeated occasions, the Court called attention to the delay in the adoption of a final decision in the extradition proceedings</w:t>
      </w:r>
      <w:r w:rsidR="00562FE4" w:rsidRPr="00562FE4">
        <w:rPr>
          <w:spacing w:val="-2"/>
          <w:lang w:val="en-US"/>
        </w:rPr>
        <w:t xml:space="preserve"> </w:t>
      </w:r>
      <w:r w:rsidR="00562FE4" w:rsidRPr="008A1DB4">
        <w:rPr>
          <w:spacing w:val="-2"/>
          <w:lang w:val="en-US"/>
        </w:rPr>
        <w:t>by the Executive Branch</w:t>
      </w:r>
      <w:r w:rsidRPr="008A1DB4">
        <w:rPr>
          <w:spacing w:val="-2"/>
          <w:lang w:val="en-US"/>
        </w:rPr>
        <w:t>.</w:t>
      </w:r>
      <w:r w:rsidR="00470B06" w:rsidRPr="008A1DB4">
        <w:rPr>
          <w:rStyle w:val="FootnoteReference"/>
          <w:spacing w:val="-2"/>
          <w:lang w:val="en-US"/>
        </w:rPr>
        <w:footnoteReference w:id="299"/>
      </w:r>
      <w:r w:rsidRPr="008A1DB4">
        <w:rPr>
          <w:spacing w:val="-2"/>
          <w:lang w:val="en-US"/>
        </w:rPr>
        <w:t xml:space="preserve"> Consequently, the Court does not find admissible the State’s argument that the processing of this case before </w:t>
      </w:r>
      <w:r w:rsidR="004D2183" w:rsidRPr="008A1DB4">
        <w:rPr>
          <w:spacing w:val="-2"/>
          <w:lang w:val="en-US"/>
        </w:rPr>
        <w:t>the inter-American system</w:t>
      </w:r>
      <w:r w:rsidRPr="008A1DB4">
        <w:rPr>
          <w:spacing w:val="-2"/>
          <w:lang w:val="en-US"/>
        </w:rPr>
        <w:t xml:space="preserve"> and, particularly, the fact that the provisional measures were in force, justify the delay in deciding </w:t>
      </w:r>
      <w:r w:rsidR="00671326" w:rsidRPr="008A1DB4">
        <w:rPr>
          <w:spacing w:val="-2"/>
          <w:lang w:val="en-US"/>
        </w:rPr>
        <w:t xml:space="preserve">the </w:t>
      </w:r>
      <w:r w:rsidR="00087CF8" w:rsidRPr="008A1DB4">
        <w:rPr>
          <w:spacing w:val="-2"/>
          <w:lang w:val="en-US"/>
        </w:rPr>
        <w:t>request</w:t>
      </w:r>
      <w:r w:rsidR="00470B06" w:rsidRPr="008A1DB4">
        <w:rPr>
          <w:spacing w:val="-2"/>
          <w:lang w:val="en-US"/>
        </w:rPr>
        <w:t xml:space="preserve"> </w:t>
      </w:r>
      <w:r w:rsidRPr="008A1DB4">
        <w:rPr>
          <w:spacing w:val="-2"/>
          <w:lang w:val="en-US"/>
        </w:rPr>
        <w:t>for the extradition of</w:t>
      </w:r>
      <w:r w:rsidR="00B43F84" w:rsidRPr="008A1DB4">
        <w:rPr>
          <w:spacing w:val="-2"/>
          <w:lang w:val="en-US"/>
        </w:rPr>
        <w:t xml:space="preserve"> Wong</w:t>
      </w:r>
      <w:r w:rsidR="00470B06" w:rsidRPr="008A1DB4">
        <w:rPr>
          <w:spacing w:val="-2"/>
          <w:lang w:val="en-US"/>
        </w:rPr>
        <w:t xml:space="preserve"> Ho Wing.  </w:t>
      </w:r>
    </w:p>
    <w:p w14:paraId="42F5FC7A" w14:textId="77777777" w:rsidR="00470B06" w:rsidRPr="008A1DB4" w:rsidRDefault="00470B06" w:rsidP="00956E97">
      <w:pPr>
        <w:tabs>
          <w:tab w:val="left" w:pos="284"/>
          <w:tab w:val="left" w:pos="567"/>
        </w:tabs>
        <w:rPr>
          <w:b/>
          <w:spacing w:val="-2"/>
          <w:lang w:val="en-US"/>
        </w:rPr>
      </w:pPr>
    </w:p>
    <w:p w14:paraId="71E3BF51" w14:textId="2893F48B" w:rsidR="00470B06" w:rsidRPr="008A1DB4" w:rsidRDefault="001834F4" w:rsidP="00956E97">
      <w:pPr>
        <w:pStyle w:val="Heading3"/>
        <w:rPr>
          <w:b/>
          <w:spacing w:val="-2"/>
          <w:lang w:val="en-US"/>
        </w:rPr>
      </w:pPr>
      <w:bookmarkStart w:id="877" w:name="_Toc418912842"/>
      <w:bookmarkStart w:id="878" w:name="_Toc419394422"/>
      <w:bookmarkStart w:id="879" w:name="_Toc429490282"/>
      <w:bookmarkStart w:id="880" w:name="_Toc429503796"/>
      <w:bookmarkStart w:id="881" w:name="_Toc429504302"/>
      <w:bookmarkStart w:id="882" w:name="_Toc429678015"/>
      <w:bookmarkStart w:id="883" w:name="_Toc430017178"/>
      <w:bookmarkStart w:id="884" w:name="_Toc430017407"/>
      <w:bookmarkStart w:id="885" w:name="_Toc430018689"/>
      <w:bookmarkStart w:id="886" w:name="_Toc430125287"/>
      <w:bookmarkStart w:id="887" w:name="_Toc430125395"/>
      <w:r w:rsidRPr="008A1DB4">
        <w:rPr>
          <w:spacing w:val="-2"/>
          <w:lang w:val="en-US"/>
        </w:rPr>
        <w:t>B.</w:t>
      </w:r>
      <w:r w:rsidR="00107399" w:rsidRPr="008A1DB4">
        <w:rPr>
          <w:spacing w:val="-2"/>
          <w:lang w:val="en-US"/>
        </w:rPr>
        <w:t>2</w:t>
      </w:r>
      <w:r w:rsidRPr="008A1DB4">
        <w:rPr>
          <w:spacing w:val="-2"/>
          <w:lang w:val="en-US"/>
        </w:rPr>
        <w:t>.c</w:t>
      </w:r>
      <w:r w:rsidR="00470B06" w:rsidRPr="008A1DB4">
        <w:rPr>
          <w:spacing w:val="-2"/>
          <w:lang w:val="en-US"/>
        </w:rPr>
        <w:t xml:space="preserve">) </w:t>
      </w:r>
      <w:r w:rsidR="00672B34" w:rsidRPr="008A1DB4">
        <w:rPr>
          <w:spacing w:val="-2"/>
          <w:lang w:val="en-US"/>
        </w:rPr>
        <w:t>Conduct of the State authorities</w:t>
      </w:r>
      <w:bookmarkEnd w:id="877"/>
      <w:bookmarkEnd w:id="878"/>
      <w:bookmarkEnd w:id="879"/>
      <w:bookmarkEnd w:id="880"/>
      <w:bookmarkEnd w:id="881"/>
      <w:bookmarkEnd w:id="882"/>
      <w:bookmarkEnd w:id="883"/>
      <w:bookmarkEnd w:id="884"/>
      <w:bookmarkEnd w:id="885"/>
      <w:bookmarkEnd w:id="886"/>
      <w:bookmarkEnd w:id="887"/>
    </w:p>
    <w:p w14:paraId="492F6EF3" w14:textId="77777777" w:rsidR="00470B06" w:rsidRPr="008A1DB4" w:rsidRDefault="00470B06" w:rsidP="00956E97">
      <w:pPr>
        <w:tabs>
          <w:tab w:val="left" w:pos="284"/>
          <w:tab w:val="left" w:pos="567"/>
        </w:tabs>
        <w:rPr>
          <w:b/>
          <w:spacing w:val="-2"/>
          <w:lang w:val="en-US"/>
        </w:rPr>
      </w:pPr>
    </w:p>
    <w:p w14:paraId="3BC0491A" w14:textId="173AB820" w:rsidR="00470B06" w:rsidRPr="008A1DB4" w:rsidRDefault="00C01BD1" w:rsidP="00956E97">
      <w:pPr>
        <w:pStyle w:val="PrrafodeSentencia"/>
        <w:rPr>
          <w:b/>
          <w:spacing w:val="-2"/>
          <w:lang w:val="en-US"/>
        </w:rPr>
      </w:pPr>
      <w:r w:rsidRPr="00130E64">
        <w:rPr>
          <w:spacing w:val="-2"/>
          <w:lang w:val="en-US"/>
        </w:rPr>
        <w:t xml:space="preserve">In this case, the Court must analyze the actions of the judicial authorities </w:t>
      </w:r>
      <w:r w:rsidR="0079515C" w:rsidRPr="00130E64">
        <w:rPr>
          <w:spacing w:val="-2"/>
          <w:lang w:val="en-US"/>
        </w:rPr>
        <w:t>responsible</w:t>
      </w:r>
      <w:r w:rsidRPr="008A1DB4">
        <w:rPr>
          <w:spacing w:val="-2"/>
          <w:lang w:val="en-US"/>
        </w:rPr>
        <w:t xml:space="preserve"> for the proceedings up until the issue </w:t>
      </w:r>
      <w:r w:rsidR="00672B34" w:rsidRPr="008A1DB4">
        <w:rPr>
          <w:spacing w:val="-2"/>
          <w:lang w:val="en-US"/>
        </w:rPr>
        <w:t>of the second advisory</w:t>
      </w:r>
      <w:r w:rsidR="002D1CFC" w:rsidRPr="008A1DB4">
        <w:rPr>
          <w:spacing w:val="-2"/>
          <w:lang w:val="en-US"/>
        </w:rPr>
        <w:t xml:space="preserve"> decision</w:t>
      </w:r>
      <w:r w:rsidR="00470B06" w:rsidRPr="008A1DB4">
        <w:rPr>
          <w:spacing w:val="-2"/>
          <w:lang w:val="en-US"/>
        </w:rPr>
        <w:t>,</w:t>
      </w:r>
      <w:r w:rsidRPr="008A1DB4">
        <w:rPr>
          <w:spacing w:val="-2"/>
          <w:lang w:val="en-US"/>
        </w:rPr>
        <w:t xml:space="preserve"> the authorities</w:t>
      </w:r>
      <w:r w:rsidR="00470B06" w:rsidRPr="008A1DB4">
        <w:rPr>
          <w:spacing w:val="-2"/>
          <w:lang w:val="en-US"/>
        </w:rPr>
        <w:t xml:space="preserve"> </w:t>
      </w:r>
      <w:r w:rsidR="00776D24" w:rsidRPr="008A1DB4">
        <w:rPr>
          <w:spacing w:val="-2"/>
          <w:lang w:val="en-US"/>
        </w:rPr>
        <w:t xml:space="preserve">of the </w:t>
      </w:r>
      <w:r w:rsidR="00B43F84" w:rsidRPr="008A1DB4">
        <w:rPr>
          <w:spacing w:val="-2"/>
          <w:lang w:val="en-US"/>
        </w:rPr>
        <w:t>Executive Branch</w:t>
      </w:r>
      <w:r w:rsidR="00470B06" w:rsidRPr="008A1DB4">
        <w:rPr>
          <w:spacing w:val="-2"/>
          <w:lang w:val="en-US"/>
        </w:rPr>
        <w:t xml:space="preserve"> </w:t>
      </w:r>
      <w:r w:rsidRPr="008A1DB4">
        <w:rPr>
          <w:spacing w:val="-2"/>
          <w:lang w:val="en-US"/>
        </w:rPr>
        <w:t xml:space="preserve">responsible for taking the final decision on </w:t>
      </w:r>
      <w:r w:rsidR="00671326" w:rsidRPr="008A1DB4">
        <w:rPr>
          <w:spacing w:val="-2"/>
          <w:lang w:val="en-US"/>
        </w:rPr>
        <w:t xml:space="preserve">the </w:t>
      </w:r>
      <w:r w:rsidR="00087CF8" w:rsidRPr="008A1DB4">
        <w:rPr>
          <w:spacing w:val="-2"/>
          <w:lang w:val="en-US"/>
        </w:rPr>
        <w:t>extradition request</w:t>
      </w:r>
      <w:r w:rsidR="00470B06" w:rsidRPr="008A1DB4">
        <w:rPr>
          <w:spacing w:val="-2"/>
          <w:lang w:val="en-US"/>
        </w:rPr>
        <w:t>, a</w:t>
      </w:r>
      <w:r w:rsidRPr="008A1DB4">
        <w:rPr>
          <w:spacing w:val="-2"/>
          <w:lang w:val="en-US"/>
        </w:rPr>
        <w:t xml:space="preserve">s well as the other authorities who have intervened in the process. To facilitate the analysis, the process will be </w:t>
      </w:r>
      <w:r w:rsidR="0079515C" w:rsidRPr="008A1DB4">
        <w:rPr>
          <w:spacing w:val="-2"/>
          <w:lang w:val="en-US"/>
        </w:rPr>
        <w:t>divided</w:t>
      </w:r>
      <w:r w:rsidRPr="008A1DB4">
        <w:rPr>
          <w:spacing w:val="-2"/>
          <w:lang w:val="en-US"/>
        </w:rPr>
        <w:t xml:space="preserve"> in</w:t>
      </w:r>
      <w:r w:rsidR="00130E64">
        <w:rPr>
          <w:spacing w:val="-2"/>
          <w:lang w:val="en-US"/>
        </w:rPr>
        <w:t>to two stages:</w:t>
      </w:r>
      <w:r w:rsidR="00470B06" w:rsidRPr="008A1DB4">
        <w:rPr>
          <w:spacing w:val="-2"/>
          <w:lang w:val="en-US"/>
        </w:rPr>
        <w:t xml:space="preserve"> (</w:t>
      </w:r>
      <w:proofErr w:type="spellStart"/>
      <w:r w:rsidR="00470B06" w:rsidRPr="008A1DB4">
        <w:rPr>
          <w:spacing w:val="-2"/>
          <w:lang w:val="en-US"/>
        </w:rPr>
        <w:t>i</w:t>
      </w:r>
      <w:proofErr w:type="spellEnd"/>
      <w:r w:rsidR="00470B06" w:rsidRPr="008A1DB4">
        <w:rPr>
          <w:spacing w:val="-2"/>
          <w:lang w:val="en-US"/>
        </w:rPr>
        <w:t xml:space="preserve">) </w:t>
      </w:r>
      <w:r w:rsidRPr="008A1DB4">
        <w:rPr>
          <w:spacing w:val="-2"/>
          <w:lang w:val="en-US"/>
        </w:rPr>
        <w:t>the first stage</w:t>
      </w:r>
      <w:r w:rsidR="00470B06" w:rsidRPr="008A1DB4">
        <w:rPr>
          <w:spacing w:val="-2"/>
          <w:lang w:val="en-US"/>
        </w:rPr>
        <w:t xml:space="preserve"> (</w:t>
      </w:r>
      <w:r w:rsidR="001E7113" w:rsidRPr="008A1DB4">
        <w:rPr>
          <w:spacing w:val="-2"/>
          <w:lang w:val="en-US"/>
        </w:rPr>
        <w:t>from the arrest of</w:t>
      </w:r>
      <w:r w:rsidR="00B43F84" w:rsidRPr="008A1DB4">
        <w:rPr>
          <w:spacing w:val="-2"/>
          <w:lang w:val="en-US"/>
        </w:rPr>
        <w:t xml:space="preserve"> Wong</w:t>
      </w:r>
      <w:r w:rsidR="00470B06" w:rsidRPr="008A1DB4">
        <w:rPr>
          <w:spacing w:val="-2"/>
          <w:lang w:val="en-US"/>
        </w:rPr>
        <w:t xml:space="preserve"> Ho Wing </w:t>
      </w:r>
      <w:r w:rsidRPr="008A1DB4">
        <w:rPr>
          <w:spacing w:val="-2"/>
          <w:lang w:val="en-US"/>
        </w:rPr>
        <w:t>until the issue</w:t>
      </w:r>
      <w:r w:rsidR="00470B06" w:rsidRPr="008A1DB4">
        <w:rPr>
          <w:spacing w:val="-2"/>
          <w:lang w:val="en-US"/>
        </w:rPr>
        <w:t xml:space="preserve"> </w:t>
      </w:r>
      <w:r w:rsidR="00672B34" w:rsidRPr="008A1DB4">
        <w:rPr>
          <w:spacing w:val="-2"/>
          <w:lang w:val="en-US"/>
        </w:rPr>
        <w:t>of the second advisory</w:t>
      </w:r>
      <w:r w:rsidR="002D1CFC" w:rsidRPr="008A1DB4">
        <w:rPr>
          <w:spacing w:val="-2"/>
          <w:lang w:val="en-US"/>
        </w:rPr>
        <w:t xml:space="preserve"> decision</w:t>
      </w:r>
      <w:r w:rsidRPr="008A1DB4">
        <w:rPr>
          <w:spacing w:val="-2"/>
          <w:lang w:val="en-US"/>
        </w:rPr>
        <w:t xml:space="preserve"> on</w:t>
      </w:r>
      <w:r w:rsidR="00BD2182" w:rsidRPr="008A1DB4">
        <w:rPr>
          <w:spacing w:val="-2"/>
          <w:lang w:val="en-US"/>
        </w:rPr>
        <w:t xml:space="preserve"> </w:t>
      </w:r>
      <w:r w:rsidR="00671326" w:rsidRPr="008A1DB4">
        <w:rPr>
          <w:spacing w:val="-2"/>
          <w:lang w:val="en-US"/>
        </w:rPr>
        <w:t>January 27,</w:t>
      </w:r>
      <w:r w:rsidR="00BD2182" w:rsidRPr="008A1DB4">
        <w:rPr>
          <w:spacing w:val="-2"/>
          <w:lang w:val="en-US"/>
        </w:rPr>
        <w:t xml:space="preserve"> 2010),</w:t>
      </w:r>
      <w:r w:rsidR="00F36400" w:rsidRPr="008A1DB4">
        <w:rPr>
          <w:spacing w:val="-2"/>
          <w:lang w:val="en-US"/>
        </w:rPr>
        <w:t xml:space="preserve"> and </w:t>
      </w:r>
      <w:r w:rsidR="00470B06" w:rsidRPr="008A1DB4">
        <w:rPr>
          <w:spacing w:val="-2"/>
          <w:lang w:val="en-US"/>
        </w:rPr>
        <w:t xml:space="preserve">(ii) </w:t>
      </w:r>
      <w:r w:rsidRPr="008A1DB4">
        <w:rPr>
          <w:spacing w:val="-2"/>
          <w:lang w:val="en-US"/>
        </w:rPr>
        <w:t>the second stage</w:t>
      </w:r>
      <w:r w:rsidR="00470B06" w:rsidRPr="008A1DB4">
        <w:rPr>
          <w:spacing w:val="-2"/>
          <w:lang w:val="en-US"/>
        </w:rPr>
        <w:t xml:space="preserve"> (</w:t>
      </w:r>
      <w:r w:rsidRPr="008A1DB4">
        <w:rPr>
          <w:spacing w:val="-2"/>
          <w:lang w:val="en-US"/>
        </w:rPr>
        <w:t>from the issue</w:t>
      </w:r>
      <w:r w:rsidR="00470B06" w:rsidRPr="008A1DB4">
        <w:rPr>
          <w:spacing w:val="-2"/>
          <w:lang w:val="en-US"/>
        </w:rPr>
        <w:t xml:space="preserve"> </w:t>
      </w:r>
      <w:r w:rsidR="00672B34" w:rsidRPr="008A1DB4">
        <w:rPr>
          <w:spacing w:val="-2"/>
          <w:lang w:val="en-US"/>
        </w:rPr>
        <w:t>of the second advisory</w:t>
      </w:r>
      <w:r w:rsidR="002D1CFC" w:rsidRPr="008A1DB4">
        <w:rPr>
          <w:spacing w:val="-2"/>
          <w:lang w:val="en-US"/>
        </w:rPr>
        <w:t xml:space="preserve"> decision</w:t>
      </w:r>
      <w:r w:rsidRPr="008A1DB4">
        <w:rPr>
          <w:spacing w:val="-2"/>
          <w:lang w:val="en-US"/>
        </w:rPr>
        <w:t xml:space="preserve"> on </w:t>
      </w:r>
      <w:r w:rsidR="00671326" w:rsidRPr="008A1DB4">
        <w:rPr>
          <w:spacing w:val="-2"/>
          <w:lang w:val="en-US"/>
        </w:rPr>
        <w:t>January 27,</w:t>
      </w:r>
      <w:r w:rsidR="00470B06" w:rsidRPr="008A1DB4">
        <w:rPr>
          <w:spacing w:val="-2"/>
          <w:lang w:val="en-US"/>
        </w:rPr>
        <w:t xml:space="preserve"> 2010</w:t>
      </w:r>
      <w:r w:rsidRPr="008A1DB4">
        <w:rPr>
          <w:spacing w:val="-2"/>
          <w:lang w:val="en-US"/>
        </w:rPr>
        <w:t>, to date</w:t>
      </w:r>
      <w:r w:rsidR="00470B06" w:rsidRPr="008A1DB4">
        <w:rPr>
          <w:spacing w:val="-2"/>
          <w:lang w:val="en-US"/>
        </w:rPr>
        <w:t xml:space="preserve">). </w:t>
      </w:r>
    </w:p>
    <w:p w14:paraId="5AC148B4" w14:textId="77777777" w:rsidR="00470B06" w:rsidRPr="008A1DB4" w:rsidRDefault="00470B06" w:rsidP="00956E97">
      <w:pPr>
        <w:tabs>
          <w:tab w:val="left" w:pos="284"/>
          <w:tab w:val="left" w:pos="567"/>
        </w:tabs>
        <w:rPr>
          <w:b/>
          <w:spacing w:val="-2"/>
          <w:lang w:val="en-US"/>
        </w:rPr>
      </w:pPr>
    </w:p>
    <w:p w14:paraId="440F0E90" w14:textId="615A7B17" w:rsidR="00470B06" w:rsidRPr="008A1DB4" w:rsidRDefault="003E0FF3" w:rsidP="003E0FF3">
      <w:pPr>
        <w:pStyle w:val="PrrafodeSentencia"/>
        <w:rPr>
          <w:b/>
          <w:spacing w:val="-2"/>
          <w:lang w:val="en-US"/>
        </w:rPr>
      </w:pPr>
      <w:bookmarkStart w:id="888" w:name="_Ref428981774"/>
      <w:r w:rsidRPr="008A1DB4">
        <w:rPr>
          <w:spacing w:val="-2"/>
          <w:lang w:val="en-US"/>
        </w:rPr>
        <w:t xml:space="preserve">The first stage of the proceedings do not reveal periods of inactivity that can be attributed to the State and that could be considered the causes of the delay in obtaining a final decision. However, it does reveal negligent conduct by the State authorities who headed the proceedings, which resulted in their prolongation. Thus, on </w:t>
      </w:r>
      <w:r w:rsidR="001E7113" w:rsidRPr="008A1DB4">
        <w:rPr>
          <w:spacing w:val="-2"/>
          <w:lang w:val="en-US"/>
        </w:rPr>
        <w:t>November 14,</w:t>
      </w:r>
      <w:r w:rsidR="00470B06" w:rsidRPr="008A1DB4">
        <w:rPr>
          <w:spacing w:val="-2"/>
          <w:lang w:val="en-US"/>
        </w:rPr>
        <w:t xml:space="preserve"> 2008</w:t>
      </w:r>
      <w:r w:rsidRPr="008A1DB4">
        <w:rPr>
          <w:spacing w:val="-2"/>
          <w:lang w:val="en-US"/>
        </w:rPr>
        <w:t>,</w:t>
      </w:r>
      <w:r w:rsidR="00470B06" w:rsidRPr="008A1DB4">
        <w:rPr>
          <w:spacing w:val="-2"/>
          <w:lang w:val="en-US"/>
        </w:rPr>
        <w:t xml:space="preserve"> </w:t>
      </w:r>
      <w:r w:rsidR="001E7113" w:rsidRPr="008A1DB4">
        <w:rPr>
          <w:spacing w:val="-2"/>
          <w:lang w:val="en-US"/>
        </w:rPr>
        <w:t>the Seventh Criminal Court of El Callao</w:t>
      </w:r>
      <w:r w:rsidR="00470B06" w:rsidRPr="008A1DB4">
        <w:rPr>
          <w:spacing w:val="-2"/>
          <w:lang w:val="en-US"/>
        </w:rPr>
        <w:t xml:space="preserve"> rec</w:t>
      </w:r>
      <w:r w:rsidRPr="008A1DB4">
        <w:rPr>
          <w:spacing w:val="-2"/>
          <w:lang w:val="en-US"/>
        </w:rPr>
        <w:t>eived</w:t>
      </w:r>
      <w:r w:rsidR="00470B06" w:rsidRPr="008A1DB4">
        <w:rPr>
          <w:spacing w:val="-2"/>
          <w:lang w:val="en-US"/>
        </w:rPr>
        <w:t xml:space="preserve"> </w:t>
      </w:r>
      <w:r w:rsidR="00087CF8" w:rsidRPr="008A1DB4">
        <w:rPr>
          <w:spacing w:val="-2"/>
          <w:lang w:val="en-US"/>
        </w:rPr>
        <w:t xml:space="preserve">the </w:t>
      </w:r>
      <w:r w:rsidRPr="008A1DB4">
        <w:rPr>
          <w:spacing w:val="-2"/>
          <w:lang w:val="en-US"/>
        </w:rPr>
        <w:t>request to extradite</w:t>
      </w:r>
      <w:r w:rsidR="00B43F84" w:rsidRPr="008A1DB4">
        <w:rPr>
          <w:spacing w:val="-2"/>
          <w:lang w:val="en-US"/>
        </w:rPr>
        <w:t xml:space="preserve"> Wong</w:t>
      </w:r>
      <w:r w:rsidR="00470B06" w:rsidRPr="008A1DB4">
        <w:rPr>
          <w:spacing w:val="-2"/>
          <w:lang w:val="en-US"/>
        </w:rPr>
        <w:t xml:space="preserve"> Ho Wing</w:t>
      </w:r>
      <w:r w:rsidRPr="008A1DB4">
        <w:rPr>
          <w:spacing w:val="-2"/>
          <w:lang w:val="en-US"/>
        </w:rPr>
        <w:t xml:space="preserve"> made by</w:t>
      </w:r>
      <w:r w:rsidR="002D1CFC" w:rsidRPr="008A1DB4">
        <w:rPr>
          <w:spacing w:val="-2"/>
          <w:lang w:val="en-US"/>
        </w:rPr>
        <w:t xml:space="preserve"> the </w:t>
      </w:r>
      <w:r w:rsidR="00FE5E87" w:rsidRPr="008A1DB4">
        <w:rPr>
          <w:spacing w:val="-2"/>
          <w:lang w:val="en-US"/>
        </w:rPr>
        <w:t>People’s Republic of China</w:t>
      </w:r>
      <w:r w:rsidRPr="008A1DB4">
        <w:rPr>
          <w:spacing w:val="-2"/>
          <w:lang w:val="en-US"/>
        </w:rPr>
        <w:t>.</w:t>
      </w:r>
      <w:r w:rsidR="00470B06" w:rsidRPr="008A1DB4">
        <w:rPr>
          <w:rStyle w:val="FootnoteReference"/>
          <w:spacing w:val="-2"/>
          <w:lang w:val="en-US"/>
        </w:rPr>
        <w:footnoteReference w:id="300"/>
      </w:r>
      <w:r w:rsidRPr="008A1DB4">
        <w:rPr>
          <w:spacing w:val="-2"/>
          <w:lang w:val="en-US"/>
        </w:rPr>
        <w:t xml:space="preserve"> However, </w:t>
      </w:r>
      <w:r w:rsidR="00087CF8" w:rsidRPr="008A1DB4">
        <w:rPr>
          <w:spacing w:val="-2"/>
          <w:lang w:val="en-US"/>
        </w:rPr>
        <w:t>the extradition request</w:t>
      </w:r>
      <w:r w:rsidR="00470B06" w:rsidRPr="008A1DB4">
        <w:rPr>
          <w:spacing w:val="-2"/>
          <w:lang w:val="en-US"/>
        </w:rPr>
        <w:t xml:space="preserve"> </w:t>
      </w:r>
      <w:r w:rsidRPr="008A1DB4">
        <w:rPr>
          <w:spacing w:val="-2"/>
          <w:lang w:val="en-US"/>
        </w:rPr>
        <w:t xml:space="preserve">did not include </w:t>
      </w:r>
      <w:r w:rsidR="00E022F9" w:rsidRPr="008A1DB4">
        <w:rPr>
          <w:spacing w:val="-2"/>
          <w:lang w:val="en-US"/>
        </w:rPr>
        <w:t>article 151</w:t>
      </w:r>
      <w:r w:rsidR="00470B06" w:rsidRPr="008A1DB4">
        <w:rPr>
          <w:spacing w:val="-2"/>
          <w:lang w:val="en-US"/>
        </w:rPr>
        <w:t xml:space="preserve"> </w:t>
      </w:r>
      <w:r w:rsidR="001E7113" w:rsidRPr="008A1DB4">
        <w:rPr>
          <w:spacing w:val="-2"/>
          <w:lang w:val="en-US"/>
        </w:rPr>
        <w:t>of the Criminal Code</w:t>
      </w:r>
      <w:r w:rsidR="002D1CFC" w:rsidRPr="008A1DB4">
        <w:rPr>
          <w:spacing w:val="-2"/>
          <w:lang w:val="en-US"/>
        </w:rPr>
        <w:t xml:space="preserve"> of the </w:t>
      </w:r>
      <w:r w:rsidR="00FE5E87" w:rsidRPr="008A1DB4">
        <w:rPr>
          <w:spacing w:val="-2"/>
          <w:lang w:val="en-US"/>
        </w:rPr>
        <w:t>People’s Republic of China</w:t>
      </w:r>
      <w:r w:rsidR="00470B06" w:rsidRPr="008A1DB4">
        <w:rPr>
          <w:spacing w:val="-2"/>
          <w:lang w:val="en-US"/>
        </w:rPr>
        <w:t xml:space="preserve">, </w:t>
      </w:r>
      <w:r w:rsidRPr="008A1DB4">
        <w:rPr>
          <w:spacing w:val="-2"/>
          <w:lang w:val="en-US"/>
        </w:rPr>
        <w:t xml:space="preserve">which was applicable to the case and established the possibility </w:t>
      </w:r>
      <w:r w:rsidR="00BB44A4" w:rsidRPr="008A1DB4">
        <w:rPr>
          <w:spacing w:val="-2"/>
          <w:lang w:val="en-US"/>
        </w:rPr>
        <w:t xml:space="preserve">of the </w:t>
      </w:r>
      <w:r w:rsidR="00A3310A" w:rsidRPr="008A1DB4">
        <w:rPr>
          <w:spacing w:val="-2"/>
          <w:lang w:val="en-US"/>
        </w:rPr>
        <w:t>death penalty</w:t>
      </w:r>
      <w:r w:rsidR="00470B06" w:rsidRPr="008A1DB4">
        <w:rPr>
          <w:spacing w:val="-2"/>
          <w:lang w:val="en-US"/>
        </w:rPr>
        <w:t xml:space="preserve"> </w:t>
      </w:r>
      <w:r w:rsidRPr="008A1DB4">
        <w:rPr>
          <w:spacing w:val="-2"/>
          <w:lang w:val="en-US"/>
        </w:rPr>
        <w:t xml:space="preserve">for the smuggling offenses </w:t>
      </w:r>
      <w:r w:rsidR="00470B06" w:rsidRPr="008A1DB4">
        <w:rPr>
          <w:spacing w:val="-2"/>
          <w:lang w:val="en-US"/>
        </w:rPr>
        <w:t>(</w:t>
      </w:r>
      <w:r w:rsidR="00470B06" w:rsidRPr="008A1DB4">
        <w:rPr>
          <w:i/>
          <w:spacing w:val="-2"/>
          <w:lang w:val="en-US"/>
        </w:rPr>
        <w:t xml:space="preserve">supra </w:t>
      </w:r>
      <w:r w:rsidR="00C45946" w:rsidRPr="008A1DB4">
        <w:rPr>
          <w:spacing w:val="-2"/>
          <w:lang w:val="en-US"/>
        </w:rPr>
        <w:t xml:space="preserve">para. </w:t>
      </w:r>
      <w:r w:rsidR="008C63F1" w:rsidRPr="008A1DB4">
        <w:rPr>
          <w:spacing w:val="-2"/>
          <w:lang w:val="en-US"/>
        </w:rPr>
        <w:fldChar w:fldCharType="begin"/>
      </w:r>
      <w:r w:rsidR="008C63F1" w:rsidRPr="008A1DB4">
        <w:rPr>
          <w:spacing w:val="-2"/>
          <w:lang w:val="en-US"/>
        </w:rPr>
        <w:instrText xml:space="preserve"> REF _Ref429401109 \r \h </w:instrText>
      </w:r>
      <w:r w:rsidR="00DC41F4" w:rsidRPr="008A1DB4">
        <w:rPr>
          <w:spacing w:val="-2"/>
          <w:lang w:val="en-US"/>
        </w:rPr>
        <w:instrText xml:space="preserve"> \* MERGEFORMAT </w:instrText>
      </w:r>
      <w:r w:rsidR="008C63F1" w:rsidRPr="008A1DB4">
        <w:rPr>
          <w:spacing w:val="-2"/>
          <w:lang w:val="en-US"/>
        </w:rPr>
      </w:r>
      <w:r w:rsidR="008C63F1" w:rsidRPr="008A1DB4">
        <w:rPr>
          <w:spacing w:val="-2"/>
          <w:lang w:val="en-US"/>
        </w:rPr>
        <w:fldChar w:fldCharType="separate"/>
      </w:r>
      <w:r w:rsidR="00E961FA" w:rsidRPr="008A1DB4">
        <w:rPr>
          <w:spacing w:val="-2"/>
          <w:lang w:val="en-US"/>
        </w:rPr>
        <w:t>62</w:t>
      </w:r>
      <w:r w:rsidR="008C63F1" w:rsidRPr="008A1DB4">
        <w:rPr>
          <w:spacing w:val="-2"/>
          <w:lang w:val="en-US"/>
        </w:rPr>
        <w:fldChar w:fldCharType="end"/>
      </w:r>
      <w:r w:rsidR="00035BE0" w:rsidRPr="008A1DB4">
        <w:rPr>
          <w:spacing w:val="-2"/>
          <w:lang w:val="en-US"/>
        </w:rPr>
        <w:t>).</w:t>
      </w:r>
      <w:r w:rsidR="00470B06" w:rsidRPr="008A1DB4">
        <w:rPr>
          <w:spacing w:val="-2"/>
          <w:lang w:val="en-US"/>
        </w:rPr>
        <w:t xml:space="preserve"> </w:t>
      </w:r>
      <w:r w:rsidRPr="008A1DB4">
        <w:rPr>
          <w:spacing w:val="-2"/>
          <w:lang w:val="en-US"/>
        </w:rPr>
        <w:t xml:space="preserve">In this regard, both the Extradition Treaty and the laws of Peru require </w:t>
      </w:r>
      <w:r w:rsidR="00087CF8" w:rsidRPr="008A1DB4">
        <w:rPr>
          <w:spacing w:val="-2"/>
          <w:lang w:val="en-US"/>
        </w:rPr>
        <w:t>the extradition request</w:t>
      </w:r>
      <w:r w:rsidR="00470B06" w:rsidRPr="008A1DB4">
        <w:rPr>
          <w:spacing w:val="-2"/>
          <w:lang w:val="en-US"/>
        </w:rPr>
        <w:t xml:space="preserve"> </w:t>
      </w:r>
      <w:r w:rsidR="00130E64">
        <w:rPr>
          <w:spacing w:val="-2"/>
          <w:lang w:val="en-US"/>
        </w:rPr>
        <w:t>to be accompanied by the “tex</w:t>
      </w:r>
      <w:r w:rsidRPr="008A1DB4">
        <w:rPr>
          <w:spacing w:val="-2"/>
          <w:lang w:val="en-US"/>
        </w:rPr>
        <w:t xml:space="preserve">ts of the pertinent legal provisions </w:t>
      </w:r>
      <w:r w:rsidR="00130E64">
        <w:rPr>
          <w:spacing w:val="-2"/>
          <w:lang w:val="en-US"/>
        </w:rPr>
        <w:t>of</w:t>
      </w:r>
      <w:r w:rsidRPr="008A1DB4">
        <w:rPr>
          <w:spacing w:val="-2"/>
          <w:lang w:val="en-US"/>
        </w:rPr>
        <w:t xml:space="preserve"> the criminal jurisdiction, with the offense and the punished imposed on it.</w:t>
      </w:r>
      <w:r w:rsidR="00470B06" w:rsidRPr="008A1DB4">
        <w:rPr>
          <w:spacing w:val="-2"/>
          <w:lang w:val="en-US"/>
        </w:rPr>
        <w:t>”</w:t>
      </w:r>
      <w:r w:rsidR="003E4957" w:rsidRPr="008A1DB4">
        <w:rPr>
          <w:rStyle w:val="FootnoteReference"/>
          <w:spacing w:val="-2"/>
          <w:lang w:val="en-US"/>
        </w:rPr>
        <w:footnoteReference w:id="301"/>
      </w:r>
      <w:r w:rsidRPr="008A1DB4">
        <w:rPr>
          <w:spacing w:val="-2"/>
          <w:lang w:val="en-US"/>
        </w:rPr>
        <w:t xml:space="preserve"> The Extradition Treaty also establishes that</w:t>
      </w:r>
      <w:r w:rsidR="00470B06" w:rsidRPr="008A1DB4">
        <w:rPr>
          <w:spacing w:val="-2"/>
          <w:lang w:val="en-US"/>
        </w:rPr>
        <w:t>:</w:t>
      </w:r>
      <w:bookmarkEnd w:id="888"/>
    </w:p>
    <w:p w14:paraId="10AE76BE" w14:textId="77777777" w:rsidR="00470B06" w:rsidRPr="008A1DB4" w:rsidRDefault="00470B06" w:rsidP="00956E97">
      <w:pPr>
        <w:rPr>
          <w:spacing w:val="-2"/>
          <w:lang w:val="en-US"/>
        </w:rPr>
      </w:pPr>
    </w:p>
    <w:p w14:paraId="100E14FE" w14:textId="46984C6A" w:rsidR="00470B06" w:rsidRPr="008A1DB4" w:rsidRDefault="003E0FF3" w:rsidP="00E92BA7">
      <w:pPr>
        <w:widowControl w:val="0"/>
        <w:autoSpaceDE w:val="0"/>
        <w:autoSpaceDN w:val="0"/>
        <w:adjustRightInd w:val="0"/>
        <w:ind w:left="720" w:right="720"/>
        <w:rPr>
          <w:rFonts w:cs="Callibri"/>
          <w:spacing w:val="-2"/>
          <w:sz w:val="16"/>
          <w:szCs w:val="16"/>
          <w:lang w:val="en-US" w:bidi="en-US"/>
        </w:rPr>
      </w:pPr>
      <w:r w:rsidRPr="008A1DB4">
        <w:rPr>
          <w:rFonts w:cs="Callibri"/>
          <w:spacing w:val="-2"/>
          <w:sz w:val="16"/>
          <w:szCs w:val="16"/>
          <w:lang w:val="en-US" w:bidi="en-US"/>
        </w:rPr>
        <w:t>If the Requested Party considers that the information provided to support the extradition request is insufficient, this Party may req</w:t>
      </w:r>
      <w:r w:rsidR="00E92BA7" w:rsidRPr="008A1DB4">
        <w:rPr>
          <w:rFonts w:cs="Callibri"/>
          <w:spacing w:val="-2"/>
          <w:sz w:val="16"/>
          <w:szCs w:val="16"/>
          <w:lang w:val="en-US" w:bidi="en-US"/>
        </w:rPr>
        <w:t xml:space="preserve">uire </w:t>
      </w:r>
      <w:r w:rsidRPr="008A1DB4">
        <w:rPr>
          <w:rFonts w:cs="Callibri"/>
          <w:spacing w:val="-2"/>
          <w:sz w:val="16"/>
          <w:szCs w:val="16"/>
          <w:lang w:val="en-US" w:bidi="en-US"/>
        </w:rPr>
        <w:t xml:space="preserve">that additional information be provided within thirty days. When the Requesting Party provides justified reasons, the time frame may </w:t>
      </w:r>
      <w:r w:rsidR="00E92BA7" w:rsidRPr="008A1DB4">
        <w:rPr>
          <w:rFonts w:cs="Callibri"/>
          <w:spacing w:val="-2"/>
          <w:sz w:val="16"/>
          <w:szCs w:val="16"/>
          <w:lang w:val="en-US" w:bidi="en-US"/>
        </w:rPr>
        <w:t>be extended by fifteen days</w:t>
      </w:r>
      <w:r w:rsidRPr="008A1DB4">
        <w:rPr>
          <w:rFonts w:cs="Callibri"/>
          <w:spacing w:val="-2"/>
          <w:sz w:val="16"/>
          <w:szCs w:val="16"/>
          <w:lang w:val="en-US" w:bidi="en-US"/>
        </w:rPr>
        <w:t xml:space="preserve">. If the Requesting Party does not present the additional information within this period, it will be considered that it has voluntarily waived the </w:t>
      </w:r>
      <w:r w:rsidR="00E92BA7" w:rsidRPr="008A1DB4">
        <w:rPr>
          <w:rFonts w:cs="Callibri"/>
          <w:spacing w:val="-2"/>
          <w:sz w:val="16"/>
          <w:szCs w:val="16"/>
          <w:lang w:val="en-US" w:bidi="en-US"/>
        </w:rPr>
        <w:t xml:space="preserve">extradition </w:t>
      </w:r>
      <w:r w:rsidRPr="008A1DB4">
        <w:rPr>
          <w:rFonts w:cs="Callibri"/>
          <w:spacing w:val="-2"/>
          <w:sz w:val="16"/>
          <w:szCs w:val="16"/>
          <w:lang w:val="en-US" w:bidi="en-US"/>
        </w:rPr>
        <w:t xml:space="preserve">request. </w:t>
      </w:r>
      <w:r w:rsidR="00E92BA7" w:rsidRPr="008A1DB4">
        <w:rPr>
          <w:rFonts w:cs="Callibri"/>
          <w:spacing w:val="-2"/>
          <w:sz w:val="16"/>
          <w:szCs w:val="16"/>
          <w:lang w:val="en-US" w:bidi="en-US"/>
        </w:rPr>
        <w:t>However, the Requesting Party shall not be prevented from making a new extradition request for the same offense.</w:t>
      </w:r>
      <w:r w:rsidR="00470B06" w:rsidRPr="008A1DB4">
        <w:rPr>
          <w:rStyle w:val="FootnoteReference"/>
          <w:rFonts w:cs="Callibri"/>
          <w:spacing w:val="-2"/>
          <w:sz w:val="16"/>
          <w:szCs w:val="16"/>
          <w:lang w:val="en-US" w:bidi="en-US"/>
        </w:rPr>
        <w:footnoteReference w:id="302"/>
      </w:r>
    </w:p>
    <w:p w14:paraId="07481012" w14:textId="77777777" w:rsidR="00470B06" w:rsidRPr="008A1DB4" w:rsidRDefault="00470B06" w:rsidP="00956E97">
      <w:pPr>
        <w:rPr>
          <w:b/>
          <w:spacing w:val="-2"/>
          <w:lang w:val="en-US"/>
        </w:rPr>
      </w:pPr>
    </w:p>
    <w:p w14:paraId="729D3410" w14:textId="50456DF7" w:rsidR="00470B06" w:rsidRPr="008A1DB4" w:rsidRDefault="00E92BA7" w:rsidP="00956E97">
      <w:pPr>
        <w:pStyle w:val="PrrafodeSentencia"/>
        <w:rPr>
          <w:b/>
          <w:spacing w:val="-2"/>
          <w:lang w:val="en-US"/>
        </w:rPr>
      </w:pPr>
      <w:r w:rsidRPr="008A1DB4">
        <w:rPr>
          <w:spacing w:val="-2"/>
          <w:lang w:val="en-US"/>
        </w:rPr>
        <w:lastRenderedPageBreak/>
        <w:t xml:space="preserve">Even though, in his first statement, </w:t>
      </w:r>
      <w:r w:rsidR="001E7113" w:rsidRPr="008A1DB4">
        <w:rPr>
          <w:spacing w:val="-2"/>
          <w:lang w:val="en-US"/>
        </w:rPr>
        <w:t>Wong</w:t>
      </w:r>
      <w:r w:rsidR="00470B06" w:rsidRPr="008A1DB4">
        <w:rPr>
          <w:spacing w:val="-2"/>
          <w:lang w:val="en-US"/>
        </w:rPr>
        <w:t xml:space="preserve"> Ho Wing </w:t>
      </w:r>
      <w:r w:rsidRPr="008A1DB4">
        <w:rPr>
          <w:spacing w:val="-2"/>
          <w:lang w:val="en-US"/>
        </w:rPr>
        <w:t>indicated that the offense he w</w:t>
      </w:r>
      <w:r w:rsidR="002E76EE">
        <w:rPr>
          <w:spacing w:val="-2"/>
          <w:lang w:val="en-US"/>
        </w:rPr>
        <w:t>as accused of was punishable by</w:t>
      </w:r>
      <w:r w:rsidRPr="008A1DB4">
        <w:rPr>
          <w:spacing w:val="-2"/>
          <w:lang w:val="en-US"/>
        </w:rPr>
        <w:t xml:space="preserve"> the death </w:t>
      </w:r>
      <w:r w:rsidR="00947926" w:rsidRPr="008A1DB4">
        <w:rPr>
          <w:spacing w:val="-2"/>
          <w:lang w:val="en-US"/>
        </w:rPr>
        <w:t>penalty</w:t>
      </w:r>
      <w:r w:rsidRPr="008A1DB4">
        <w:rPr>
          <w:spacing w:val="-2"/>
          <w:lang w:val="en-US"/>
        </w:rPr>
        <w:t xml:space="preserve"> and, during the extradition hearing, </w:t>
      </w:r>
      <w:r w:rsidR="008601B6" w:rsidRPr="008A1DB4">
        <w:rPr>
          <w:spacing w:val="-2"/>
          <w:lang w:val="en-US"/>
        </w:rPr>
        <w:t>his representative</w:t>
      </w:r>
      <w:r w:rsidR="00470B06" w:rsidRPr="008A1DB4">
        <w:rPr>
          <w:spacing w:val="-2"/>
          <w:lang w:val="en-US"/>
        </w:rPr>
        <w:t xml:space="preserve"> </w:t>
      </w:r>
      <w:r w:rsidRPr="008A1DB4">
        <w:rPr>
          <w:spacing w:val="-2"/>
          <w:lang w:val="en-US"/>
        </w:rPr>
        <w:t xml:space="preserve">underlined that China had not provided a copy </w:t>
      </w:r>
      <w:r w:rsidR="0058668C" w:rsidRPr="008A1DB4">
        <w:rPr>
          <w:spacing w:val="-2"/>
          <w:lang w:val="en-US"/>
        </w:rPr>
        <w:t xml:space="preserve">of </w:t>
      </w:r>
      <w:r w:rsidR="00E022F9" w:rsidRPr="008A1DB4">
        <w:rPr>
          <w:spacing w:val="-2"/>
          <w:lang w:val="en-US"/>
        </w:rPr>
        <w:t>article 151</w:t>
      </w:r>
      <w:r w:rsidR="00470B06" w:rsidRPr="008A1DB4">
        <w:rPr>
          <w:spacing w:val="-2"/>
          <w:lang w:val="en-US"/>
        </w:rPr>
        <w:t xml:space="preserve"> </w:t>
      </w:r>
      <w:r w:rsidRPr="008A1DB4">
        <w:rPr>
          <w:spacing w:val="-2"/>
          <w:lang w:val="en-US"/>
        </w:rPr>
        <w:t>of its</w:t>
      </w:r>
      <w:r w:rsidR="00470B06" w:rsidRPr="008A1DB4">
        <w:rPr>
          <w:spacing w:val="-2"/>
          <w:lang w:val="en-US"/>
        </w:rPr>
        <w:t xml:space="preserve"> </w:t>
      </w:r>
      <w:r w:rsidR="001E7113" w:rsidRPr="008A1DB4">
        <w:rPr>
          <w:spacing w:val="-2"/>
          <w:lang w:val="en-US"/>
        </w:rPr>
        <w:t>Criminal Code</w:t>
      </w:r>
      <w:r w:rsidR="00470B06" w:rsidRPr="008A1DB4">
        <w:rPr>
          <w:spacing w:val="-2"/>
          <w:lang w:val="en-US"/>
        </w:rPr>
        <w:t xml:space="preserve">, </w:t>
      </w:r>
      <w:r w:rsidRPr="008A1DB4">
        <w:rPr>
          <w:spacing w:val="-2"/>
          <w:lang w:val="en-US"/>
        </w:rPr>
        <w:t>the authorities did not request this information from the</w:t>
      </w:r>
      <w:r w:rsidR="00470B06" w:rsidRPr="008A1DB4">
        <w:rPr>
          <w:spacing w:val="-2"/>
          <w:lang w:val="en-US"/>
        </w:rPr>
        <w:t xml:space="preserve"> </w:t>
      </w:r>
      <w:r w:rsidRPr="008A1DB4">
        <w:rPr>
          <w:spacing w:val="-2"/>
          <w:lang w:val="en-US"/>
        </w:rPr>
        <w:t>r</w:t>
      </w:r>
      <w:r w:rsidR="001E7113" w:rsidRPr="008A1DB4">
        <w:rPr>
          <w:spacing w:val="-2"/>
          <w:lang w:val="en-US"/>
        </w:rPr>
        <w:t>equesting State</w:t>
      </w:r>
      <w:r w:rsidR="00470B06" w:rsidRPr="008A1DB4">
        <w:rPr>
          <w:spacing w:val="-2"/>
          <w:lang w:val="en-US"/>
        </w:rPr>
        <w:t xml:space="preserve">. </w:t>
      </w:r>
      <w:r w:rsidRPr="008A1DB4">
        <w:rPr>
          <w:spacing w:val="-2"/>
          <w:lang w:val="en-US"/>
        </w:rPr>
        <w:t xml:space="preserve">To the contrary, </w:t>
      </w:r>
      <w:r w:rsidR="001E7113" w:rsidRPr="008A1DB4">
        <w:rPr>
          <w:spacing w:val="-2"/>
          <w:lang w:val="en-US"/>
        </w:rPr>
        <w:t>the Second Transitory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810189" w:rsidRPr="008A1DB4">
        <w:rPr>
          <w:spacing w:val="-2"/>
          <w:lang w:val="en-US"/>
        </w:rPr>
        <w:t xml:space="preserve"> </w:t>
      </w:r>
      <w:r w:rsidRPr="008A1DB4">
        <w:rPr>
          <w:spacing w:val="-2"/>
          <w:lang w:val="en-US"/>
        </w:rPr>
        <w:t>issued the</w:t>
      </w:r>
      <w:r w:rsidR="00810189" w:rsidRPr="008A1DB4">
        <w:rPr>
          <w:spacing w:val="-2"/>
          <w:lang w:val="en-US"/>
        </w:rPr>
        <w:t xml:space="preserve"> </w:t>
      </w:r>
      <w:r w:rsidR="002D1CFC" w:rsidRPr="008A1DB4">
        <w:rPr>
          <w:spacing w:val="-2"/>
          <w:lang w:val="en-US"/>
        </w:rPr>
        <w:t>advisory decision</w:t>
      </w:r>
      <w:r w:rsidRPr="008A1DB4">
        <w:rPr>
          <w:spacing w:val="-2"/>
          <w:lang w:val="en-US"/>
        </w:rPr>
        <w:t xml:space="preserve"> i</w:t>
      </w:r>
      <w:r w:rsidR="00470B06" w:rsidRPr="008A1DB4">
        <w:rPr>
          <w:spacing w:val="-2"/>
          <w:lang w:val="en-US"/>
        </w:rPr>
        <w:t xml:space="preserve">n </w:t>
      </w:r>
      <w:r w:rsidR="00FC5891" w:rsidRPr="008A1DB4">
        <w:rPr>
          <w:spacing w:val="-2"/>
          <w:lang w:val="en-US"/>
        </w:rPr>
        <w:t>the extradition process</w:t>
      </w:r>
      <w:r w:rsidR="00470B06" w:rsidRPr="008A1DB4">
        <w:rPr>
          <w:spacing w:val="-2"/>
          <w:lang w:val="en-US"/>
        </w:rPr>
        <w:t xml:space="preserve">, </w:t>
      </w:r>
      <w:r w:rsidRPr="008A1DB4">
        <w:rPr>
          <w:spacing w:val="-2"/>
          <w:lang w:val="en-US"/>
        </w:rPr>
        <w:t>which was s</w:t>
      </w:r>
      <w:r w:rsidR="00A3310A" w:rsidRPr="008A1DB4">
        <w:rPr>
          <w:spacing w:val="-2"/>
          <w:lang w:val="en-US"/>
        </w:rPr>
        <w:t>ubsequently</w:t>
      </w:r>
      <w:r w:rsidR="00470B06" w:rsidRPr="008A1DB4">
        <w:rPr>
          <w:spacing w:val="-2"/>
          <w:lang w:val="en-US"/>
        </w:rPr>
        <w:t xml:space="preserve"> an</w:t>
      </w:r>
      <w:r w:rsidRPr="008A1DB4">
        <w:rPr>
          <w:spacing w:val="-2"/>
          <w:lang w:val="en-US"/>
        </w:rPr>
        <w:t xml:space="preserve">nulled by means of a </w:t>
      </w:r>
      <w:r w:rsidR="00E022F9" w:rsidRPr="008A1DB4">
        <w:rPr>
          <w:i/>
          <w:spacing w:val="-2"/>
          <w:lang w:val="en-US"/>
        </w:rPr>
        <w:t>habeas corpus</w:t>
      </w:r>
      <w:r w:rsidR="00470B06" w:rsidRPr="008A1DB4">
        <w:rPr>
          <w:i/>
          <w:spacing w:val="-2"/>
          <w:lang w:val="en-US"/>
        </w:rPr>
        <w:t xml:space="preserve"> </w:t>
      </w:r>
      <w:r w:rsidR="00470B06" w:rsidRPr="008A1DB4">
        <w:rPr>
          <w:spacing w:val="-2"/>
          <w:lang w:val="en-US"/>
        </w:rPr>
        <w:t>(</w:t>
      </w:r>
      <w:r w:rsidR="00470B06" w:rsidRPr="008A1DB4">
        <w:rPr>
          <w:i/>
          <w:spacing w:val="-2"/>
          <w:lang w:val="en-US"/>
        </w:rPr>
        <w:t xml:space="preserve">supra </w:t>
      </w:r>
      <w:r w:rsidR="00C45946" w:rsidRPr="008A1DB4">
        <w:rPr>
          <w:spacing w:val="-2"/>
          <w:lang w:val="en-US"/>
        </w:rPr>
        <w:t xml:space="preserve">para. </w:t>
      </w:r>
      <w:r w:rsidR="00AA68DF" w:rsidRPr="008A1DB4">
        <w:rPr>
          <w:spacing w:val="-2"/>
          <w:lang w:val="en-US"/>
        </w:rPr>
        <w:fldChar w:fldCharType="begin"/>
      </w:r>
      <w:r w:rsidR="00AA68DF" w:rsidRPr="008A1DB4">
        <w:rPr>
          <w:spacing w:val="-2"/>
          <w:lang w:val="en-US"/>
        </w:rPr>
        <w:instrText xml:space="preserve"> REF _Ref402273545 \r \h </w:instrText>
      </w:r>
      <w:r w:rsidR="00DC41F4" w:rsidRPr="008A1DB4">
        <w:rPr>
          <w:spacing w:val="-2"/>
          <w:lang w:val="en-US"/>
        </w:rPr>
        <w:instrText xml:space="preserve"> \* MERGEFORMAT </w:instrText>
      </w:r>
      <w:r w:rsidR="00AA68DF" w:rsidRPr="008A1DB4">
        <w:rPr>
          <w:spacing w:val="-2"/>
          <w:lang w:val="en-US"/>
        </w:rPr>
      </w:r>
      <w:r w:rsidR="00AA68DF" w:rsidRPr="008A1DB4">
        <w:rPr>
          <w:spacing w:val="-2"/>
          <w:lang w:val="en-US"/>
        </w:rPr>
        <w:fldChar w:fldCharType="separate"/>
      </w:r>
      <w:r w:rsidR="00E961FA" w:rsidRPr="008A1DB4">
        <w:rPr>
          <w:spacing w:val="-2"/>
          <w:lang w:val="en-US"/>
        </w:rPr>
        <w:t>70</w:t>
      </w:r>
      <w:r w:rsidR="00AA68DF" w:rsidRPr="008A1DB4">
        <w:rPr>
          <w:spacing w:val="-2"/>
          <w:lang w:val="en-US"/>
        </w:rPr>
        <w:fldChar w:fldCharType="end"/>
      </w:r>
      <w:r w:rsidR="00470B06" w:rsidRPr="008A1DB4">
        <w:rPr>
          <w:spacing w:val="-2"/>
          <w:lang w:val="en-US"/>
        </w:rPr>
        <w:t>).</w:t>
      </w:r>
      <w:r w:rsidR="002E76EE">
        <w:rPr>
          <w:spacing w:val="-2"/>
          <w:lang w:val="en-US"/>
        </w:rPr>
        <w:t xml:space="preserve"> Furthermore, neither</w:t>
      </w:r>
      <w:r w:rsidRPr="008A1DB4">
        <w:rPr>
          <w:spacing w:val="-2"/>
          <w:lang w:val="en-US"/>
        </w:rPr>
        <w:t xml:space="preserve"> did the authorities request </w:t>
      </w:r>
      <w:r w:rsidR="00653211" w:rsidRPr="008A1DB4">
        <w:rPr>
          <w:spacing w:val="-2"/>
          <w:lang w:val="en-US"/>
        </w:rPr>
        <w:t>the</w:t>
      </w:r>
      <w:r w:rsidRPr="008A1DB4">
        <w:rPr>
          <w:spacing w:val="-2"/>
          <w:lang w:val="en-US"/>
        </w:rPr>
        <w:t xml:space="preserve"> necessary and sufficient</w:t>
      </w:r>
      <w:r w:rsidR="00653211" w:rsidRPr="008A1DB4">
        <w:rPr>
          <w:spacing w:val="-2"/>
          <w:lang w:val="en-US"/>
        </w:rPr>
        <w:t xml:space="preserve"> </w:t>
      </w:r>
      <w:r w:rsidR="00945E57" w:rsidRPr="008A1DB4">
        <w:rPr>
          <w:spacing w:val="-2"/>
          <w:lang w:val="en-US"/>
        </w:rPr>
        <w:t>diplomatic assurances</w:t>
      </w:r>
      <w:r w:rsidRPr="008A1DB4">
        <w:rPr>
          <w:spacing w:val="-2"/>
          <w:lang w:val="en-US"/>
        </w:rPr>
        <w:t xml:space="preserve"> that the death penalty would not be imposed, which </w:t>
      </w:r>
      <w:proofErr w:type="gramStart"/>
      <w:r w:rsidRPr="008A1DB4">
        <w:rPr>
          <w:spacing w:val="-2"/>
          <w:lang w:val="en-US"/>
        </w:rPr>
        <w:t>was also grounds</w:t>
      </w:r>
      <w:proofErr w:type="gramEnd"/>
      <w:r w:rsidRPr="008A1DB4">
        <w:rPr>
          <w:spacing w:val="-2"/>
          <w:lang w:val="en-US"/>
        </w:rPr>
        <w:t xml:space="preserve"> for the annulment of the first</w:t>
      </w:r>
      <w:r w:rsidR="00470B06" w:rsidRPr="008A1DB4">
        <w:rPr>
          <w:spacing w:val="-2"/>
          <w:lang w:val="en-US"/>
        </w:rPr>
        <w:t xml:space="preserve"> </w:t>
      </w:r>
      <w:r w:rsidR="002D1CFC" w:rsidRPr="008A1DB4">
        <w:rPr>
          <w:spacing w:val="-2"/>
          <w:lang w:val="en-US"/>
        </w:rPr>
        <w:t>advisory decision</w:t>
      </w:r>
      <w:r w:rsidRPr="008A1DB4">
        <w:rPr>
          <w:spacing w:val="-2"/>
          <w:lang w:val="en-US"/>
        </w:rPr>
        <w:t>.</w:t>
      </w:r>
      <w:r w:rsidR="00470B06" w:rsidRPr="008A1DB4">
        <w:rPr>
          <w:rStyle w:val="FootnoteReference"/>
          <w:spacing w:val="-2"/>
          <w:lang w:val="en-US"/>
        </w:rPr>
        <w:footnoteReference w:id="303"/>
      </w:r>
      <w:r w:rsidR="00470B06" w:rsidRPr="008A1DB4">
        <w:rPr>
          <w:spacing w:val="-2"/>
          <w:lang w:val="en-US"/>
        </w:rPr>
        <w:t xml:space="preserve"> </w:t>
      </w:r>
    </w:p>
    <w:p w14:paraId="13E34C7E" w14:textId="77777777" w:rsidR="00470B06" w:rsidRPr="008A1DB4" w:rsidRDefault="00470B06" w:rsidP="00956E97">
      <w:pPr>
        <w:tabs>
          <w:tab w:val="left" w:pos="284"/>
        </w:tabs>
        <w:rPr>
          <w:b/>
          <w:spacing w:val="-2"/>
          <w:lang w:val="en-US"/>
        </w:rPr>
      </w:pPr>
    </w:p>
    <w:p w14:paraId="11FA28DC" w14:textId="76B4EE3D" w:rsidR="00470B06" w:rsidRPr="008A1DB4" w:rsidRDefault="00E92BA7" w:rsidP="00956E97">
      <w:pPr>
        <w:pStyle w:val="PrrafodeSentencia"/>
        <w:rPr>
          <w:b/>
          <w:spacing w:val="-2"/>
          <w:lang w:val="en-US"/>
        </w:rPr>
      </w:pPr>
      <w:bookmarkStart w:id="889" w:name="_Ref428981873"/>
      <w:r w:rsidRPr="008A1DB4">
        <w:rPr>
          <w:spacing w:val="-2"/>
          <w:lang w:val="en-US"/>
        </w:rPr>
        <w:t xml:space="preserve">Regarding these delays, </w:t>
      </w:r>
      <w:r w:rsidR="002D1CFC" w:rsidRPr="008A1DB4">
        <w:rPr>
          <w:spacing w:val="-2"/>
          <w:lang w:val="en-US"/>
        </w:rPr>
        <w:t xml:space="preserve">the </w:t>
      </w:r>
      <w:r w:rsidR="00FC5891" w:rsidRPr="008A1DB4">
        <w:rPr>
          <w:spacing w:val="-2"/>
          <w:lang w:val="en-US"/>
        </w:rPr>
        <w:t>Permanent Criminal Chamber</w:t>
      </w:r>
      <w:r w:rsidR="00470B06" w:rsidRPr="008A1DB4">
        <w:rPr>
          <w:spacing w:val="-2"/>
          <w:lang w:val="en-US"/>
        </w:rPr>
        <w:t xml:space="preserve"> </w:t>
      </w:r>
      <w:r w:rsidRPr="008A1DB4">
        <w:rPr>
          <w:spacing w:val="-2"/>
          <w:lang w:val="en-US"/>
        </w:rPr>
        <w:t xml:space="preserve">indicated in the second </w:t>
      </w:r>
      <w:r w:rsidR="002D1CFC" w:rsidRPr="008A1DB4">
        <w:rPr>
          <w:spacing w:val="-2"/>
          <w:lang w:val="en-US"/>
        </w:rPr>
        <w:t>advisory decision</w:t>
      </w:r>
      <w:r w:rsidR="00470B06" w:rsidRPr="008A1DB4">
        <w:rPr>
          <w:spacing w:val="-2"/>
          <w:lang w:val="en-US"/>
        </w:rPr>
        <w:t xml:space="preserve"> </w:t>
      </w:r>
      <w:r w:rsidRPr="008A1DB4">
        <w:rPr>
          <w:spacing w:val="-2"/>
          <w:lang w:val="en-US"/>
        </w:rPr>
        <w:t xml:space="preserve">that the delays in the processing of the request “were a result of </w:t>
      </w:r>
      <w:r w:rsidR="00653211" w:rsidRPr="008A1DB4">
        <w:rPr>
          <w:spacing w:val="-2"/>
          <w:lang w:val="en-US"/>
        </w:rPr>
        <w:t>the requesting State</w:t>
      </w:r>
      <w:r w:rsidR="00470B06" w:rsidRPr="008A1DB4">
        <w:rPr>
          <w:spacing w:val="-2"/>
          <w:lang w:val="en-US"/>
        </w:rPr>
        <w:t xml:space="preserve"> […] </w:t>
      </w:r>
      <w:r w:rsidRPr="008A1DB4">
        <w:rPr>
          <w:spacing w:val="-2"/>
          <w:lang w:val="en-US"/>
        </w:rPr>
        <w:t>failing to comply promptly with the presentation of the essential supporting documents […] so as not to violate the supranational law on international agreements.</w:t>
      </w:r>
      <w:r w:rsidR="00470B06" w:rsidRPr="008A1DB4">
        <w:rPr>
          <w:spacing w:val="-2"/>
          <w:lang w:val="en-US"/>
        </w:rPr>
        <w:t>”</w:t>
      </w:r>
      <w:r w:rsidR="00470B06" w:rsidRPr="008A1DB4">
        <w:rPr>
          <w:spacing w:val="-2"/>
          <w:vertAlign w:val="superscript"/>
          <w:lang w:val="en-US"/>
        </w:rPr>
        <w:footnoteReference w:id="304"/>
      </w:r>
      <w:r w:rsidR="00470B06" w:rsidRPr="008A1DB4">
        <w:rPr>
          <w:spacing w:val="-2"/>
          <w:lang w:val="en-US"/>
        </w:rPr>
        <w:t xml:space="preserve"> </w:t>
      </w:r>
      <w:r w:rsidRPr="008A1DB4">
        <w:rPr>
          <w:spacing w:val="-2"/>
          <w:lang w:val="en-US"/>
        </w:rPr>
        <w:t xml:space="preserve">In this regard, it is important to point out that, even if </w:t>
      </w:r>
      <w:r w:rsidR="00653211" w:rsidRPr="008A1DB4">
        <w:rPr>
          <w:spacing w:val="-2"/>
          <w:lang w:val="en-US"/>
        </w:rPr>
        <w:t>the requesting State</w:t>
      </w:r>
      <w:r w:rsidRPr="008A1DB4">
        <w:rPr>
          <w:spacing w:val="-2"/>
          <w:lang w:val="en-US"/>
        </w:rPr>
        <w:t xml:space="preserve"> did not forward the complete documentation, it is </w:t>
      </w:r>
      <w:r w:rsidR="00071662" w:rsidRPr="008A1DB4">
        <w:rPr>
          <w:spacing w:val="-2"/>
          <w:lang w:val="en-US"/>
        </w:rPr>
        <w:t>the Peruvian State</w:t>
      </w:r>
      <w:r w:rsidR="00470B06" w:rsidRPr="008A1DB4">
        <w:rPr>
          <w:spacing w:val="-2"/>
          <w:lang w:val="en-US"/>
        </w:rPr>
        <w:t xml:space="preserve">, </w:t>
      </w:r>
      <w:r w:rsidRPr="008A1DB4">
        <w:rPr>
          <w:spacing w:val="-2"/>
          <w:lang w:val="en-US"/>
        </w:rPr>
        <w:t>as a State Party to</w:t>
      </w:r>
      <w:r w:rsidR="00F36400" w:rsidRPr="008A1DB4">
        <w:rPr>
          <w:spacing w:val="-2"/>
          <w:lang w:val="en-US"/>
        </w:rPr>
        <w:t xml:space="preserve"> the American Convention</w:t>
      </w:r>
      <w:r w:rsidR="00470B06" w:rsidRPr="008A1DB4">
        <w:rPr>
          <w:spacing w:val="-2"/>
          <w:lang w:val="en-US"/>
        </w:rPr>
        <w:t xml:space="preserve">, </w:t>
      </w:r>
      <w:r w:rsidRPr="008A1DB4">
        <w:rPr>
          <w:spacing w:val="-2"/>
          <w:lang w:val="en-US"/>
        </w:rPr>
        <w:t xml:space="preserve">that is obliged to </w:t>
      </w:r>
      <w:r w:rsidR="002E76EE">
        <w:rPr>
          <w:spacing w:val="-2"/>
          <w:lang w:val="en-US"/>
        </w:rPr>
        <w:t>conduct</w:t>
      </w:r>
      <w:r w:rsidRPr="008A1DB4">
        <w:rPr>
          <w:spacing w:val="-2"/>
          <w:lang w:val="en-US"/>
        </w:rPr>
        <w:t xml:space="preserve"> </w:t>
      </w:r>
      <w:r w:rsidR="00FC5891" w:rsidRPr="008A1DB4">
        <w:rPr>
          <w:spacing w:val="-2"/>
          <w:lang w:val="en-US"/>
        </w:rPr>
        <w:t>the extradition process</w:t>
      </w:r>
      <w:r w:rsidR="007F1A47" w:rsidRPr="008A1DB4">
        <w:rPr>
          <w:spacing w:val="-2"/>
          <w:lang w:val="en-US"/>
        </w:rPr>
        <w:t xml:space="preserve"> </w:t>
      </w:r>
      <w:r w:rsidRPr="008A1DB4">
        <w:rPr>
          <w:spacing w:val="-2"/>
          <w:lang w:val="en-US"/>
        </w:rPr>
        <w:t xml:space="preserve">in accordance with the obligations imposed by </w:t>
      </w:r>
      <w:r w:rsidR="00F36400" w:rsidRPr="008A1DB4">
        <w:rPr>
          <w:spacing w:val="-2"/>
          <w:lang w:val="en-US"/>
        </w:rPr>
        <w:t>the American Convention</w:t>
      </w:r>
      <w:r w:rsidR="00470B06" w:rsidRPr="008A1DB4">
        <w:rPr>
          <w:spacing w:val="-2"/>
          <w:lang w:val="en-US"/>
        </w:rPr>
        <w:t>, inclu</w:t>
      </w:r>
      <w:r w:rsidRPr="008A1DB4">
        <w:rPr>
          <w:spacing w:val="-2"/>
          <w:lang w:val="en-US"/>
        </w:rPr>
        <w:t xml:space="preserve">ding that </w:t>
      </w:r>
      <w:r w:rsidR="002E76EE">
        <w:rPr>
          <w:spacing w:val="-2"/>
          <w:lang w:val="en-US"/>
        </w:rPr>
        <w:t>the process</w:t>
      </w:r>
      <w:r w:rsidRPr="008A1DB4">
        <w:rPr>
          <w:spacing w:val="-2"/>
          <w:lang w:val="en-US"/>
        </w:rPr>
        <w:t xml:space="preserve"> be conducted within a </w:t>
      </w:r>
      <w:r w:rsidR="00A33F97" w:rsidRPr="008A1DB4">
        <w:rPr>
          <w:spacing w:val="-2"/>
          <w:lang w:val="en-US"/>
        </w:rPr>
        <w:t>reasonable time</w:t>
      </w:r>
      <w:r w:rsidR="00470B06" w:rsidRPr="008A1DB4">
        <w:rPr>
          <w:spacing w:val="-2"/>
          <w:lang w:val="en-US"/>
        </w:rPr>
        <w:t>.</w:t>
      </w:r>
      <w:bookmarkEnd w:id="889"/>
    </w:p>
    <w:p w14:paraId="44FE4468" w14:textId="77777777" w:rsidR="00470B06" w:rsidRPr="008A1DB4" w:rsidRDefault="00470B06" w:rsidP="00956E97">
      <w:pPr>
        <w:rPr>
          <w:spacing w:val="-2"/>
          <w:lang w:val="en-US"/>
        </w:rPr>
      </w:pPr>
    </w:p>
    <w:p w14:paraId="6993245E" w14:textId="3A523A9F" w:rsidR="00470B06" w:rsidRPr="008A1DB4" w:rsidRDefault="00E92BA7" w:rsidP="00956E97">
      <w:pPr>
        <w:pStyle w:val="PrrafodeSentencia"/>
        <w:rPr>
          <w:spacing w:val="-2"/>
          <w:lang w:val="en-US"/>
        </w:rPr>
      </w:pPr>
      <w:r w:rsidRPr="008A1DB4">
        <w:rPr>
          <w:spacing w:val="-2"/>
          <w:lang w:val="en-US"/>
        </w:rPr>
        <w:t>Regarding the</w:t>
      </w:r>
      <w:r w:rsidR="00470B06" w:rsidRPr="008A1DB4">
        <w:rPr>
          <w:spacing w:val="-2"/>
          <w:lang w:val="en-US"/>
        </w:rPr>
        <w:t xml:space="preserve"> </w:t>
      </w:r>
      <w:r w:rsidR="003C49A4" w:rsidRPr="008A1DB4">
        <w:rPr>
          <w:spacing w:val="-2"/>
          <w:lang w:val="en-US"/>
        </w:rPr>
        <w:t>second stage of the process</w:t>
      </w:r>
      <w:r w:rsidR="00810189" w:rsidRPr="008A1DB4">
        <w:rPr>
          <w:spacing w:val="-2"/>
          <w:lang w:val="en-US"/>
        </w:rPr>
        <w:t xml:space="preserve">, </w:t>
      </w:r>
      <w:r w:rsidRPr="008A1DB4">
        <w:rPr>
          <w:spacing w:val="-2"/>
          <w:lang w:val="en-US"/>
        </w:rPr>
        <w:t xml:space="preserve">once the annulment of the </w:t>
      </w:r>
      <w:r w:rsidR="002D1CFC" w:rsidRPr="008A1DB4">
        <w:rPr>
          <w:spacing w:val="-2"/>
          <w:lang w:val="en-US"/>
        </w:rPr>
        <w:t>advisory decision</w:t>
      </w:r>
      <w:r w:rsidR="00470B06" w:rsidRPr="008A1DB4">
        <w:rPr>
          <w:spacing w:val="-2"/>
          <w:lang w:val="en-US"/>
        </w:rPr>
        <w:t xml:space="preserve"> </w:t>
      </w:r>
      <w:r w:rsidRPr="008A1DB4">
        <w:rPr>
          <w:spacing w:val="-2"/>
          <w:lang w:val="en-US"/>
        </w:rPr>
        <w:t xml:space="preserve">was made final on </w:t>
      </w:r>
      <w:r w:rsidR="00E022F9" w:rsidRPr="008A1DB4">
        <w:rPr>
          <w:spacing w:val="-2"/>
          <w:lang w:val="en-US"/>
        </w:rPr>
        <w:t>June 15,</w:t>
      </w:r>
      <w:r w:rsidR="00470B06" w:rsidRPr="008A1DB4">
        <w:rPr>
          <w:spacing w:val="-2"/>
          <w:lang w:val="en-US"/>
        </w:rPr>
        <w:t xml:space="preserve"> 2009, </w:t>
      </w:r>
      <w:r w:rsidRPr="008A1DB4">
        <w:rPr>
          <w:spacing w:val="-2"/>
          <w:lang w:val="en-US"/>
        </w:rPr>
        <w:t xml:space="preserve">a new decision was not issued until </w:t>
      </w:r>
      <w:r w:rsidR="00671326" w:rsidRPr="008A1DB4">
        <w:rPr>
          <w:spacing w:val="-2"/>
          <w:lang w:val="en-US"/>
        </w:rPr>
        <w:t>January 27,</w:t>
      </w:r>
      <w:r w:rsidR="00470B06" w:rsidRPr="008A1DB4">
        <w:rPr>
          <w:spacing w:val="-2"/>
          <w:lang w:val="en-US"/>
        </w:rPr>
        <w:t xml:space="preserve"> 2010</w:t>
      </w:r>
      <w:r w:rsidRPr="008A1DB4">
        <w:rPr>
          <w:spacing w:val="-2"/>
          <w:lang w:val="en-US"/>
        </w:rPr>
        <w:t xml:space="preserve"> </w:t>
      </w:r>
      <w:r w:rsidR="00470B06" w:rsidRPr="008A1DB4">
        <w:rPr>
          <w:spacing w:val="-2"/>
          <w:lang w:val="en-US"/>
        </w:rPr>
        <w:t>(</w:t>
      </w:r>
      <w:r w:rsidR="00470B06" w:rsidRPr="008A1DB4">
        <w:rPr>
          <w:i/>
          <w:spacing w:val="-2"/>
          <w:lang w:val="en-US"/>
        </w:rPr>
        <w:t xml:space="preserve">supra </w:t>
      </w:r>
      <w:r w:rsidR="00C45946" w:rsidRPr="008A1DB4">
        <w:rPr>
          <w:spacing w:val="-2"/>
          <w:lang w:val="en-US"/>
        </w:rPr>
        <w:t xml:space="preserve">para. </w:t>
      </w:r>
      <w:r w:rsidR="00A2273E" w:rsidRPr="008A1DB4">
        <w:rPr>
          <w:spacing w:val="-2"/>
          <w:lang w:val="en-US"/>
        </w:rPr>
        <w:fldChar w:fldCharType="begin"/>
      </w:r>
      <w:r w:rsidR="00A2273E" w:rsidRPr="008A1DB4">
        <w:rPr>
          <w:spacing w:val="-2"/>
          <w:lang w:val="en-US"/>
        </w:rPr>
        <w:instrText xml:space="preserve"> REF _Ref402186805 \r \h </w:instrText>
      </w:r>
      <w:r w:rsidR="00DC41F4" w:rsidRPr="008A1DB4">
        <w:rPr>
          <w:spacing w:val="-2"/>
          <w:lang w:val="en-US"/>
        </w:rPr>
        <w:instrText xml:space="preserve"> \* MERGEFORMAT </w:instrText>
      </w:r>
      <w:r w:rsidR="00A2273E" w:rsidRPr="008A1DB4">
        <w:rPr>
          <w:spacing w:val="-2"/>
          <w:lang w:val="en-US"/>
        </w:rPr>
      </w:r>
      <w:r w:rsidR="00A2273E" w:rsidRPr="008A1DB4">
        <w:rPr>
          <w:spacing w:val="-2"/>
          <w:lang w:val="en-US"/>
        </w:rPr>
        <w:fldChar w:fldCharType="separate"/>
      </w:r>
      <w:r w:rsidR="00E961FA" w:rsidRPr="008A1DB4">
        <w:rPr>
          <w:spacing w:val="-2"/>
          <w:lang w:val="en-US"/>
        </w:rPr>
        <w:t>78</w:t>
      </w:r>
      <w:r w:rsidR="00A2273E" w:rsidRPr="008A1DB4">
        <w:rPr>
          <w:spacing w:val="-2"/>
          <w:lang w:val="en-US"/>
        </w:rPr>
        <w:fldChar w:fldCharType="end"/>
      </w:r>
      <w:r w:rsidR="00470B06" w:rsidRPr="008A1DB4">
        <w:rPr>
          <w:spacing w:val="-2"/>
          <w:lang w:val="en-US"/>
        </w:rPr>
        <w:t xml:space="preserve">). </w:t>
      </w:r>
      <w:r w:rsidRPr="008A1DB4">
        <w:rPr>
          <w:spacing w:val="-2"/>
          <w:lang w:val="en-US"/>
        </w:rPr>
        <w:t xml:space="preserve">Between these dates, the Supreme Prosecutor gave his </w:t>
      </w:r>
      <w:r w:rsidR="00947926" w:rsidRPr="008A1DB4">
        <w:rPr>
          <w:spacing w:val="-2"/>
          <w:lang w:val="en-US"/>
        </w:rPr>
        <w:t>opinion</w:t>
      </w:r>
      <w:r w:rsidRPr="008A1DB4">
        <w:rPr>
          <w:spacing w:val="-2"/>
          <w:lang w:val="en-US"/>
        </w:rPr>
        <w:t xml:space="preserve"> on the request and several extradition hearings were held, the last on </w:t>
      </w:r>
      <w:r w:rsidR="00BB336A" w:rsidRPr="008A1DB4">
        <w:rPr>
          <w:spacing w:val="-2"/>
          <w:lang w:val="en-US"/>
        </w:rPr>
        <w:t xml:space="preserve">December </w:t>
      </w:r>
      <w:r w:rsidRPr="008A1DB4">
        <w:rPr>
          <w:spacing w:val="-2"/>
          <w:lang w:val="en-US"/>
        </w:rPr>
        <w:t>2</w:t>
      </w:r>
      <w:r w:rsidR="00BB336A" w:rsidRPr="008A1DB4">
        <w:rPr>
          <w:spacing w:val="-2"/>
          <w:lang w:val="en-US"/>
        </w:rPr>
        <w:t>1,</w:t>
      </w:r>
      <w:r w:rsidR="00470B06" w:rsidRPr="008A1DB4">
        <w:rPr>
          <w:spacing w:val="-2"/>
          <w:lang w:val="en-US"/>
        </w:rPr>
        <w:t xml:space="preserve"> 2009. </w:t>
      </w:r>
      <w:r w:rsidRPr="008A1DB4">
        <w:rPr>
          <w:spacing w:val="-2"/>
          <w:lang w:val="en-US"/>
        </w:rPr>
        <w:t>Nevertheless, the Cour</w:t>
      </w:r>
      <w:r w:rsidR="002E76EE">
        <w:rPr>
          <w:spacing w:val="-2"/>
          <w:lang w:val="en-US"/>
        </w:rPr>
        <w:t>t notes that the proceeding was</w:t>
      </w:r>
      <w:r w:rsidRPr="008A1DB4">
        <w:rPr>
          <w:spacing w:val="-2"/>
          <w:lang w:val="en-US"/>
        </w:rPr>
        <w:t xml:space="preserve"> twice as long as when the first</w:t>
      </w:r>
      <w:r w:rsidR="00DB12AA" w:rsidRPr="008A1DB4">
        <w:rPr>
          <w:spacing w:val="-2"/>
          <w:lang w:val="en-US"/>
        </w:rPr>
        <w:t xml:space="preserve"> </w:t>
      </w:r>
      <w:r w:rsidR="002D1CFC" w:rsidRPr="008A1DB4">
        <w:rPr>
          <w:spacing w:val="-2"/>
          <w:lang w:val="en-US"/>
        </w:rPr>
        <w:t xml:space="preserve">advisory </w:t>
      </w:r>
      <w:r w:rsidR="0079515C" w:rsidRPr="008A1DB4">
        <w:rPr>
          <w:spacing w:val="-2"/>
          <w:lang w:val="en-US"/>
        </w:rPr>
        <w:t>decision</w:t>
      </w:r>
      <w:r w:rsidRPr="008A1DB4">
        <w:rPr>
          <w:spacing w:val="-2"/>
          <w:lang w:val="en-US"/>
        </w:rPr>
        <w:t xml:space="preserve"> was issued, failing to comply with some of the legal deadlines. Thus, the Procedural Code establishes that, once the </w:t>
      </w:r>
      <w:r w:rsidR="0079515C" w:rsidRPr="008A1DB4">
        <w:rPr>
          <w:spacing w:val="-2"/>
          <w:lang w:val="en-US"/>
        </w:rPr>
        <w:t>extradition</w:t>
      </w:r>
      <w:r w:rsidRPr="008A1DB4">
        <w:rPr>
          <w:spacing w:val="-2"/>
          <w:lang w:val="en-US"/>
        </w:rPr>
        <w:t xml:space="preserve"> hearing has been held, </w:t>
      </w:r>
      <w:r w:rsidR="00B67AC5" w:rsidRPr="008A1DB4">
        <w:rPr>
          <w:spacing w:val="-2"/>
          <w:lang w:val="en-US"/>
        </w:rPr>
        <w:t>the Supreme Court</w:t>
      </w:r>
      <w:r w:rsidR="00470B06" w:rsidRPr="008A1DB4">
        <w:rPr>
          <w:spacing w:val="-2"/>
          <w:lang w:val="en-US"/>
        </w:rPr>
        <w:t xml:space="preserve"> </w:t>
      </w:r>
      <w:r w:rsidRPr="008A1DB4">
        <w:rPr>
          <w:spacing w:val="-2"/>
          <w:lang w:val="en-US"/>
        </w:rPr>
        <w:t xml:space="preserve">has five days to issue the decision. In this case, the hearing was held on </w:t>
      </w:r>
      <w:r w:rsidR="00BB336A" w:rsidRPr="008A1DB4">
        <w:rPr>
          <w:spacing w:val="-2"/>
          <w:lang w:val="en-US"/>
        </w:rPr>
        <w:t xml:space="preserve">December </w:t>
      </w:r>
      <w:r w:rsidRPr="008A1DB4">
        <w:rPr>
          <w:spacing w:val="-2"/>
          <w:lang w:val="en-US"/>
        </w:rPr>
        <w:t>2</w:t>
      </w:r>
      <w:r w:rsidR="00BB336A" w:rsidRPr="008A1DB4">
        <w:rPr>
          <w:spacing w:val="-2"/>
          <w:lang w:val="en-US"/>
        </w:rPr>
        <w:t>1,</w:t>
      </w:r>
      <w:r w:rsidR="00470B06" w:rsidRPr="008A1DB4">
        <w:rPr>
          <w:spacing w:val="-2"/>
          <w:lang w:val="en-US"/>
        </w:rPr>
        <w:t xml:space="preserve"> 2009</w:t>
      </w:r>
      <w:r w:rsidRPr="008A1DB4">
        <w:rPr>
          <w:spacing w:val="-2"/>
          <w:lang w:val="en-US"/>
        </w:rPr>
        <w:t xml:space="preserve">, and the </w:t>
      </w:r>
      <w:r w:rsidR="002D1CFC" w:rsidRPr="008A1DB4">
        <w:rPr>
          <w:spacing w:val="-2"/>
          <w:lang w:val="en-US"/>
        </w:rPr>
        <w:t>advisory decision</w:t>
      </w:r>
      <w:r w:rsidR="00470B06" w:rsidRPr="008A1DB4">
        <w:rPr>
          <w:spacing w:val="-2"/>
          <w:lang w:val="en-US"/>
        </w:rPr>
        <w:t xml:space="preserve"> </w:t>
      </w:r>
      <w:r w:rsidRPr="008A1DB4">
        <w:rPr>
          <w:spacing w:val="-2"/>
          <w:lang w:val="en-US"/>
        </w:rPr>
        <w:t>was issued on</w:t>
      </w:r>
      <w:r w:rsidR="00470B06" w:rsidRPr="008A1DB4">
        <w:rPr>
          <w:spacing w:val="-2"/>
          <w:lang w:val="en-US"/>
        </w:rPr>
        <w:t xml:space="preserve"> </w:t>
      </w:r>
      <w:r w:rsidR="00671326" w:rsidRPr="008A1DB4">
        <w:rPr>
          <w:spacing w:val="-2"/>
          <w:lang w:val="en-US"/>
        </w:rPr>
        <w:t>January 27,</w:t>
      </w:r>
      <w:r w:rsidR="00470B06" w:rsidRPr="008A1DB4">
        <w:rPr>
          <w:spacing w:val="-2"/>
          <w:lang w:val="en-US"/>
        </w:rPr>
        <w:t xml:space="preserve"> 2010.</w:t>
      </w:r>
    </w:p>
    <w:p w14:paraId="4CE71B24" w14:textId="77777777" w:rsidR="00470B06" w:rsidRPr="008A1DB4" w:rsidRDefault="00470B06" w:rsidP="00956E97">
      <w:pPr>
        <w:tabs>
          <w:tab w:val="left" w:pos="284"/>
        </w:tabs>
        <w:rPr>
          <w:spacing w:val="-2"/>
          <w:lang w:val="en-US"/>
        </w:rPr>
      </w:pPr>
    </w:p>
    <w:p w14:paraId="59090A9E" w14:textId="64B35049" w:rsidR="00470B06" w:rsidRPr="008A1DB4" w:rsidRDefault="00DF7BFD" w:rsidP="00956E97">
      <w:pPr>
        <w:pStyle w:val="PrrafodeSentencia"/>
        <w:rPr>
          <w:spacing w:val="-2"/>
          <w:lang w:val="en-US"/>
        </w:rPr>
      </w:pPr>
      <w:bookmarkStart w:id="890" w:name="_Ref428982170"/>
      <w:r w:rsidRPr="008A1DB4">
        <w:rPr>
          <w:spacing w:val="-2"/>
          <w:lang w:val="en-US"/>
        </w:rPr>
        <w:t xml:space="preserve">Following the issue of the </w:t>
      </w:r>
      <w:r w:rsidR="002D1CFC" w:rsidRPr="008A1DB4">
        <w:rPr>
          <w:spacing w:val="-2"/>
          <w:lang w:val="en-US"/>
        </w:rPr>
        <w:t>advisory decision</w:t>
      </w:r>
      <w:r w:rsidR="00470B06" w:rsidRPr="008A1DB4">
        <w:rPr>
          <w:spacing w:val="-2"/>
          <w:lang w:val="en-US"/>
        </w:rPr>
        <w:t xml:space="preserve">, </w:t>
      </w:r>
      <w:r w:rsidRPr="008A1DB4">
        <w:rPr>
          <w:spacing w:val="-2"/>
          <w:lang w:val="en-US"/>
        </w:rPr>
        <w:t xml:space="preserve">the file was forwarded </w:t>
      </w:r>
      <w:r w:rsidR="00FC5891" w:rsidRPr="008A1DB4">
        <w:rPr>
          <w:spacing w:val="-2"/>
          <w:lang w:val="en-US"/>
        </w:rPr>
        <w:t>to the Ministry of Justice</w:t>
      </w:r>
      <w:r w:rsidR="00470B06" w:rsidRPr="008A1DB4">
        <w:rPr>
          <w:spacing w:val="-2"/>
          <w:lang w:val="en-US"/>
        </w:rPr>
        <w:t xml:space="preserve"> </w:t>
      </w:r>
      <w:r w:rsidRPr="008A1DB4">
        <w:rPr>
          <w:spacing w:val="-2"/>
          <w:lang w:val="en-US"/>
        </w:rPr>
        <w:t xml:space="preserve">to start the procedure by which </w:t>
      </w:r>
      <w:r w:rsidR="00B43F84" w:rsidRPr="008A1DB4">
        <w:rPr>
          <w:spacing w:val="-2"/>
          <w:lang w:val="en-US"/>
        </w:rPr>
        <w:t xml:space="preserve">the Executive </w:t>
      </w:r>
      <w:r w:rsidR="00C202FD" w:rsidRPr="008A1DB4">
        <w:rPr>
          <w:spacing w:val="-2"/>
          <w:lang w:val="en-US"/>
        </w:rPr>
        <w:t xml:space="preserve">Branch would take a final decision on </w:t>
      </w:r>
      <w:r w:rsidR="00087CF8" w:rsidRPr="008A1DB4">
        <w:rPr>
          <w:spacing w:val="-2"/>
          <w:lang w:val="en-US"/>
        </w:rPr>
        <w:t>the extradition request</w:t>
      </w:r>
      <w:r w:rsidR="00470B06" w:rsidRPr="008A1DB4">
        <w:rPr>
          <w:spacing w:val="-2"/>
          <w:lang w:val="en-US"/>
        </w:rPr>
        <w:t xml:space="preserve">. </w:t>
      </w:r>
      <w:r w:rsidR="00C202FD" w:rsidRPr="008A1DB4">
        <w:rPr>
          <w:spacing w:val="-2"/>
          <w:lang w:val="en-US"/>
        </w:rPr>
        <w:t>Over one year later, on</w:t>
      </w:r>
      <w:r w:rsidR="00470B06" w:rsidRPr="008A1DB4">
        <w:rPr>
          <w:spacing w:val="-2"/>
          <w:lang w:val="en-US"/>
        </w:rPr>
        <w:t xml:space="preserve"> </w:t>
      </w:r>
      <w:r w:rsidR="00B43F84" w:rsidRPr="008A1DB4">
        <w:rPr>
          <w:spacing w:val="-2"/>
          <w:lang w:val="en-US"/>
        </w:rPr>
        <w:t>May 24,</w:t>
      </w:r>
      <w:r w:rsidR="00470B06" w:rsidRPr="008A1DB4">
        <w:rPr>
          <w:spacing w:val="-2"/>
          <w:lang w:val="en-US"/>
        </w:rPr>
        <w:t xml:space="preserve"> 2011</w:t>
      </w:r>
      <w:r w:rsidR="00C202FD" w:rsidRPr="008A1DB4">
        <w:rPr>
          <w:spacing w:val="-2"/>
          <w:lang w:val="en-US"/>
        </w:rPr>
        <w:t>,</w:t>
      </w:r>
      <w:r w:rsidR="00470B06" w:rsidRPr="008A1DB4">
        <w:rPr>
          <w:spacing w:val="-2"/>
          <w:lang w:val="en-US"/>
        </w:rPr>
        <w:t xml:space="preserve"> </w:t>
      </w:r>
      <w:r w:rsidR="00F36400" w:rsidRPr="008A1DB4">
        <w:rPr>
          <w:spacing w:val="-2"/>
          <w:lang w:val="en-US"/>
        </w:rPr>
        <w:t xml:space="preserve">the </w:t>
      </w:r>
      <w:r w:rsidR="00B43F84" w:rsidRPr="008A1DB4">
        <w:rPr>
          <w:spacing w:val="-2"/>
          <w:lang w:val="en-US"/>
        </w:rPr>
        <w:t>Constitutional Court</w:t>
      </w:r>
      <w:r w:rsidR="00470B06" w:rsidRPr="008A1DB4">
        <w:rPr>
          <w:spacing w:val="-2"/>
          <w:lang w:val="en-US"/>
        </w:rPr>
        <w:t xml:space="preserve"> “orde</w:t>
      </w:r>
      <w:r w:rsidR="00C202FD" w:rsidRPr="008A1DB4">
        <w:rPr>
          <w:spacing w:val="-2"/>
          <w:lang w:val="en-US"/>
        </w:rPr>
        <w:t xml:space="preserve">red the Peruvian State, represented by </w:t>
      </w:r>
      <w:r w:rsidR="00B43F84" w:rsidRPr="008A1DB4">
        <w:rPr>
          <w:spacing w:val="-2"/>
          <w:lang w:val="en-US"/>
        </w:rPr>
        <w:t>the Executive Branch</w:t>
      </w:r>
      <w:r w:rsidR="00470B06" w:rsidRPr="008A1DB4">
        <w:rPr>
          <w:spacing w:val="-2"/>
          <w:lang w:val="en-US"/>
        </w:rPr>
        <w:t xml:space="preserve">, </w:t>
      </w:r>
      <w:r w:rsidR="00C202FD" w:rsidRPr="008A1DB4">
        <w:rPr>
          <w:spacing w:val="-2"/>
          <w:lang w:val="en-US"/>
        </w:rPr>
        <w:t xml:space="preserve">to refrain from extraditing </w:t>
      </w:r>
      <w:r w:rsidR="00B43F84" w:rsidRPr="008A1DB4">
        <w:rPr>
          <w:spacing w:val="-2"/>
          <w:lang w:val="en-US"/>
        </w:rPr>
        <w:t>Wong</w:t>
      </w:r>
      <w:r w:rsidR="00C202FD" w:rsidRPr="008A1DB4">
        <w:rPr>
          <w:spacing w:val="-2"/>
          <w:lang w:val="en-US"/>
        </w:rPr>
        <w:t xml:space="preserve"> Ho Wing to</w:t>
      </w:r>
      <w:r w:rsidR="00470B06" w:rsidRPr="008A1DB4">
        <w:rPr>
          <w:spacing w:val="-2"/>
          <w:lang w:val="en-US"/>
        </w:rPr>
        <w:t xml:space="preserve"> </w:t>
      </w:r>
      <w:r w:rsidR="00FE5E87" w:rsidRPr="008A1DB4">
        <w:rPr>
          <w:spacing w:val="-2"/>
          <w:lang w:val="en-US"/>
        </w:rPr>
        <w:t>the People’s Republic of China</w:t>
      </w:r>
      <w:r w:rsidR="00C202FD" w:rsidRPr="008A1DB4">
        <w:rPr>
          <w:spacing w:val="-2"/>
          <w:lang w:val="en-US"/>
        </w:rPr>
        <w:t>.</w:t>
      </w:r>
      <w:r w:rsidR="00470B06" w:rsidRPr="008A1DB4">
        <w:rPr>
          <w:spacing w:val="-2"/>
          <w:lang w:val="en-US"/>
        </w:rPr>
        <w:t>”</w:t>
      </w:r>
      <w:r w:rsidR="00470B06" w:rsidRPr="008A1DB4">
        <w:rPr>
          <w:rStyle w:val="FootnoteReference"/>
          <w:spacing w:val="-2"/>
          <w:lang w:val="en-US"/>
        </w:rPr>
        <w:footnoteReference w:id="305"/>
      </w:r>
      <w:r w:rsidR="00C202FD" w:rsidRPr="008A1DB4">
        <w:rPr>
          <w:spacing w:val="-2"/>
          <w:lang w:val="en-US"/>
        </w:rPr>
        <w:t xml:space="preserve"> Initially, the Executive interpreted that this decision meant that it could not extradite </w:t>
      </w:r>
      <w:r w:rsidR="00B43F84" w:rsidRPr="008A1DB4">
        <w:rPr>
          <w:spacing w:val="-2"/>
          <w:lang w:val="en-US"/>
        </w:rPr>
        <w:t>Wong</w:t>
      </w:r>
      <w:r w:rsidR="00470B06" w:rsidRPr="008A1DB4">
        <w:rPr>
          <w:spacing w:val="-2"/>
          <w:lang w:val="en-US"/>
        </w:rPr>
        <w:t xml:space="preserve"> Ho Wing. </w:t>
      </w:r>
      <w:r w:rsidR="00C202FD" w:rsidRPr="008A1DB4">
        <w:rPr>
          <w:spacing w:val="-2"/>
          <w:lang w:val="en-US"/>
        </w:rPr>
        <w:t xml:space="preserve">However, in November </w:t>
      </w:r>
      <w:r w:rsidR="00470B06" w:rsidRPr="008A1DB4">
        <w:rPr>
          <w:spacing w:val="-2"/>
          <w:lang w:val="en-US"/>
        </w:rPr>
        <w:t>2011</w:t>
      </w:r>
      <w:r w:rsidR="00C202FD" w:rsidRPr="008A1DB4">
        <w:rPr>
          <w:spacing w:val="-2"/>
          <w:lang w:val="en-US"/>
        </w:rPr>
        <w:t>,</w:t>
      </w:r>
      <w:r w:rsidR="00470B06" w:rsidRPr="008A1DB4">
        <w:rPr>
          <w:spacing w:val="-2"/>
          <w:lang w:val="en-US"/>
        </w:rPr>
        <w:t xml:space="preserve"> </w:t>
      </w:r>
      <w:r w:rsidR="00B43F84" w:rsidRPr="008A1DB4">
        <w:rPr>
          <w:spacing w:val="-2"/>
          <w:lang w:val="en-US"/>
        </w:rPr>
        <w:t xml:space="preserve">the Executive </w:t>
      </w:r>
      <w:r w:rsidR="00C202FD" w:rsidRPr="008A1DB4">
        <w:rPr>
          <w:spacing w:val="-2"/>
          <w:lang w:val="en-US"/>
        </w:rPr>
        <w:t xml:space="preserve">filed three different remedies or requests seeking a legal decision or interpretation that would allow it to extradite </w:t>
      </w:r>
      <w:r w:rsidR="00B43F84" w:rsidRPr="008A1DB4">
        <w:rPr>
          <w:spacing w:val="-2"/>
          <w:lang w:val="en-US"/>
        </w:rPr>
        <w:t>Wong</w:t>
      </w:r>
      <w:r w:rsidR="00470B06" w:rsidRPr="008A1DB4">
        <w:rPr>
          <w:spacing w:val="-2"/>
          <w:lang w:val="en-US"/>
        </w:rPr>
        <w:t xml:space="preserve"> Ho Wing </w:t>
      </w:r>
      <w:r w:rsidR="00C202FD" w:rsidRPr="008A1DB4">
        <w:rPr>
          <w:spacing w:val="-2"/>
          <w:lang w:val="en-US"/>
        </w:rPr>
        <w:t xml:space="preserve">without disregarding the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r w:rsidR="00470B06" w:rsidRPr="008A1DB4">
        <w:rPr>
          <w:spacing w:val="-2"/>
          <w:lang w:val="en-US"/>
        </w:rPr>
        <w:t xml:space="preserve"> (</w:t>
      </w:r>
      <w:r w:rsidR="00470B06" w:rsidRPr="008A1DB4">
        <w:rPr>
          <w:i/>
          <w:spacing w:val="-2"/>
          <w:lang w:val="en-US"/>
        </w:rPr>
        <w:t xml:space="preserve">supra </w:t>
      </w:r>
      <w:r w:rsidR="00631F9C" w:rsidRPr="008A1DB4">
        <w:rPr>
          <w:spacing w:val="-2"/>
          <w:lang w:val="en-US"/>
        </w:rPr>
        <w:t>paras.</w:t>
      </w:r>
      <w:r w:rsidR="00470B06" w:rsidRPr="008A1DB4">
        <w:rPr>
          <w:spacing w:val="-2"/>
          <w:lang w:val="en-US"/>
        </w:rPr>
        <w:t xml:space="preserve"> </w:t>
      </w:r>
      <w:r w:rsidR="007F738A" w:rsidRPr="008A1DB4">
        <w:rPr>
          <w:spacing w:val="-2"/>
          <w:lang w:val="en-US"/>
        </w:rPr>
        <w:fldChar w:fldCharType="begin"/>
      </w:r>
      <w:r w:rsidR="007F738A" w:rsidRPr="008A1DB4">
        <w:rPr>
          <w:spacing w:val="-2"/>
          <w:lang w:val="en-US"/>
        </w:rPr>
        <w:instrText xml:space="preserve"> REF _Ref398658699 \r \h </w:instrText>
      </w:r>
      <w:r w:rsidR="00DC41F4" w:rsidRPr="008A1DB4">
        <w:rPr>
          <w:spacing w:val="-2"/>
          <w:lang w:val="en-US"/>
        </w:rPr>
        <w:instrText xml:space="preserve"> \* MERGEFORMAT </w:instrText>
      </w:r>
      <w:r w:rsidR="007F738A" w:rsidRPr="008A1DB4">
        <w:rPr>
          <w:spacing w:val="-2"/>
          <w:lang w:val="en-US"/>
        </w:rPr>
      </w:r>
      <w:r w:rsidR="007F738A" w:rsidRPr="008A1DB4">
        <w:rPr>
          <w:spacing w:val="-2"/>
          <w:lang w:val="en-US"/>
        </w:rPr>
        <w:fldChar w:fldCharType="separate"/>
      </w:r>
      <w:r w:rsidR="00E961FA" w:rsidRPr="008A1DB4">
        <w:rPr>
          <w:spacing w:val="-2"/>
          <w:lang w:val="en-US"/>
        </w:rPr>
        <w:t>86</w:t>
      </w:r>
      <w:r w:rsidR="007F738A" w:rsidRPr="008A1DB4">
        <w:rPr>
          <w:spacing w:val="-2"/>
          <w:lang w:val="en-US"/>
        </w:rPr>
        <w:fldChar w:fldCharType="end"/>
      </w:r>
      <w:r w:rsidR="00C202FD" w:rsidRPr="008A1DB4">
        <w:rPr>
          <w:spacing w:val="-2"/>
          <w:lang w:val="en-US"/>
        </w:rPr>
        <w:t xml:space="preserve"> to</w:t>
      </w:r>
      <w:r w:rsidR="007F738A" w:rsidRPr="008A1DB4">
        <w:rPr>
          <w:spacing w:val="-2"/>
          <w:lang w:val="en-US"/>
        </w:rPr>
        <w:t xml:space="preserve"> </w:t>
      </w:r>
      <w:r w:rsidR="007F738A" w:rsidRPr="008A1DB4">
        <w:rPr>
          <w:spacing w:val="-2"/>
          <w:lang w:val="en-US"/>
        </w:rPr>
        <w:fldChar w:fldCharType="begin"/>
      </w:r>
      <w:r w:rsidR="007F738A" w:rsidRPr="008A1DB4">
        <w:rPr>
          <w:spacing w:val="-2"/>
          <w:lang w:val="en-US"/>
        </w:rPr>
        <w:instrText xml:space="preserve"> REF _Ref419136766 \r \h </w:instrText>
      </w:r>
      <w:r w:rsidR="00DC41F4" w:rsidRPr="008A1DB4">
        <w:rPr>
          <w:spacing w:val="-2"/>
          <w:lang w:val="en-US"/>
        </w:rPr>
        <w:instrText xml:space="preserve"> \* MERGEFORMAT </w:instrText>
      </w:r>
      <w:r w:rsidR="007F738A" w:rsidRPr="008A1DB4">
        <w:rPr>
          <w:spacing w:val="-2"/>
          <w:lang w:val="en-US"/>
        </w:rPr>
      </w:r>
      <w:r w:rsidR="007F738A" w:rsidRPr="008A1DB4">
        <w:rPr>
          <w:spacing w:val="-2"/>
          <w:lang w:val="en-US"/>
        </w:rPr>
        <w:fldChar w:fldCharType="separate"/>
      </w:r>
      <w:r w:rsidR="00E961FA" w:rsidRPr="008A1DB4">
        <w:rPr>
          <w:spacing w:val="-2"/>
          <w:lang w:val="en-US"/>
        </w:rPr>
        <w:t>90</w:t>
      </w:r>
      <w:r w:rsidR="007F738A" w:rsidRPr="008A1DB4">
        <w:rPr>
          <w:spacing w:val="-2"/>
          <w:lang w:val="en-US"/>
        </w:rPr>
        <w:fldChar w:fldCharType="end"/>
      </w:r>
      <w:r w:rsidR="00470B06" w:rsidRPr="008A1DB4">
        <w:rPr>
          <w:spacing w:val="-2"/>
          <w:lang w:val="en-US"/>
        </w:rPr>
        <w:t xml:space="preserve">). </w:t>
      </w:r>
      <w:r w:rsidR="00C202FD" w:rsidRPr="008A1DB4">
        <w:rPr>
          <w:spacing w:val="-2"/>
          <w:lang w:val="en-US"/>
        </w:rPr>
        <w:t xml:space="preserve">Although, just as the </w:t>
      </w:r>
      <w:r w:rsidR="00F36400" w:rsidRPr="008A1DB4">
        <w:rPr>
          <w:spacing w:val="-2"/>
          <w:lang w:val="en-US"/>
        </w:rPr>
        <w:t>presumed victim</w:t>
      </w:r>
      <w:r w:rsidR="00C202FD" w:rsidRPr="008A1DB4">
        <w:rPr>
          <w:spacing w:val="-2"/>
          <w:lang w:val="en-US"/>
        </w:rPr>
        <w:t xml:space="preserve">, the State authorities were using the remedies available under domestic law, it should be taken into account that all the </w:t>
      </w:r>
      <w:r w:rsidR="0079515C" w:rsidRPr="008A1DB4">
        <w:rPr>
          <w:spacing w:val="-2"/>
          <w:lang w:val="en-US"/>
        </w:rPr>
        <w:t>remedies</w:t>
      </w:r>
      <w:r w:rsidR="00C202FD" w:rsidRPr="008A1DB4">
        <w:rPr>
          <w:spacing w:val="-2"/>
          <w:lang w:val="en-US"/>
        </w:rPr>
        <w:t xml:space="preserve"> were declared </w:t>
      </w:r>
      <w:r w:rsidR="00947926" w:rsidRPr="008A1DB4">
        <w:rPr>
          <w:spacing w:val="-2"/>
          <w:lang w:val="en-US"/>
        </w:rPr>
        <w:t>inadmissible</w:t>
      </w:r>
      <w:r w:rsidR="00C202FD" w:rsidRPr="008A1DB4">
        <w:rPr>
          <w:spacing w:val="-2"/>
          <w:lang w:val="en-US"/>
        </w:rPr>
        <w:t xml:space="preserve">, considering that the </w:t>
      </w:r>
      <w:r w:rsidR="00B43F84" w:rsidRPr="008A1DB4">
        <w:rPr>
          <w:spacing w:val="-2"/>
          <w:lang w:val="en-US"/>
        </w:rPr>
        <w:t>Constitutional Court</w:t>
      </w:r>
      <w:r w:rsidR="00C202FD" w:rsidRPr="008A1DB4">
        <w:rPr>
          <w:spacing w:val="-2"/>
          <w:lang w:val="en-US"/>
        </w:rPr>
        <w:t xml:space="preserve">’s decision was </w:t>
      </w:r>
      <w:r w:rsidR="00C202FD" w:rsidRPr="008A1DB4">
        <w:rPr>
          <w:i/>
          <w:spacing w:val="-2"/>
          <w:lang w:val="en-US"/>
        </w:rPr>
        <w:t>res judicata,</w:t>
      </w:r>
      <w:r w:rsidR="00C202FD" w:rsidRPr="008A1DB4">
        <w:rPr>
          <w:spacing w:val="-2"/>
          <w:lang w:val="en-US"/>
        </w:rPr>
        <w:t xml:space="preserve"> could not be amended, and was binding. In addition, the remedies were filed by </w:t>
      </w:r>
      <w:r w:rsidR="00B43F84" w:rsidRPr="008A1DB4">
        <w:rPr>
          <w:spacing w:val="-2"/>
          <w:lang w:val="en-US"/>
        </w:rPr>
        <w:t>the Executive</w:t>
      </w:r>
      <w:r w:rsidR="002E76EE">
        <w:rPr>
          <w:spacing w:val="-2"/>
          <w:lang w:val="en-US"/>
        </w:rPr>
        <w:t xml:space="preserve"> Branch</w:t>
      </w:r>
      <w:r w:rsidR="00470B06" w:rsidRPr="008A1DB4">
        <w:rPr>
          <w:spacing w:val="-2"/>
          <w:lang w:val="en-US"/>
        </w:rPr>
        <w:t xml:space="preserve">, </w:t>
      </w:r>
      <w:r w:rsidR="00C202FD" w:rsidRPr="008A1DB4">
        <w:rPr>
          <w:spacing w:val="-2"/>
          <w:lang w:val="en-US"/>
        </w:rPr>
        <w:t>which is responsible for taking the</w:t>
      </w:r>
      <w:r w:rsidR="00470B06" w:rsidRPr="008A1DB4">
        <w:rPr>
          <w:spacing w:val="-2"/>
          <w:lang w:val="en-US"/>
        </w:rPr>
        <w:t xml:space="preserve"> </w:t>
      </w:r>
      <w:r w:rsidR="00C202FD" w:rsidRPr="008A1DB4">
        <w:rPr>
          <w:spacing w:val="-2"/>
          <w:lang w:val="en-US"/>
        </w:rPr>
        <w:t xml:space="preserve">pending </w:t>
      </w:r>
      <w:r w:rsidR="00A33F97" w:rsidRPr="008A1DB4">
        <w:rPr>
          <w:spacing w:val="-2"/>
          <w:lang w:val="en-US"/>
        </w:rPr>
        <w:t>decision</w:t>
      </w:r>
      <w:r w:rsidR="00470B06" w:rsidRPr="008A1DB4">
        <w:rPr>
          <w:spacing w:val="-2"/>
          <w:lang w:val="en-US"/>
        </w:rPr>
        <w:t xml:space="preserve"> </w:t>
      </w:r>
      <w:r w:rsidR="00C202FD" w:rsidRPr="008A1DB4">
        <w:rPr>
          <w:spacing w:val="-2"/>
          <w:lang w:val="en-US"/>
        </w:rPr>
        <w:t>on</w:t>
      </w:r>
      <w:r w:rsidR="00470B06" w:rsidRPr="008A1DB4">
        <w:rPr>
          <w:spacing w:val="-2"/>
          <w:lang w:val="en-US"/>
        </w:rPr>
        <w:t xml:space="preserve"> </w:t>
      </w:r>
      <w:r w:rsidR="002D1CFC" w:rsidRPr="008A1DB4">
        <w:rPr>
          <w:spacing w:val="-2"/>
          <w:lang w:val="en-US"/>
        </w:rPr>
        <w:t>extradition</w:t>
      </w:r>
      <w:r w:rsidR="00C202FD" w:rsidRPr="008A1DB4">
        <w:rPr>
          <w:spacing w:val="-2"/>
          <w:lang w:val="en-US"/>
        </w:rPr>
        <w:t xml:space="preserve">, and related to the </w:t>
      </w:r>
      <w:r w:rsidR="00B43F84" w:rsidRPr="008A1DB4">
        <w:rPr>
          <w:spacing w:val="-2"/>
          <w:lang w:val="en-US"/>
        </w:rPr>
        <w:t>Executive</w:t>
      </w:r>
      <w:r w:rsidR="002E76EE">
        <w:rPr>
          <w:spacing w:val="-2"/>
          <w:lang w:val="en-US"/>
        </w:rPr>
        <w:t xml:space="preserve"> Branch’s options</w:t>
      </w:r>
      <w:r w:rsidR="00B43F84" w:rsidRPr="008A1DB4">
        <w:rPr>
          <w:spacing w:val="-2"/>
          <w:lang w:val="en-US"/>
        </w:rPr>
        <w:t xml:space="preserve"> </w:t>
      </w:r>
      <w:r w:rsidR="002E76EE">
        <w:rPr>
          <w:spacing w:val="-2"/>
          <w:lang w:val="en-US"/>
        </w:rPr>
        <w:t>when deciding</w:t>
      </w:r>
      <w:r w:rsidR="00C202FD" w:rsidRPr="008A1DB4">
        <w:rPr>
          <w:spacing w:val="-2"/>
          <w:lang w:val="en-US"/>
        </w:rPr>
        <w:t xml:space="preserve"> </w:t>
      </w:r>
      <w:r w:rsidR="00087CF8" w:rsidRPr="008A1DB4">
        <w:rPr>
          <w:spacing w:val="-2"/>
          <w:lang w:val="en-US"/>
        </w:rPr>
        <w:t>the extradition request</w:t>
      </w:r>
      <w:r w:rsidR="00470B06" w:rsidRPr="008A1DB4">
        <w:rPr>
          <w:spacing w:val="-2"/>
          <w:lang w:val="en-US"/>
        </w:rPr>
        <w:t>.</w:t>
      </w:r>
      <w:r w:rsidR="00CC29D7" w:rsidRPr="008A1DB4">
        <w:rPr>
          <w:spacing w:val="-2"/>
          <w:lang w:val="en-US"/>
        </w:rPr>
        <w:t xml:space="preserve"> </w:t>
      </w:r>
      <w:r w:rsidR="00C202FD" w:rsidRPr="008A1DB4">
        <w:rPr>
          <w:spacing w:val="-2"/>
          <w:lang w:val="en-US"/>
        </w:rPr>
        <w:t xml:space="preserve">Therefore, contrary to </w:t>
      </w:r>
      <w:r w:rsidR="00C45946" w:rsidRPr="008A1DB4">
        <w:rPr>
          <w:spacing w:val="-2"/>
          <w:lang w:val="en-US"/>
        </w:rPr>
        <w:t xml:space="preserve">the </w:t>
      </w:r>
      <w:r w:rsidR="00F36400" w:rsidRPr="008A1DB4">
        <w:rPr>
          <w:spacing w:val="-2"/>
          <w:lang w:val="en-US"/>
        </w:rPr>
        <w:t>presumed victim</w:t>
      </w:r>
      <w:r w:rsidR="00470B06" w:rsidRPr="008A1DB4">
        <w:rPr>
          <w:spacing w:val="-2"/>
          <w:lang w:val="en-US"/>
        </w:rPr>
        <w:t xml:space="preserve">, </w:t>
      </w:r>
      <w:r w:rsidR="00C202FD" w:rsidRPr="008A1DB4">
        <w:rPr>
          <w:spacing w:val="-2"/>
          <w:lang w:val="en-US"/>
        </w:rPr>
        <w:t xml:space="preserve">all the remedies filed directly affected the prolongation </w:t>
      </w:r>
      <w:r w:rsidR="00671326" w:rsidRPr="008A1DB4">
        <w:rPr>
          <w:spacing w:val="-2"/>
          <w:lang w:val="en-US"/>
        </w:rPr>
        <w:t xml:space="preserve">of the </w:t>
      </w:r>
      <w:r w:rsidR="00FC5891" w:rsidRPr="008A1DB4">
        <w:rPr>
          <w:spacing w:val="-2"/>
          <w:lang w:val="en-US"/>
        </w:rPr>
        <w:t>extradition process</w:t>
      </w:r>
      <w:r w:rsidR="005E194D" w:rsidRPr="008A1DB4">
        <w:rPr>
          <w:spacing w:val="-2"/>
          <w:lang w:val="en-US"/>
        </w:rPr>
        <w:t xml:space="preserve">. </w:t>
      </w:r>
      <w:r w:rsidR="00C202FD" w:rsidRPr="008A1DB4">
        <w:rPr>
          <w:spacing w:val="-2"/>
          <w:lang w:val="en-US"/>
        </w:rPr>
        <w:t xml:space="preserve">Moreover, even though the last of these remedies was decided </w:t>
      </w:r>
      <w:r w:rsidR="00AB4E6D" w:rsidRPr="008A1DB4">
        <w:rPr>
          <w:spacing w:val="-2"/>
          <w:lang w:val="en-US"/>
        </w:rPr>
        <w:t>on March 12,</w:t>
      </w:r>
      <w:r w:rsidR="00470B06" w:rsidRPr="008A1DB4">
        <w:rPr>
          <w:spacing w:val="-2"/>
          <w:lang w:val="en-US"/>
        </w:rPr>
        <w:t xml:space="preserve"> 2013, </w:t>
      </w:r>
      <w:r w:rsidR="00C202FD" w:rsidRPr="008A1DB4">
        <w:rPr>
          <w:spacing w:val="-2"/>
          <w:lang w:val="en-US"/>
        </w:rPr>
        <w:t>more t</w:t>
      </w:r>
      <w:r w:rsidR="009F24F8" w:rsidRPr="008A1DB4">
        <w:rPr>
          <w:spacing w:val="-2"/>
          <w:lang w:val="en-US"/>
        </w:rPr>
        <w:t>h</w:t>
      </w:r>
      <w:r w:rsidR="00C202FD" w:rsidRPr="008A1DB4">
        <w:rPr>
          <w:spacing w:val="-2"/>
          <w:lang w:val="en-US"/>
        </w:rPr>
        <w:t xml:space="preserve">an two years later, </w:t>
      </w:r>
      <w:r w:rsidR="00B43F84" w:rsidRPr="008A1DB4">
        <w:rPr>
          <w:spacing w:val="-2"/>
          <w:lang w:val="en-US"/>
        </w:rPr>
        <w:t>the Executive Branch</w:t>
      </w:r>
      <w:r w:rsidR="00470B06" w:rsidRPr="008A1DB4">
        <w:rPr>
          <w:spacing w:val="-2"/>
          <w:lang w:val="en-US"/>
        </w:rPr>
        <w:t xml:space="preserve"> </w:t>
      </w:r>
      <w:r w:rsidR="00C202FD" w:rsidRPr="008A1DB4">
        <w:rPr>
          <w:spacing w:val="-2"/>
          <w:lang w:val="en-US"/>
        </w:rPr>
        <w:t xml:space="preserve">has still not decided </w:t>
      </w:r>
      <w:r w:rsidR="00087CF8" w:rsidRPr="008A1DB4">
        <w:rPr>
          <w:spacing w:val="-2"/>
          <w:lang w:val="en-US"/>
        </w:rPr>
        <w:t>the extradition request</w:t>
      </w:r>
      <w:r w:rsidR="00470B06" w:rsidRPr="008A1DB4">
        <w:rPr>
          <w:spacing w:val="-2"/>
          <w:lang w:val="en-US"/>
        </w:rPr>
        <w:t>.</w:t>
      </w:r>
      <w:bookmarkEnd w:id="890"/>
      <w:r w:rsidR="00470B06" w:rsidRPr="008A1DB4">
        <w:rPr>
          <w:spacing w:val="-2"/>
          <w:lang w:val="en-US"/>
        </w:rPr>
        <w:t xml:space="preserve"> </w:t>
      </w:r>
    </w:p>
    <w:p w14:paraId="4AE947BC" w14:textId="77777777" w:rsidR="00470B06" w:rsidRPr="008A1DB4" w:rsidRDefault="00470B06" w:rsidP="00956E97">
      <w:pPr>
        <w:tabs>
          <w:tab w:val="left" w:pos="284"/>
          <w:tab w:val="left" w:pos="567"/>
        </w:tabs>
        <w:rPr>
          <w:b/>
          <w:spacing w:val="-2"/>
          <w:lang w:val="en-US"/>
        </w:rPr>
      </w:pPr>
    </w:p>
    <w:p w14:paraId="7271C632" w14:textId="64D32E7A" w:rsidR="00470B06" w:rsidRPr="008A1DB4" w:rsidRDefault="00C202FD" w:rsidP="00956E97">
      <w:pPr>
        <w:pStyle w:val="PrrafodeSentencia"/>
        <w:rPr>
          <w:b/>
          <w:spacing w:val="-2"/>
          <w:lang w:val="en-US"/>
        </w:rPr>
      </w:pPr>
      <w:r w:rsidRPr="008A1DB4">
        <w:rPr>
          <w:spacing w:val="-2"/>
          <w:lang w:val="en-US"/>
        </w:rPr>
        <w:lastRenderedPageBreak/>
        <w:t xml:space="preserve">This delay in the final settlement </w:t>
      </w:r>
      <w:r w:rsidR="00671326" w:rsidRPr="008A1DB4">
        <w:rPr>
          <w:spacing w:val="-2"/>
          <w:lang w:val="en-US"/>
        </w:rPr>
        <w:t xml:space="preserve">of the </w:t>
      </w:r>
      <w:r w:rsidR="00FC5891" w:rsidRPr="008A1DB4">
        <w:rPr>
          <w:spacing w:val="-2"/>
          <w:lang w:val="en-US"/>
        </w:rPr>
        <w:t>extradition process</w:t>
      </w:r>
      <w:r w:rsidR="00470B06" w:rsidRPr="008A1DB4">
        <w:rPr>
          <w:spacing w:val="-2"/>
          <w:lang w:val="en-US"/>
        </w:rPr>
        <w:t xml:space="preserve">, </w:t>
      </w:r>
      <w:r w:rsidRPr="008A1DB4">
        <w:rPr>
          <w:spacing w:val="-2"/>
          <w:lang w:val="en-US"/>
        </w:rPr>
        <w:t xml:space="preserve">which can be attributed to the actions of the </w:t>
      </w:r>
      <w:r w:rsidR="0079515C" w:rsidRPr="008A1DB4">
        <w:rPr>
          <w:spacing w:val="-2"/>
          <w:lang w:val="en-US"/>
        </w:rPr>
        <w:t>State</w:t>
      </w:r>
      <w:r w:rsidRPr="008A1DB4">
        <w:rPr>
          <w:spacing w:val="-2"/>
          <w:lang w:val="en-US"/>
        </w:rPr>
        <w:t xml:space="preserve"> authorities, must be examined together with the fourth and last element for determining the </w:t>
      </w:r>
      <w:r w:rsidR="00A33F97" w:rsidRPr="008A1DB4">
        <w:rPr>
          <w:spacing w:val="-2"/>
          <w:lang w:val="en-US"/>
        </w:rPr>
        <w:t>reasonable time</w:t>
      </w:r>
      <w:r w:rsidR="00470B06" w:rsidRPr="008A1DB4">
        <w:rPr>
          <w:spacing w:val="-2"/>
          <w:lang w:val="en-US"/>
        </w:rPr>
        <w:t xml:space="preserve"> </w:t>
      </w:r>
      <w:r w:rsidRPr="008A1DB4">
        <w:rPr>
          <w:spacing w:val="-2"/>
          <w:lang w:val="en-US"/>
        </w:rPr>
        <w:t>analyzed below</w:t>
      </w:r>
      <w:r w:rsidR="00470B06" w:rsidRPr="008A1DB4">
        <w:rPr>
          <w:spacing w:val="-2"/>
          <w:lang w:val="en-US"/>
        </w:rPr>
        <w:t xml:space="preserve">. </w:t>
      </w:r>
    </w:p>
    <w:p w14:paraId="11CD5045" w14:textId="77777777" w:rsidR="00470B06" w:rsidRPr="008A1DB4" w:rsidRDefault="00470B06" w:rsidP="00956E97">
      <w:pPr>
        <w:tabs>
          <w:tab w:val="left" w:pos="284"/>
          <w:tab w:val="left" w:pos="567"/>
        </w:tabs>
        <w:rPr>
          <w:b/>
          <w:spacing w:val="-2"/>
          <w:lang w:val="en-US"/>
        </w:rPr>
      </w:pPr>
    </w:p>
    <w:p w14:paraId="0C8D3452" w14:textId="4463937B" w:rsidR="00470B06" w:rsidRPr="008A1DB4" w:rsidRDefault="001834F4" w:rsidP="00956E97">
      <w:pPr>
        <w:pStyle w:val="Heading3"/>
        <w:ind w:left="1440" w:firstLine="0"/>
        <w:rPr>
          <w:b/>
          <w:spacing w:val="-2"/>
          <w:lang w:val="en-US"/>
        </w:rPr>
      </w:pPr>
      <w:bookmarkStart w:id="891" w:name="_Toc418912843"/>
      <w:bookmarkStart w:id="892" w:name="_Toc419394423"/>
      <w:bookmarkStart w:id="893" w:name="_Toc429490283"/>
      <w:bookmarkStart w:id="894" w:name="_Toc429503797"/>
      <w:bookmarkStart w:id="895" w:name="_Toc429504303"/>
      <w:bookmarkStart w:id="896" w:name="_Toc429678016"/>
      <w:bookmarkStart w:id="897" w:name="_Toc430017179"/>
      <w:bookmarkStart w:id="898" w:name="_Toc430017408"/>
      <w:bookmarkStart w:id="899" w:name="_Toc430018690"/>
      <w:bookmarkStart w:id="900" w:name="_Toc430125288"/>
      <w:bookmarkStart w:id="901" w:name="_Toc430125396"/>
      <w:r w:rsidRPr="008A1DB4">
        <w:rPr>
          <w:spacing w:val="-2"/>
          <w:lang w:val="en-US"/>
        </w:rPr>
        <w:t>B.</w:t>
      </w:r>
      <w:r w:rsidR="00107399" w:rsidRPr="008A1DB4">
        <w:rPr>
          <w:spacing w:val="-2"/>
          <w:lang w:val="en-US"/>
        </w:rPr>
        <w:t>2</w:t>
      </w:r>
      <w:r w:rsidRPr="008A1DB4">
        <w:rPr>
          <w:spacing w:val="-2"/>
          <w:lang w:val="en-US"/>
        </w:rPr>
        <w:t>.d</w:t>
      </w:r>
      <w:r w:rsidR="00470B06" w:rsidRPr="008A1DB4">
        <w:rPr>
          <w:spacing w:val="-2"/>
          <w:lang w:val="en-US"/>
        </w:rPr>
        <w:t xml:space="preserve">) </w:t>
      </w:r>
      <w:r w:rsidR="00672B34" w:rsidRPr="008A1DB4">
        <w:rPr>
          <w:spacing w:val="-2"/>
          <w:lang w:val="en-US"/>
        </w:rPr>
        <w:t>Effects on the legal situation</w:t>
      </w:r>
      <w:r w:rsidR="00C202FD" w:rsidRPr="008A1DB4">
        <w:rPr>
          <w:spacing w:val="-2"/>
          <w:lang w:val="en-US"/>
        </w:rPr>
        <w:t xml:space="preserve"> </w:t>
      </w:r>
      <w:r w:rsidR="00672B34" w:rsidRPr="008A1DB4">
        <w:rPr>
          <w:spacing w:val="-2"/>
          <w:lang w:val="en-US"/>
        </w:rPr>
        <w:t>of the person involved in the proceedings</w:t>
      </w:r>
      <w:bookmarkEnd w:id="891"/>
      <w:bookmarkEnd w:id="892"/>
      <w:bookmarkEnd w:id="893"/>
      <w:bookmarkEnd w:id="894"/>
      <w:bookmarkEnd w:id="895"/>
      <w:bookmarkEnd w:id="896"/>
      <w:bookmarkEnd w:id="897"/>
      <w:bookmarkEnd w:id="898"/>
      <w:bookmarkEnd w:id="899"/>
      <w:bookmarkEnd w:id="900"/>
      <w:bookmarkEnd w:id="901"/>
      <w:r w:rsidR="00470B06" w:rsidRPr="008A1DB4">
        <w:rPr>
          <w:spacing w:val="-2"/>
          <w:lang w:val="en-US"/>
        </w:rPr>
        <w:t xml:space="preserve"> </w:t>
      </w:r>
    </w:p>
    <w:p w14:paraId="201CEBAF" w14:textId="77777777" w:rsidR="00470B06" w:rsidRPr="008A1DB4" w:rsidRDefault="00470B06" w:rsidP="00956E97">
      <w:pPr>
        <w:tabs>
          <w:tab w:val="left" w:pos="284"/>
          <w:tab w:val="left" w:pos="567"/>
        </w:tabs>
        <w:rPr>
          <w:b/>
          <w:spacing w:val="-2"/>
          <w:lang w:val="en-US"/>
        </w:rPr>
      </w:pPr>
    </w:p>
    <w:p w14:paraId="108A4D67" w14:textId="7CACEE5B" w:rsidR="00470B06" w:rsidRPr="008A1DB4" w:rsidRDefault="00F36400" w:rsidP="00956E97">
      <w:pPr>
        <w:pStyle w:val="PrrafodeSentencia"/>
        <w:rPr>
          <w:b/>
          <w:spacing w:val="-2"/>
          <w:lang w:val="en-US"/>
        </w:rPr>
      </w:pPr>
      <w:bookmarkStart w:id="902" w:name="_Ref354171230"/>
      <w:r w:rsidRPr="008A1DB4">
        <w:rPr>
          <w:spacing w:val="-2"/>
          <w:lang w:val="en-US"/>
        </w:rPr>
        <w:t>The Court</w:t>
      </w:r>
      <w:r w:rsidR="00470B06" w:rsidRPr="008A1DB4">
        <w:rPr>
          <w:spacing w:val="-2"/>
          <w:lang w:val="en-US"/>
        </w:rPr>
        <w:t xml:space="preserve"> rec</w:t>
      </w:r>
      <w:r w:rsidR="00C202FD" w:rsidRPr="008A1DB4">
        <w:rPr>
          <w:spacing w:val="-2"/>
          <w:lang w:val="en-US"/>
        </w:rPr>
        <w:t xml:space="preserve">alls that, in order to determine whether the time is reasonable, it is necessary to take into account the effects caused by the duration of the proceedings on the legal situation of the person </w:t>
      </w:r>
      <w:r w:rsidR="002E76EE">
        <w:rPr>
          <w:spacing w:val="-2"/>
          <w:lang w:val="en-US"/>
        </w:rPr>
        <w:t>concerned</w:t>
      </w:r>
      <w:r w:rsidR="00C202FD" w:rsidRPr="008A1DB4">
        <w:rPr>
          <w:spacing w:val="-2"/>
          <w:lang w:val="en-US"/>
        </w:rPr>
        <w:t xml:space="preserve">, considering, among </w:t>
      </w:r>
      <w:r w:rsidR="0079515C" w:rsidRPr="008A1DB4">
        <w:rPr>
          <w:spacing w:val="-2"/>
          <w:lang w:val="en-US"/>
        </w:rPr>
        <w:t>other</w:t>
      </w:r>
      <w:r w:rsidR="00C202FD" w:rsidRPr="008A1DB4">
        <w:rPr>
          <w:spacing w:val="-2"/>
          <w:lang w:val="en-US"/>
        </w:rPr>
        <w:t xml:space="preserve"> aspects, the matter that is the purpose of the dispute. Thus, this Court has established that, if the passage of time has a relevant impact on the legal situation of the individual, </w:t>
      </w:r>
      <w:r w:rsidR="002E76EE">
        <w:rPr>
          <w:spacing w:val="-2"/>
          <w:lang w:val="en-US"/>
        </w:rPr>
        <w:t>the proceedings must be advanced</w:t>
      </w:r>
      <w:r w:rsidR="00C202FD" w:rsidRPr="008A1DB4">
        <w:rPr>
          <w:spacing w:val="-2"/>
          <w:lang w:val="en-US"/>
        </w:rPr>
        <w:t xml:space="preserve"> with greater diligence so that the case is decided rapidly.</w:t>
      </w:r>
      <w:r w:rsidR="00470B06" w:rsidRPr="008A1DB4">
        <w:rPr>
          <w:rStyle w:val="FootnoteReference"/>
          <w:spacing w:val="-2"/>
          <w:lang w:val="en-US"/>
        </w:rPr>
        <w:footnoteReference w:id="306"/>
      </w:r>
      <w:bookmarkEnd w:id="902"/>
    </w:p>
    <w:p w14:paraId="24C81E12" w14:textId="77777777" w:rsidR="00470B06" w:rsidRPr="008A1DB4" w:rsidRDefault="00470B06" w:rsidP="00956E97">
      <w:pPr>
        <w:widowControl w:val="0"/>
        <w:tabs>
          <w:tab w:val="left" w:pos="567"/>
          <w:tab w:val="left" w:pos="851"/>
          <w:tab w:val="left" w:pos="1120"/>
          <w:tab w:val="left" w:pos="1843"/>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Batang"/>
          <w:b/>
          <w:spacing w:val="-2"/>
          <w:lang w:val="en-US"/>
        </w:rPr>
      </w:pPr>
    </w:p>
    <w:p w14:paraId="2C364E1D" w14:textId="0BA6B99D" w:rsidR="00470B06" w:rsidRPr="008A1DB4" w:rsidRDefault="00F36400" w:rsidP="00956E97">
      <w:pPr>
        <w:pStyle w:val="PrrafodeSentencia"/>
        <w:rPr>
          <w:b/>
          <w:spacing w:val="-2"/>
          <w:lang w:val="en-US"/>
        </w:rPr>
      </w:pPr>
      <w:bookmarkStart w:id="903" w:name="_Ref417307039"/>
      <w:r w:rsidRPr="008A1DB4">
        <w:rPr>
          <w:spacing w:val="-2"/>
          <w:lang w:val="en-US"/>
        </w:rPr>
        <w:t>The Court</w:t>
      </w:r>
      <w:r w:rsidR="00C202FD" w:rsidRPr="008A1DB4">
        <w:rPr>
          <w:spacing w:val="-2"/>
          <w:lang w:val="en-US"/>
        </w:rPr>
        <w:t xml:space="preserve"> observes that</w:t>
      </w:r>
      <w:r w:rsidR="00470B06" w:rsidRPr="008A1DB4">
        <w:rPr>
          <w:spacing w:val="-2"/>
          <w:lang w:val="en-US"/>
        </w:rPr>
        <w:t xml:space="preserve"> </w:t>
      </w:r>
      <w:r w:rsidR="00FC5891" w:rsidRPr="008A1DB4">
        <w:rPr>
          <w:spacing w:val="-2"/>
          <w:lang w:val="en-US"/>
        </w:rPr>
        <w:t>the extradition process</w:t>
      </w:r>
      <w:r w:rsidR="00470B06" w:rsidRPr="008A1DB4">
        <w:rPr>
          <w:spacing w:val="-2"/>
          <w:lang w:val="en-US"/>
        </w:rPr>
        <w:t xml:space="preserve"> ha</w:t>
      </w:r>
      <w:r w:rsidR="00C202FD" w:rsidRPr="008A1DB4">
        <w:rPr>
          <w:spacing w:val="-2"/>
          <w:lang w:val="en-US"/>
        </w:rPr>
        <w:t xml:space="preserve">s lasted more than six and a half years and that, during this lapse, </w:t>
      </w:r>
      <w:r w:rsidR="001E7113" w:rsidRPr="008A1DB4">
        <w:rPr>
          <w:spacing w:val="-2"/>
          <w:lang w:val="en-US"/>
        </w:rPr>
        <w:t>Wong</w:t>
      </w:r>
      <w:r w:rsidR="00470B06" w:rsidRPr="008A1DB4">
        <w:rPr>
          <w:spacing w:val="-2"/>
          <w:lang w:val="en-US"/>
        </w:rPr>
        <w:t xml:space="preserve"> Ho Wing ha</w:t>
      </w:r>
      <w:r w:rsidR="00C202FD" w:rsidRPr="008A1DB4">
        <w:rPr>
          <w:spacing w:val="-2"/>
          <w:lang w:val="en-US"/>
        </w:rPr>
        <w:t xml:space="preserve">s been deprived of his liberty (five and a half years in a detention center and one year under house arrest). In addition, the situation of uncertainty in which the presumed victim has been kept as regards his possible extradition to China should be mentioned.    </w:t>
      </w:r>
      <w:r w:rsidR="00470B06" w:rsidRPr="008A1DB4">
        <w:rPr>
          <w:spacing w:val="-2"/>
          <w:lang w:val="en-US"/>
        </w:rPr>
        <w:t xml:space="preserve"> </w:t>
      </w:r>
      <w:r w:rsidR="00C202FD" w:rsidRPr="008A1DB4">
        <w:rPr>
          <w:spacing w:val="-2"/>
          <w:lang w:val="en-US"/>
        </w:rPr>
        <w:t xml:space="preserve">Despite this, throughout the extradition proceeding, the State has paid little or no attention to the effects on Wong Ho Wing of the delay in the final decision, and did not consider the possibility of tempering the impact of the duration of the proceedings on his individual rights until </w:t>
      </w:r>
      <w:r w:rsidR="00D003F8" w:rsidRPr="008A1DB4">
        <w:rPr>
          <w:spacing w:val="-2"/>
          <w:lang w:val="en-US"/>
        </w:rPr>
        <w:t>March 10,</w:t>
      </w:r>
      <w:r w:rsidR="00470B06" w:rsidRPr="008A1DB4">
        <w:rPr>
          <w:spacing w:val="-2"/>
          <w:lang w:val="en-US"/>
        </w:rPr>
        <w:t xml:space="preserve"> 2014, </w:t>
      </w:r>
      <w:r w:rsidR="00C202FD" w:rsidRPr="008A1DB4">
        <w:rPr>
          <w:spacing w:val="-2"/>
          <w:lang w:val="en-US"/>
        </w:rPr>
        <w:t xml:space="preserve">when house arrest was granted. In this regard, it should be emphasized that proceedings in which an individual is held in preventive detention should be held as rapidly as possible </w:t>
      </w:r>
      <w:r w:rsidR="00470B06" w:rsidRPr="008A1DB4">
        <w:rPr>
          <w:spacing w:val="-2"/>
          <w:lang w:val="en-US"/>
        </w:rPr>
        <w:t>(</w:t>
      </w:r>
      <w:r w:rsidR="00470B06" w:rsidRPr="008A1DB4">
        <w:rPr>
          <w:i/>
          <w:spacing w:val="-2"/>
          <w:lang w:val="en-US"/>
        </w:rPr>
        <w:t xml:space="preserve">infra </w:t>
      </w:r>
      <w:r w:rsidR="00C45946" w:rsidRPr="008A1DB4">
        <w:rPr>
          <w:spacing w:val="-2"/>
          <w:lang w:val="en-US"/>
        </w:rPr>
        <w:t xml:space="preserve">para. </w:t>
      </w:r>
      <w:r w:rsidR="00646AB2" w:rsidRPr="008A1DB4">
        <w:rPr>
          <w:spacing w:val="-2"/>
          <w:lang w:val="en-US"/>
        </w:rPr>
        <w:fldChar w:fldCharType="begin"/>
      </w:r>
      <w:r w:rsidR="00646AB2" w:rsidRPr="008A1DB4">
        <w:rPr>
          <w:spacing w:val="-2"/>
          <w:lang w:val="en-US"/>
        </w:rPr>
        <w:instrText xml:space="preserve"> REF _Ref428982011 \r \h </w:instrText>
      </w:r>
      <w:r w:rsidR="00DC41F4" w:rsidRPr="008A1DB4">
        <w:rPr>
          <w:spacing w:val="-2"/>
          <w:lang w:val="en-US"/>
        </w:rPr>
        <w:instrText xml:space="preserve"> \* MERGEFORMAT </w:instrText>
      </w:r>
      <w:r w:rsidR="00646AB2" w:rsidRPr="008A1DB4">
        <w:rPr>
          <w:spacing w:val="-2"/>
          <w:lang w:val="en-US"/>
        </w:rPr>
      </w:r>
      <w:r w:rsidR="00646AB2" w:rsidRPr="008A1DB4">
        <w:rPr>
          <w:spacing w:val="-2"/>
          <w:lang w:val="en-US"/>
        </w:rPr>
        <w:fldChar w:fldCharType="separate"/>
      </w:r>
      <w:r w:rsidR="00E961FA" w:rsidRPr="008A1DB4">
        <w:rPr>
          <w:spacing w:val="-2"/>
          <w:lang w:val="en-US"/>
        </w:rPr>
        <w:t>268</w:t>
      </w:r>
      <w:r w:rsidR="00646AB2" w:rsidRPr="008A1DB4">
        <w:rPr>
          <w:spacing w:val="-2"/>
          <w:lang w:val="en-US"/>
        </w:rPr>
        <w:fldChar w:fldCharType="end"/>
      </w:r>
      <w:r w:rsidR="00470B06" w:rsidRPr="008A1DB4">
        <w:rPr>
          <w:spacing w:val="-2"/>
          <w:lang w:val="en-US"/>
        </w:rPr>
        <w:t xml:space="preserve">). </w:t>
      </w:r>
      <w:r w:rsidR="0079515C" w:rsidRPr="008A1DB4">
        <w:rPr>
          <w:spacing w:val="-2"/>
          <w:lang w:val="en-US"/>
        </w:rPr>
        <w:t>However</w:t>
      </w:r>
      <w:r w:rsidR="00C202FD" w:rsidRPr="008A1DB4">
        <w:rPr>
          <w:spacing w:val="-2"/>
          <w:lang w:val="en-US"/>
        </w:rPr>
        <w:t>, the Court does not find that this consideration has been taken into account in the processing of this extradition request.</w:t>
      </w:r>
      <w:bookmarkEnd w:id="903"/>
    </w:p>
    <w:p w14:paraId="3A5F8381" w14:textId="77777777" w:rsidR="00470B06" w:rsidRPr="008A1DB4" w:rsidRDefault="00470B06" w:rsidP="00956E97">
      <w:pPr>
        <w:tabs>
          <w:tab w:val="left" w:pos="284"/>
          <w:tab w:val="left" w:pos="567"/>
        </w:tabs>
        <w:rPr>
          <w:spacing w:val="-2"/>
          <w:lang w:val="en-US"/>
        </w:rPr>
      </w:pPr>
    </w:p>
    <w:p w14:paraId="7D44C4F3" w14:textId="66646605" w:rsidR="00470B06" w:rsidRPr="008A1DB4" w:rsidRDefault="001834F4" w:rsidP="00956E97">
      <w:pPr>
        <w:pStyle w:val="Heading3"/>
        <w:rPr>
          <w:spacing w:val="-2"/>
          <w:lang w:val="en-US"/>
        </w:rPr>
      </w:pPr>
      <w:bookmarkStart w:id="904" w:name="_Toc418912844"/>
      <w:bookmarkStart w:id="905" w:name="_Toc419394424"/>
      <w:bookmarkStart w:id="906" w:name="_Toc429490284"/>
      <w:bookmarkStart w:id="907" w:name="_Toc429503798"/>
      <w:bookmarkStart w:id="908" w:name="_Toc429504304"/>
      <w:bookmarkStart w:id="909" w:name="_Toc429678017"/>
      <w:bookmarkStart w:id="910" w:name="_Toc430017180"/>
      <w:bookmarkStart w:id="911" w:name="_Toc430017409"/>
      <w:bookmarkStart w:id="912" w:name="_Toc430018691"/>
      <w:bookmarkStart w:id="913" w:name="_Toc430125289"/>
      <w:bookmarkStart w:id="914" w:name="_Toc430125397"/>
      <w:r w:rsidRPr="008A1DB4">
        <w:rPr>
          <w:spacing w:val="-2"/>
          <w:lang w:val="en-US"/>
        </w:rPr>
        <w:t>B.</w:t>
      </w:r>
      <w:r w:rsidR="00107399" w:rsidRPr="008A1DB4">
        <w:rPr>
          <w:spacing w:val="-2"/>
          <w:lang w:val="en-US"/>
        </w:rPr>
        <w:t>2</w:t>
      </w:r>
      <w:r w:rsidRPr="008A1DB4">
        <w:rPr>
          <w:spacing w:val="-2"/>
          <w:lang w:val="en-US"/>
        </w:rPr>
        <w:t>.</w:t>
      </w:r>
      <w:r w:rsidR="00635ACC" w:rsidRPr="008A1DB4">
        <w:rPr>
          <w:spacing w:val="-2"/>
          <w:lang w:val="en-US"/>
        </w:rPr>
        <w:t>e</w:t>
      </w:r>
      <w:r w:rsidR="00470B06" w:rsidRPr="008A1DB4">
        <w:rPr>
          <w:spacing w:val="-2"/>
          <w:lang w:val="en-US"/>
        </w:rPr>
        <w:t xml:space="preserve">) </w:t>
      </w:r>
      <w:r w:rsidR="00672B34" w:rsidRPr="008A1DB4">
        <w:rPr>
          <w:spacing w:val="-2"/>
          <w:lang w:val="en-US"/>
        </w:rPr>
        <w:t>Conclusion concerning a reasonable time</w:t>
      </w:r>
      <w:bookmarkEnd w:id="904"/>
      <w:bookmarkEnd w:id="905"/>
      <w:bookmarkEnd w:id="906"/>
      <w:bookmarkEnd w:id="907"/>
      <w:bookmarkEnd w:id="908"/>
      <w:bookmarkEnd w:id="909"/>
      <w:bookmarkEnd w:id="910"/>
      <w:bookmarkEnd w:id="911"/>
      <w:bookmarkEnd w:id="912"/>
      <w:bookmarkEnd w:id="913"/>
      <w:bookmarkEnd w:id="914"/>
    </w:p>
    <w:p w14:paraId="52449D5B" w14:textId="77777777" w:rsidR="00470B06" w:rsidRPr="008A1DB4" w:rsidRDefault="00470B06" w:rsidP="00956E97">
      <w:pPr>
        <w:tabs>
          <w:tab w:val="left" w:pos="284"/>
          <w:tab w:val="left" w:pos="567"/>
        </w:tabs>
        <w:rPr>
          <w:spacing w:val="-2"/>
          <w:lang w:val="en-US"/>
        </w:rPr>
      </w:pPr>
    </w:p>
    <w:p w14:paraId="2D55884C" w14:textId="750FA0F5" w:rsidR="00470B06" w:rsidRPr="008A1DB4" w:rsidRDefault="00C202FD" w:rsidP="00956E97">
      <w:pPr>
        <w:pStyle w:val="PrrafodeSentencia"/>
        <w:rPr>
          <w:spacing w:val="-2"/>
          <w:lang w:val="en-US"/>
        </w:rPr>
      </w:pPr>
      <w:bookmarkStart w:id="915" w:name="_Ref417307041"/>
      <w:r w:rsidRPr="008A1DB4">
        <w:rPr>
          <w:spacing w:val="-2"/>
          <w:lang w:val="en-US"/>
        </w:rPr>
        <w:t>The extradition proceedings</w:t>
      </w:r>
      <w:r w:rsidR="00470B06" w:rsidRPr="008A1DB4">
        <w:rPr>
          <w:spacing w:val="-2"/>
          <w:lang w:val="en-US"/>
        </w:rPr>
        <w:t xml:space="preserve"> </w:t>
      </w:r>
      <w:r w:rsidRPr="008A1DB4">
        <w:rPr>
          <w:spacing w:val="-2"/>
          <w:lang w:val="en-US"/>
        </w:rPr>
        <w:t>against</w:t>
      </w:r>
      <w:r w:rsidR="00470B06" w:rsidRPr="008A1DB4">
        <w:rPr>
          <w:spacing w:val="-2"/>
          <w:lang w:val="en-US"/>
        </w:rPr>
        <w:t xml:space="preserve"> </w:t>
      </w:r>
      <w:r w:rsidR="001E7113" w:rsidRPr="008A1DB4">
        <w:rPr>
          <w:spacing w:val="-2"/>
          <w:lang w:val="en-US"/>
        </w:rPr>
        <w:t>Wong</w:t>
      </w:r>
      <w:r w:rsidR="00470B06" w:rsidRPr="008A1DB4">
        <w:rPr>
          <w:spacing w:val="-2"/>
          <w:lang w:val="en-US"/>
        </w:rPr>
        <w:t xml:space="preserve"> Ho Wing h</w:t>
      </w:r>
      <w:r w:rsidRPr="008A1DB4">
        <w:rPr>
          <w:spacing w:val="-2"/>
          <w:lang w:val="en-US"/>
        </w:rPr>
        <w:t xml:space="preserve">ave lasted more than six years and have not yet concluded. Once </w:t>
      </w:r>
      <w:r w:rsidR="00B43F84" w:rsidRPr="008A1DB4">
        <w:rPr>
          <w:spacing w:val="-2"/>
          <w:lang w:val="en-US"/>
        </w:rPr>
        <w:t>the Executive Branch</w:t>
      </w:r>
      <w:r w:rsidR="00470B06" w:rsidRPr="008A1DB4">
        <w:rPr>
          <w:spacing w:val="-2"/>
          <w:lang w:val="en-US"/>
        </w:rPr>
        <w:t xml:space="preserve"> </w:t>
      </w:r>
      <w:r w:rsidRPr="008A1DB4">
        <w:rPr>
          <w:spacing w:val="-2"/>
          <w:lang w:val="en-US"/>
        </w:rPr>
        <w:t xml:space="preserve">has issued its </w:t>
      </w:r>
      <w:r w:rsidR="00A33F97" w:rsidRPr="008A1DB4">
        <w:rPr>
          <w:spacing w:val="-2"/>
          <w:lang w:val="en-US"/>
        </w:rPr>
        <w:t>decision</w:t>
      </w:r>
      <w:r w:rsidR="00470B06" w:rsidRPr="008A1DB4">
        <w:rPr>
          <w:spacing w:val="-2"/>
          <w:lang w:val="en-US"/>
        </w:rPr>
        <w:t xml:space="preserve">, </w:t>
      </w:r>
      <w:r w:rsidRPr="008A1DB4">
        <w:rPr>
          <w:spacing w:val="-2"/>
          <w:lang w:val="en-US"/>
        </w:rPr>
        <w:t xml:space="preserve">it can still be appealed </w:t>
      </w:r>
      <w:r w:rsidR="00470B06" w:rsidRPr="008A1DB4">
        <w:rPr>
          <w:spacing w:val="-2"/>
          <w:lang w:val="en-US"/>
        </w:rPr>
        <w:t>(</w:t>
      </w:r>
      <w:r w:rsidR="00290D48" w:rsidRPr="008A1DB4">
        <w:rPr>
          <w:i/>
          <w:spacing w:val="-2"/>
          <w:lang w:val="en-US"/>
        </w:rPr>
        <w:t>supra</w:t>
      </w:r>
      <w:r w:rsidR="00470B06" w:rsidRPr="008A1DB4">
        <w:rPr>
          <w:i/>
          <w:spacing w:val="-2"/>
          <w:lang w:val="en-US"/>
        </w:rPr>
        <w:t xml:space="preserve"> </w:t>
      </w:r>
      <w:r w:rsidR="00C45946" w:rsidRPr="008A1DB4">
        <w:rPr>
          <w:spacing w:val="-2"/>
          <w:lang w:val="en-US"/>
        </w:rPr>
        <w:t xml:space="preserve">para. </w:t>
      </w:r>
      <w:r w:rsidR="00290D48" w:rsidRPr="008A1DB4">
        <w:rPr>
          <w:spacing w:val="-2"/>
          <w:lang w:val="en-US"/>
        </w:rPr>
        <w:fldChar w:fldCharType="begin"/>
      </w:r>
      <w:r w:rsidR="00290D48" w:rsidRPr="008A1DB4">
        <w:rPr>
          <w:spacing w:val="-2"/>
          <w:lang w:val="en-US"/>
        </w:rPr>
        <w:instrText xml:space="preserve"> REF _Ref429411623 \r \h </w:instrText>
      </w:r>
      <w:r w:rsidR="00EB3BAE" w:rsidRPr="008A1DB4">
        <w:rPr>
          <w:spacing w:val="-2"/>
          <w:lang w:val="en-US"/>
        </w:rPr>
        <w:instrText xml:space="preserve"> \* MERGEFORMAT </w:instrText>
      </w:r>
      <w:r w:rsidR="00290D48" w:rsidRPr="008A1DB4">
        <w:rPr>
          <w:spacing w:val="-2"/>
          <w:lang w:val="en-US"/>
        </w:rPr>
      </w:r>
      <w:r w:rsidR="00290D48" w:rsidRPr="008A1DB4">
        <w:rPr>
          <w:spacing w:val="-2"/>
          <w:lang w:val="en-US"/>
        </w:rPr>
        <w:fldChar w:fldCharType="separate"/>
      </w:r>
      <w:r w:rsidR="00E961FA" w:rsidRPr="008A1DB4">
        <w:rPr>
          <w:spacing w:val="-2"/>
          <w:lang w:val="en-US"/>
        </w:rPr>
        <w:t>205</w:t>
      </w:r>
      <w:r w:rsidR="00290D48" w:rsidRPr="008A1DB4">
        <w:rPr>
          <w:spacing w:val="-2"/>
          <w:lang w:val="en-US"/>
        </w:rPr>
        <w:fldChar w:fldCharType="end"/>
      </w:r>
      <w:r w:rsidR="00470B06" w:rsidRPr="008A1DB4">
        <w:rPr>
          <w:spacing w:val="-2"/>
          <w:lang w:val="en-US"/>
        </w:rPr>
        <w:t>)</w:t>
      </w:r>
      <w:r w:rsidRPr="008A1DB4">
        <w:rPr>
          <w:spacing w:val="-2"/>
          <w:lang w:val="en-US"/>
        </w:rPr>
        <w:t xml:space="preserve">, which would add more time to the duration of the extradition process. The Court stresses that </w:t>
      </w:r>
      <w:r w:rsidR="00FC5891" w:rsidRPr="008A1DB4">
        <w:rPr>
          <w:spacing w:val="-2"/>
          <w:lang w:val="en-US"/>
        </w:rPr>
        <w:t>the extradition process</w:t>
      </w:r>
      <w:r w:rsidR="00470B06" w:rsidRPr="008A1DB4">
        <w:rPr>
          <w:spacing w:val="-2"/>
          <w:lang w:val="en-US"/>
        </w:rPr>
        <w:t xml:space="preserve"> represent</w:t>
      </w:r>
      <w:r w:rsidR="0047101B">
        <w:rPr>
          <w:spacing w:val="-2"/>
          <w:lang w:val="en-US"/>
        </w:rPr>
        <w:t>s a very preliminary stage in</w:t>
      </w:r>
      <w:r w:rsidRPr="008A1DB4">
        <w:rPr>
          <w:spacing w:val="-2"/>
          <w:lang w:val="en-US"/>
        </w:rPr>
        <w:t xml:space="preserve"> the </w:t>
      </w:r>
      <w:r w:rsidR="00947926" w:rsidRPr="008A1DB4">
        <w:rPr>
          <w:spacing w:val="-2"/>
          <w:lang w:val="en-US"/>
        </w:rPr>
        <w:t>possible</w:t>
      </w:r>
      <w:r w:rsidRPr="008A1DB4">
        <w:rPr>
          <w:spacing w:val="-2"/>
          <w:lang w:val="en-US"/>
        </w:rPr>
        <w:t xml:space="preserve"> criminal proceedings to which </w:t>
      </w:r>
      <w:r w:rsidR="001E7113" w:rsidRPr="008A1DB4">
        <w:rPr>
          <w:spacing w:val="-2"/>
          <w:lang w:val="en-US"/>
        </w:rPr>
        <w:t>Wong</w:t>
      </w:r>
      <w:r w:rsidR="00470B06" w:rsidRPr="008A1DB4">
        <w:rPr>
          <w:spacing w:val="-2"/>
          <w:lang w:val="en-US"/>
        </w:rPr>
        <w:t xml:space="preserve"> Ho Wing</w:t>
      </w:r>
      <w:r w:rsidR="0047101B">
        <w:rPr>
          <w:spacing w:val="-2"/>
          <w:lang w:val="en-US"/>
        </w:rPr>
        <w:t xml:space="preserve"> may be subject</w:t>
      </w:r>
      <w:r w:rsidRPr="008A1DB4">
        <w:rPr>
          <w:spacing w:val="-2"/>
          <w:lang w:val="en-US"/>
        </w:rPr>
        <w:t xml:space="preserve"> and, more than six years have been invested in this stage alone, without it h</w:t>
      </w:r>
      <w:r w:rsidR="0047101B">
        <w:rPr>
          <w:spacing w:val="-2"/>
          <w:lang w:val="en-US"/>
        </w:rPr>
        <w:t>aving concluded. Having analyzed</w:t>
      </w:r>
      <w:r w:rsidRPr="008A1DB4">
        <w:rPr>
          <w:spacing w:val="-2"/>
          <w:lang w:val="en-US"/>
        </w:rPr>
        <w:t xml:space="preserve"> the four elements to determine whether the time is reasonable</w:t>
      </w:r>
      <w:r w:rsidR="00470B06" w:rsidRPr="008A1DB4">
        <w:rPr>
          <w:spacing w:val="-2"/>
          <w:lang w:val="en-US"/>
        </w:rPr>
        <w:t xml:space="preserve"> (</w:t>
      </w:r>
      <w:r w:rsidR="00470B06" w:rsidRPr="008A1DB4">
        <w:rPr>
          <w:i/>
          <w:spacing w:val="-2"/>
          <w:lang w:val="en-US"/>
        </w:rPr>
        <w:t>supra</w:t>
      </w:r>
      <w:r w:rsidR="00470B06" w:rsidRPr="008A1DB4">
        <w:rPr>
          <w:spacing w:val="-2"/>
          <w:lang w:val="en-US"/>
        </w:rPr>
        <w:t xml:space="preserve"> </w:t>
      </w:r>
      <w:r w:rsidR="00C45946" w:rsidRPr="008A1DB4">
        <w:rPr>
          <w:spacing w:val="-2"/>
          <w:lang w:val="en-US"/>
        </w:rPr>
        <w:t xml:space="preserve">para. </w:t>
      </w:r>
      <w:r w:rsidR="008F6199" w:rsidRPr="008A1DB4">
        <w:rPr>
          <w:spacing w:val="-2"/>
          <w:lang w:val="en-US"/>
        </w:rPr>
        <w:fldChar w:fldCharType="begin"/>
      </w:r>
      <w:r w:rsidR="008F6199" w:rsidRPr="008A1DB4">
        <w:rPr>
          <w:spacing w:val="-2"/>
          <w:lang w:val="en-US"/>
        </w:rPr>
        <w:instrText xml:space="preserve"> REF _Ref429069773 \r \h </w:instrText>
      </w:r>
      <w:r w:rsidR="00DC41F4" w:rsidRPr="008A1DB4">
        <w:rPr>
          <w:spacing w:val="-2"/>
          <w:lang w:val="en-US"/>
        </w:rPr>
        <w:instrText xml:space="preserve"> \* MERGEFORMAT </w:instrText>
      </w:r>
      <w:r w:rsidR="008F6199" w:rsidRPr="008A1DB4">
        <w:rPr>
          <w:spacing w:val="-2"/>
          <w:lang w:val="en-US"/>
        </w:rPr>
      </w:r>
      <w:r w:rsidR="008F6199" w:rsidRPr="008A1DB4">
        <w:rPr>
          <w:spacing w:val="-2"/>
          <w:lang w:val="en-US"/>
        </w:rPr>
        <w:fldChar w:fldCharType="separate"/>
      </w:r>
      <w:r w:rsidR="00E961FA" w:rsidRPr="008A1DB4">
        <w:rPr>
          <w:spacing w:val="-2"/>
          <w:lang w:val="en-US"/>
        </w:rPr>
        <w:t>209</w:t>
      </w:r>
      <w:r w:rsidR="008F6199" w:rsidRPr="008A1DB4">
        <w:rPr>
          <w:spacing w:val="-2"/>
          <w:lang w:val="en-US"/>
        </w:rPr>
        <w:fldChar w:fldCharType="end"/>
      </w:r>
      <w:r w:rsidR="00470B06" w:rsidRPr="008A1DB4">
        <w:rPr>
          <w:spacing w:val="-2"/>
          <w:lang w:val="en-US"/>
        </w:rPr>
        <w:t xml:space="preserve">), </w:t>
      </w:r>
      <w:r w:rsidR="00F36400" w:rsidRPr="008A1DB4">
        <w:rPr>
          <w:spacing w:val="-2"/>
          <w:lang w:val="en-US"/>
        </w:rPr>
        <w:t>the Inter-American Court</w:t>
      </w:r>
      <w:r w:rsidR="00470B06" w:rsidRPr="008A1DB4">
        <w:rPr>
          <w:spacing w:val="-2"/>
          <w:lang w:val="en-US"/>
        </w:rPr>
        <w:t xml:space="preserve"> conclu</w:t>
      </w:r>
      <w:r w:rsidRPr="008A1DB4">
        <w:rPr>
          <w:spacing w:val="-2"/>
          <w:lang w:val="en-US"/>
        </w:rPr>
        <w:t xml:space="preserve">des that the State authorities have not acted with due diligence and respecting the obligation of promptness required by </w:t>
      </w:r>
      <w:r w:rsidR="00B43F84" w:rsidRPr="008A1DB4">
        <w:rPr>
          <w:spacing w:val="-2"/>
          <w:lang w:val="en-US"/>
        </w:rPr>
        <w:t>Wong</w:t>
      </w:r>
      <w:r w:rsidR="00470B06" w:rsidRPr="008A1DB4">
        <w:rPr>
          <w:spacing w:val="-2"/>
          <w:lang w:val="en-US"/>
        </w:rPr>
        <w:t xml:space="preserve"> Ho Wing</w:t>
      </w:r>
      <w:r w:rsidRPr="008A1DB4">
        <w:rPr>
          <w:spacing w:val="-2"/>
          <w:lang w:val="en-US"/>
        </w:rPr>
        <w:t>’s detention</w:t>
      </w:r>
      <w:r w:rsidR="00470B06" w:rsidRPr="008A1DB4">
        <w:rPr>
          <w:spacing w:val="-2"/>
          <w:lang w:val="en-US"/>
        </w:rPr>
        <w:t xml:space="preserve">, </w:t>
      </w:r>
      <w:r w:rsidRPr="008A1DB4">
        <w:rPr>
          <w:spacing w:val="-2"/>
          <w:lang w:val="en-US"/>
        </w:rPr>
        <w:t xml:space="preserve">and </w:t>
      </w:r>
      <w:r w:rsidR="00FC5891" w:rsidRPr="008A1DB4">
        <w:rPr>
          <w:spacing w:val="-2"/>
          <w:lang w:val="en-US"/>
        </w:rPr>
        <w:t>the extradition process</w:t>
      </w:r>
      <w:r w:rsidR="00470B06" w:rsidRPr="008A1DB4">
        <w:rPr>
          <w:spacing w:val="-2"/>
          <w:lang w:val="en-US"/>
        </w:rPr>
        <w:t xml:space="preserve"> ha</w:t>
      </w:r>
      <w:r w:rsidRPr="008A1DB4">
        <w:rPr>
          <w:spacing w:val="-2"/>
          <w:lang w:val="en-US"/>
        </w:rPr>
        <w:t>s therefore exceeded a</w:t>
      </w:r>
      <w:r w:rsidR="00470B06" w:rsidRPr="008A1DB4">
        <w:rPr>
          <w:spacing w:val="-2"/>
          <w:lang w:val="en-US"/>
        </w:rPr>
        <w:t xml:space="preserve"> </w:t>
      </w:r>
      <w:r w:rsidR="00A33F97" w:rsidRPr="008A1DB4">
        <w:rPr>
          <w:spacing w:val="-2"/>
          <w:lang w:val="en-US"/>
        </w:rPr>
        <w:t>reasonable time</w:t>
      </w:r>
      <w:r w:rsidR="00470B06" w:rsidRPr="008A1DB4">
        <w:rPr>
          <w:spacing w:val="-2"/>
          <w:lang w:val="en-US"/>
        </w:rPr>
        <w:t xml:space="preserve">, </w:t>
      </w:r>
      <w:r w:rsidRPr="008A1DB4">
        <w:rPr>
          <w:spacing w:val="-2"/>
          <w:lang w:val="en-US"/>
        </w:rPr>
        <w:t xml:space="preserve">which violates the right to the guarantees established in </w:t>
      </w:r>
      <w:r w:rsidR="00F36400" w:rsidRPr="008A1DB4">
        <w:rPr>
          <w:spacing w:val="-2"/>
          <w:lang w:val="en-US"/>
        </w:rPr>
        <w:t>Article</w:t>
      </w:r>
      <w:r w:rsidR="00A33F97" w:rsidRPr="008A1DB4">
        <w:rPr>
          <w:spacing w:val="-2"/>
          <w:lang w:val="en-US"/>
        </w:rPr>
        <w:t xml:space="preserve"> 8(1)</w:t>
      </w:r>
      <w:r w:rsidR="00470B06" w:rsidRPr="008A1DB4">
        <w:rPr>
          <w:spacing w:val="-2"/>
          <w:lang w:val="en-US"/>
        </w:rPr>
        <w:t xml:space="preserve">, </w:t>
      </w:r>
      <w:r w:rsidRPr="008A1DB4">
        <w:rPr>
          <w:spacing w:val="-2"/>
          <w:lang w:val="en-US"/>
        </w:rPr>
        <w:t xml:space="preserve">in relation to </w:t>
      </w:r>
      <w:r w:rsidR="00F36400" w:rsidRPr="008A1DB4">
        <w:rPr>
          <w:spacing w:val="-2"/>
          <w:lang w:val="en-US"/>
        </w:rPr>
        <w:t>Article</w:t>
      </w:r>
      <w:r w:rsidR="00470B06" w:rsidRPr="008A1DB4">
        <w:rPr>
          <w:spacing w:val="-2"/>
          <w:lang w:val="en-US"/>
        </w:rPr>
        <w:t xml:space="preserve"> 1</w:t>
      </w:r>
      <w:r w:rsidR="00F36400" w:rsidRPr="008A1DB4">
        <w:rPr>
          <w:spacing w:val="-2"/>
          <w:lang w:val="en-US"/>
        </w:rPr>
        <w:t xml:space="preserve"> of the American Convention</w:t>
      </w:r>
      <w:r w:rsidR="00470B06" w:rsidRPr="008A1DB4">
        <w:rPr>
          <w:spacing w:val="-2"/>
          <w:lang w:val="en-US"/>
        </w:rPr>
        <w:t xml:space="preserve">, </w:t>
      </w:r>
      <w:r w:rsidR="00F36400" w:rsidRPr="008A1DB4">
        <w:rPr>
          <w:spacing w:val="-2"/>
          <w:lang w:val="en-US"/>
        </w:rPr>
        <w:t>to the detriment of</w:t>
      </w:r>
      <w:r w:rsidR="00470B06" w:rsidRPr="008A1DB4">
        <w:rPr>
          <w:spacing w:val="-2"/>
          <w:lang w:val="en-US"/>
        </w:rPr>
        <w:t xml:space="preserve"> Wong Ho Wing.</w:t>
      </w:r>
      <w:bookmarkEnd w:id="915"/>
      <w:r w:rsidR="00470B06" w:rsidRPr="008A1DB4">
        <w:rPr>
          <w:spacing w:val="-2"/>
          <w:lang w:val="en-US"/>
        </w:rPr>
        <w:t xml:space="preserve"> </w:t>
      </w:r>
    </w:p>
    <w:p w14:paraId="455A9617" w14:textId="77777777" w:rsidR="00F7101D" w:rsidRPr="008A1DB4" w:rsidRDefault="00F7101D" w:rsidP="00956E97">
      <w:pPr>
        <w:tabs>
          <w:tab w:val="left" w:pos="567"/>
        </w:tabs>
        <w:rPr>
          <w:spacing w:val="-2"/>
          <w:lang w:val="en-US"/>
        </w:rPr>
      </w:pPr>
    </w:p>
    <w:p w14:paraId="3F3CB8F6" w14:textId="0D32099B" w:rsidR="005B4D39" w:rsidRPr="008A1DB4" w:rsidRDefault="00F0439F" w:rsidP="00956E97">
      <w:pPr>
        <w:pStyle w:val="Heading2"/>
        <w:ind w:left="1440" w:firstLine="0"/>
        <w:rPr>
          <w:spacing w:val="-2"/>
          <w:lang w:val="en-US"/>
        </w:rPr>
      </w:pPr>
      <w:bookmarkStart w:id="916" w:name="_Toc418912629"/>
      <w:bookmarkStart w:id="917" w:name="_Toc419394426"/>
      <w:bookmarkStart w:id="918" w:name="_Toc429490285"/>
      <w:bookmarkStart w:id="919" w:name="_Toc429503799"/>
      <w:bookmarkStart w:id="920" w:name="_Toc429504305"/>
      <w:bookmarkStart w:id="921" w:name="_Toc429678018"/>
      <w:bookmarkStart w:id="922" w:name="_Toc430017181"/>
      <w:bookmarkStart w:id="923" w:name="_Toc430017410"/>
      <w:bookmarkStart w:id="924" w:name="_Toc430018692"/>
      <w:bookmarkStart w:id="925" w:name="_Toc430125290"/>
      <w:bookmarkStart w:id="926" w:name="_Toc430125398"/>
      <w:r w:rsidRPr="008A1DB4">
        <w:rPr>
          <w:spacing w:val="-2"/>
          <w:lang w:val="en-US"/>
        </w:rPr>
        <w:t xml:space="preserve">B.3) </w:t>
      </w:r>
      <w:proofErr w:type="gramStart"/>
      <w:r w:rsidR="00672B34" w:rsidRPr="008A1DB4">
        <w:rPr>
          <w:spacing w:val="-2"/>
          <w:lang w:val="en-US"/>
        </w:rPr>
        <w:t>Other</w:t>
      </w:r>
      <w:proofErr w:type="gramEnd"/>
      <w:r w:rsidR="00672B34" w:rsidRPr="008A1DB4">
        <w:rPr>
          <w:spacing w:val="-2"/>
          <w:lang w:val="en-US"/>
        </w:rPr>
        <w:t xml:space="preserve"> </w:t>
      </w:r>
      <w:r w:rsidR="0079515C" w:rsidRPr="008A1DB4">
        <w:rPr>
          <w:spacing w:val="-2"/>
          <w:lang w:val="en-US"/>
        </w:rPr>
        <w:t>guarantees</w:t>
      </w:r>
      <w:r w:rsidR="00672B34" w:rsidRPr="008A1DB4">
        <w:rPr>
          <w:spacing w:val="-2"/>
          <w:lang w:val="en-US"/>
        </w:rPr>
        <w:t xml:space="preserve"> of due</w:t>
      </w:r>
      <w:r w:rsidR="00775124" w:rsidRPr="008A1DB4">
        <w:rPr>
          <w:spacing w:val="-2"/>
          <w:lang w:val="en-US"/>
        </w:rPr>
        <w:t xml:space="preserve"> process</w:t>
      </w:r>
      <w:r w:rsidR="005B4D39" w:rsidRPr="008A1DB4">
        <w:rPr>
          <w:spacing w:val="-2"/>
          <w:lang w:val="en-US"/>
        </w:rPr>
        <w:t xml:space="preserve"> (</w:t>
      </w:r>
      <w:r w:rsidR="00672B34" w:rsidRPr="008A1DB4">
        <w:rPr>
          <w:spacing w:val="-2"/>
          <w:lang w:val="en-US"/>
        </w:rPr>
        <w:t>right to be heard and right to a defense</w:t>
      </w:r>
      <w:bookmarkEnd w:id="916"/>
      <w:bookmarkEnd w:id="917"/>
      <w:bookmarkEnd w:id="918"/>
      <w:bookmarkEnd w:id="919"/>
      <w:bookmarkEnd w:id="920"/>
      <w:bookmarkEnd w:id="921"/>
      <w:bookmarkEnd w:id="922"/>
      <w:bookmarkEnd w:id="923"/>
      <w:bookmarkEnd w:id="924"/>
      <w:bookmarkEnd w:id="925"/>
      <w:bookmarkEnd w:id="926"/>
      <w:r w:rsidR="00C202FD" w:rsidRPr="008A1DB4">
        <w:rPr>
          <w:spacing w:val="-2"/>
          <w:lang w:val="en-US"/>
        </w:rPr>
        <w:t>)</w:t>
      </w:r>
    </w:p>
    <w:p w14:paraId="17908F95" w14:textId="77777777" w:rsidR="005B4D39" w:rsidRPr="008A1DB4" w:rsidRDefault="005B4D39" w:rsidP="00956E97">
      <w:pPr>
        <w:tabs>
          <w:tab w:val="left" w:pos="567"/>
        </w:tabs>
        <w:ind w:left="720"/>
        <w:rPr>
          <w:b/>
          <w:i/>
          <w:spacing w:val="-2"/>
          <w:lang w:val="en-US"/>
        </w:rPr>
      </w:pPr>
    </w:p>
    <w:p w14:paraId="1FE11548" w14:textId="35BFB0F8" w:rsidR="005B4D39" w:rsidRPr="008A1DB4" w:rsidRDefault="0017789E" w:rsidP="00956E97">
      <w:pPr>
        <w:pStyle w:val="Heading3"/>
        <w:rPr>
          <w:spacing w:val="-2"/>
          <w:lang w:val="en-US"/>
        </w:rPr>
      </w:pPr>
      <w:bookmarkStart w:id="927" w:name="_Toc430018693"/>
      <w:bookmarkStart w:id="928" w:name="_Toc430125291"/>
      <w:bookmarkStart w:id="929" w:name="_Toc430125399"/>
      <w:bookmarkStart w:id="930" w:name="_Toc418074094"/>
      <w:bookmarkStart w:id="931" w:name="_Toc418503899"/>
      <w:bookmarkStart w:id="932" w:name="_Toc418912630"/>
      <w:bookmarkStart w:id="933" w:name="_Toc419394427"/>
      <w:bookmarkStart w:id="934" w:name="_Toc429490286"/>
      <w:bookmarkStart w:id="935" w:name="_Toc429503800"/>
      <w:bookmarkStart w:id="936" w:name="_Toc429504306"/>
      <w:bookmarkStart w:id="937" w:name="_Toc429678019"/>
      <w:bookmarkStart w:id="938" w:name="_Toc430017182"/>
      <w:bookmarkStart w:id="939" w:name="_Toc430017411"/>
      <w:r w:rsidRPr="008A1DB4">
        <w:rPr>
          <w:spacing w:val="-2"/>
          <w:lang w:val="en-US"/>
        </w:rPr>
        <w:t xml:space="preserve">B.3.a) </w:t>
      </w:r>
      <w:r w:rsidR="0058668C" w:rsidRPr="008A1DB4">
        <w:rPr>
          <w:spacing w:val="-2"/>
          <w:lang w:val="en-US"/>
        </w:rPr>
        <w:t>Arguments</w:t>
      </w:r>
      <w:r w:rsidR="00D94996"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927"/>
      <w:bookmarkEnd w:id="928"/>
      <w:bookmarkEnd w:id="929"/>
      <w:r w:rsidR="003930BA" w:rsidRPr="008A1DB4">
        <w:rPr>
          <w:spacing w:val="-2"/>
          <w:lang w:val="en-US"/>
        </w:rPr>
        <w:t xml:space="preserve"> </w:t>
      </w:r>
      <w:r w:rsidR="005B4D39" w:rsidRPr="008A1DB4">
        <w:rPr>
          <w:spacing w:val="-2"/>
          <w:lang w:val="en-US"/>
        </w:rPr>
        <w:t xml:space="preserve"> </w:t>
      </w:r>
      <w:bookmarkEnd w:id="930"/>
      <w:bookmarkEnd w:id="931"/>
      <w:bookmarkEnd w:id="932"/>
      <w:bookmarkEnd w:id="933"/>
      <w:bookmarkEnd w:id="934"/>
      <w:bookmarkEnd w:id="935"/>
      <w:bookmarkEnd w:id="936"/>
      <w:bookmarkEnd w:id="937"/>
      <w:bookmarkEnd w:id="938"/>
      <w:bookmarkEnd w:id="939"/>
    </w:p>
    <w:p w14:paraId="18FA2FF1" w14:textId="77777777" w:rsidR="005B4D39" w:rsidRPr="008A1DB4" w:rsidRDefault="005B4D39" w:rsidP="00956E97">
      <w:pPr>
        <w:tabs>
          <w:tab w:val="left" w:pos="567"/>
        </w:tabs>
        <w:rPr>
          <w:spacing w:val="-2"/>
          <w:lang w:val="en-US"/>
        </w:rPr>
      </w:pPr>
    </w:p>
    <w:p w14:paraId="510E00A6" w14:textId="78F7D30E" w:rsidR="005B4D39" w:rsidRPr="008A1DB4" w:rsidRDefault="00F36400" w:rsidP="00C202FD">
      <w:pPr>
        <w:pStyle w:val="PrrafodeSentencia"/>
        <w:rPr>
          <w:b/>
          <w:spacing w:val="-2"/>
          <w:lang w:val="en-US"/>
        </w:rPr>
      </w:pPr>
      <w:r w:rsidRPr="0079515C">
        <w:rPr>
          <w:spacing w:val="-2"/>
          <w:lang w:val="en-US"/>
        </w:rPr>
        <w:t>The Commission</w:t>
      </w:r>
      <w:r w:rsidR="00C202FD" w:rsidRPr="0079515C">
        <w:rPr>
          <w:spacing w:val="-2"/>
          <w:lang w:val="en-US"/>
        </w:rPr>
        <w:t xml:space="preserve"> indicated that “the legal framework does not reveal any form of participation</w:t>
      </w:r>
      <w:r w:rsidR="00C202FD" w:rsidRPr="008A1DB4">
        <w:rPr>
          <w:spacing w:val="-2"/>
          <w:lang w:val="en-US"/>
        </w:rPr>
        <w:t xml:space="preserve"> or defense for the requested person or his legal representative at the decision-making stage before the Executive Branch.” The Commission considered that Peru had “failed to meet its burden of proof” as regards the presumed victim’s arguments in relation to the </w:t>
      </w:r>
      <w:r w:rsidR="0047101B">
        <w:rPr>
          <w:spacing w:val="-2"/>
          <w:lang w:val="en-US"/>
        </w:rPr>
        <w:t>impossibility of</w:t>
      </w:r>
      <w:r w:rsidR="00C202FD" w:rsidRPr="008A1DB4">
        <w:rPr>
          <w:spacing w:val="-2"/>
          <w:lang w:val="en-US"/>
        </w:rPr>
        <w:t xml:space="preserve"> </w:t>
      </w:r>
      <w:r w:rsidR="0079515C" w:rsidRPr="008A1DB4">
        <w:rPr>
          <w:spacing w:val="-2"/>
          <w:lang w:val="en-US"/>
        </w:rPr>
        <w:t>access</w:t>
      </w:r>
      <w:r w:rsidR="0047101B">
        <w:rPr>
          <w:spacing w:val="-2"/>
          <w:lang w:val="en-US"/>
        </w:rPr>
        <w:t>ing</w:t>
      </w:r>
      <w:r w:rsidR="00C202FD" w:rsidRPr="008A1DB4">
        <w:rPr>
          <w:spacing w:val="-2"/>
          <w:lang w:val="en-US"/>
        </w:rPr>
        <w:t xml:space="preserve"> the complete file </w:t>
      </w:r>
      <w:r w:rsidR="00671326" w:rsidRPr="008A1DB4">
        <w:rPr>
          <w:spacing w:val="-2"/>
          <w:lang w:val="en-US"/>
        </w:rPr>
        <w:t xml:space="preserve">of the </w:t>
      </w:r>
      <w:r w:rsidR="00087CF8" w:rsidRPr="008A1DB4">
        <w:rPr>
          <w:spacing w:val="-2"/>
          <w:lang w:val="en-US"/>
        </w:rPr>
        <w:t>extradition request</w:t>
      </w:r>
      <w:r w:rsidR="009A173D" w:rsidRPr="008A1DB4">
        <w:rPr>
          <w:spacing w:val="-2"/>
          <w:lang w:val="en-US"/>
        </w:rPr>
        <w:t xml:space="preserve">. </w:t>
      </w:r>
      <w:r w:rsidR="00C202FD" w:rsidRPr="008A1DB4">
        <w:rPr>
          <w:spacing w:val="-2"/>
          <w:lang w:val="en-US"/>
        </w:rPr>
        <w:t xml:space="preserve">In this regard, it indicated that the State had not provided the complete file </w:t>
      </w:r>
      <w:r w:rsidR="00671326" w:rsidRPr="008A1DB4">
        <w:rPr>
          <w:spacing w:val="-2"/>
          <w:lang w:val="en-US"/>
        </w:rPr>
        <w:t xml:space="preserve">of the </w:t>
      </w:r>
      <w:r w:rsidR="00FC5891" w:rsidRPr="008A1DB4">
        <w:rPr>
          <w:spacing w:val="-2"/>
          <w:lang w:val="en-US"/>
        </w:rPr>
        <w:t>extradition process</w:t>
      </w:r>
      <w:r w:rsidR="00C202FD" w:rsidRPr="008A1DB4">
        <w:rPr>
          <w:spacing w:val="-2"/>
          <w:lang w:val="en-US"/>
        </w:rPr>
        <w:t xml:space="preserve"> or of the different remedies it had filed in the domestic sphere, and had not submitted documentation indicating that it had made available to Wong Ho </w:t>
      </w:r>
      <w:r w:rsidR="00C202FD" w:rsidRPr="008A1DB4">
        <w:rPr>
          <w:spacing w:val="-2"/>
          <w:lang w:val="en-US"/>
        </w:rPr>
        <w:lastRenderedPageBreak/>
        <w:t>Wing the information he required to exercise his right to be heard or to file appropriate and prompt remedies during a proceeding in which his rights could be harmed.</w:t>
      </w:r>
    </w:p>
    <w:p w14:paraId="213BC0D1" w14:textId="77777777" w:rsidR="005B4D39" w:rsidRPr="008A1DB4" w:rsidRDefault="005B4D39" w:rsidP="00956E97">
      <w:pPr>
        <w:tabs>
          <w:tab w:val="left" w:pos="284"/>
          <w:tab w:val="left" w:pos="567"/>
        </w:tabs>
        <w:rPr>
          <w:spacing w:val="-2"/>
          <w:lang w:val="en-US"/>
        </w:rPr>
      </w:pPr>
    </w:p>
    <w:p w14:paraId="0C60C39B" w14:textId="0A133ABD" w:rsidR="005B4D39" w:rsidRPr="008A1DB4" w:rsidRDefault="00C45946" w:rsidP="00956E97">
      <w:pPr>
        <w:pStyle w:val="PrrafodeSentencia"/>
        <w:rPr>
          <w:b/>
          <w:spacing w:val="-2"/>
          <w:lang w:val="en-US"/>
        </w:rPr>
      </w:pPr>
      <w:bookmarkStart w:id="940" w:name="_Ref417304968"/>
      <w:r w:rsidRPr="008A1DB4">
        <w:rPr>
          <w:bCs/>
          <w:spacing w:val="-2"/>
          <w:lang w:val="en-US"/>
        </w:rPr>
        <w:t>The representative</w:t>
      </w:r>
      <w:r w:rsidR="005B4D39" w:rsidRPr="008A1DB4">
        <w:rPr>
          <w:bCs/>
          <w:spacing w:val="-2"/>
          <w:lang w:val="en-US"/>
        </w:rPr>
        <w:t xml:space="preserve"> a</w:t>
      </w:r>
      <w:r w:rsidR="00C202FD" w:rsidRPr="008A1DB4">
        <w:rPr>
          <w:bCs/>
          <w:spacing w:val="-2"/>
          <w:lang w:val="en-US"/>
        </w:rPr>
        <w:t>rgued that “the procedural laws do</w:t>
      </w:r>
      <w:r w:rsidR="0047101B">
        <w:rPr>
          <w:bCs/>
          <w:spacing w:val="-2"/>
          <w:lang w:val="en-US"/>
        </w:rPr>
        <w:t xml:space="preserve"> not guarantee the right to be h</w:t>
      </w:r>
      <w:r w:rsidR="00C202FD" w:rsidRPr="008A1DB4">
        <w:rPr>
          <w:bCs/>
          <w:spacing w:val="-2"/>
          <w:lang w:val="en-US"/>
        </w:rPr>
        <w:t>eard before [the authorities</w:t>
      </w:r>
      <w:r w:rsidR="00776D24" w:rsidRPr="008A1DB4">
        <w:rPr>
          <w:spacing w:val="-2"/>
          <w:lang w:val="en-US"/>
        </w:rPr>
        <w:t xml:space="preserve"> of the </w:t>
      </w:r>
      <w:r w:rsidR="00B43F84" w:rsidRPr="008A1DB4">
        <w:rPr>
          <w:spacing w:val="-2"/>
          <w:lang w:val="en-US"/>
        </w:rPr>
        <w:t>Executive Branch</w:t>
      </w:r>
      <w:r w:rsidR="005B4D39" w:rsidRPr="008A1DB4">
        <w:rPr>
          <w:spacing w:val="-2"/>
          <w:lang w:val="en-US"/>
        </w:rPr>
        <w:t xml:space="preserve"> </w:t>
      </w:r>
      <w:r w:rsidR="00C202FD" w:rsidRPr="008A1DB4">
        <w:rPr>
          <w:spacing w:val="-2"/>
          <w:lang w:val="en-US"/>
        </w:rPr>
        <w:t xml:space="preserve">who exercise </w:t>
      </w:r>
      <w:r w:rsidR="0079515C" w:rsidRPr="008A1DB4">
        <w:rPr>
          <w:spacing w:val="-2"/>
          <w:lang w:val="en-US"/>
        </w:rPr>
        <w:t>material</w:t>
      </w:r>
      <w:r w:rsidR="00C202FD" w:rsidRPr="008A1DB4">
        <w:rPr>
          <w:spacing w:val="-2"/>
          <w:lang w:val="en-US"/>
        </w:rPr>
        <w:t xml:space="preserve"> jurisdiction to decide extradition matters] and they have not allowed </w:t>
      </w:r>
      <w:r w:rsidR="00B43F84" w:rsidRPr="008A1DB4">
        <w:rPr>
          <w:spacing w:val="-2"/>
          <w:lang w:val="en-US"/>
        </w:rPr>
        <w:t>Wong</w:t>
      </w:r>
      <w:r w:rsidR="005B4D39" w:rsidRPr="008A1DB4">
        <w:rPr>
          <w:spacing w:val="-2"/>
          <w:lang w:val="en-US"/>
        </w:rPr>
        <w:t xml:space="preserve"> Ho Wing</w:t>
      </w:r>
      <w:r w:rsidR="00C202FD" w:rsidRPr="008A1DB4">
        <w:rPr>
          <w:spacing w:val="-2"/>
          <w:lang w:val="en-US"/>
        </w:rPr>
        <w:t xml:space="preserve">’s defense counsel to explain his arguments against </w:t>
      </w:r>
      <w:r w:rsidR="002D1CFC" w:rsidRPr="008A1DB4">
        <w:rPr>
          <w:spacing w:val="-2"/>
          <w:lang w:val="en-US"/>
        </w:rPr>
        <w:t>extradition</w:t>
      </w:r>
      <w:r w:rsidR="005B4D39" w:rsidRPr="008A1DB4">
        <w:rPr>
          <w:spacing w:val="-2"/>
          <w:lang w:val="en-US"/>
        </w:rPr>
        <w:t xml:space="preserve">, </w:t>
      </w:r>
      <w:r w:rsidR="00C202FD" w:rsidRPr="008A1DB4">
        <w:rPr>
          <w:spacing w:val="-2"/>
          <w:lang w:val="en-US"/>
        </w:rPr>
        <w:t xml:space="preserve">to </w:t>
      </w:r>
      <w:r w:rsidR="0079515C" w:rsidRPr="008A1DB4">
        <w:rPr>
          <w:spacing w:val="-2"/>
          <w:lang w:val="en-US"/>
        </w:rPr>
        <w:t>the</w:t>
      </w:r>
      <w:r w:rsidR="00C202FD" w:rsidRPr="008A1DB4">
        <w:rPr>
          <w:spacing w:val="-2"/>
          <w:lang w:val="en-US"/>
        </w:rPr>
        <w:t xml:space="preserve"> detriment of the right of every person to be heard for the determination of his rights.” According to </w:t>
      </w:r>
      <w:r w:rsidRPr="008A1DB4">
        <w:rPr>
          <w:bCs/>
          <w:spacing w:val="-2"/>
          <w:lang w:val="en-US"/>
        </w:rPr>
        <w:t>the representative</w:t>
      </w:r>
      <w:r w:rsidR="005B4D39" w:rsidRPr="008A1DB4">
        <w:rPr>
          <w:bCs/>
          <w:spacing w:val="-2"/>
          <w:lang w:val="en-US"/>
        </w:rPr>
        <w:t xml:space="preserve">, </w:t>
      </w:r>
      <w:r w:rsidR="00C202FD" w:rsidRPr="008A1DB4">
        <w:rPr>
          <w:bCs/>
          <w:spacing w:val="-2"/>
          <w:lang w:val="en-US"/>
        </w:rPr>
        <w:t>this</w:t>
      </w:r>
      <w:r w:rsidR="005B4D39" w:rsidRPr="008A1DB4">
        <w:rPr>
          <w:bCs/>
          <w:spacing w:val="-2"/>
          <w:lang w:val="en-US"/>
        </w:rPr>
        <w:t xml:space="preserve"> </w:t>
      </w:r>
      <w:r w:rsidR="005B4D39" w:rsidRPr="008A1DB4">
        <w:rPr>
          <w:spacing w:val="-2"/>
          <w:lang w:val="en-US"/>
        </w:rPr>
        <w:t>“ha</w:t>
      </w:r>
      <w:r w:rsidR="00C202FD" w:rsidRPr="008A1DB4">
        <w:rPr>
          <w:spacing w:val="-2"/>
          <w:lang w:val="en-US"/>
        </w:rPr>
        <w:t>s established a context of secrecy and lack of transparency in the access to documentation of vital importance for the preparation of Wong Ho Wing’s defense against</w:t>
      </w:r>
      <w:r w:rsidR="005B4D39" w:rsidRPr="008A1DB4">
        <w:rPr>
          <w:spacing w:val="-2"/>
          <w:lang w:val="en-US"/>
        </w:rPr>
        <w:t xml:space="preserve"> </w:t>
      </w:r>
      <w:r w:rsidR="002D1CFC" w:rsidRPr="008A1DB4">
        <w:rPr>
          <w:spacing w:val="-2"/>
          <w:lang w:val="en-US"/>
        </w:rPr>
        <w:t>extradition</w:t>
      </w:r>
      <w:r w:rsidR="005B4D39" w:rsidRPr="008A1DB4">
        <w:rPr>
          <w:spacing w:val="-2"/>
          <w:lang w:val="en-US"/>
        </w:rPr>
        <w:t xml:space="preserve">, </w:t>
      </w:r>
      <w:r w:rsidR="00C202FD" w:rsidRPr="008A1DB4">
        <w:rPr>
          <w:spacing w:val="-2"/>
          <w:lang w:val="en-US"/>
        </w:rPr>
        <w:t xml:space="preserve">which has not been ensured by either </w:t>
      </w:r>
      <w:r w:rsidR="00E022F9" w:rsidRPr="008A1DB4">
        <w:rPr>
          <w:spacing w:val="-2"/>
          <w:lang w:val="en-US"/>
        </w:rPr>
        <w:t>the Judiciary</w:t>
      </w:r>
      <w:r w:rsidR="005B4D39" w:rsidRPr="008A1DB4">
        <w:rPr>
          <w:spacing w:val="-2"/>
          <w:lang w:val="en-US"/>
        </w:rPr>
        <w:t xml:space="preserve"> </w:t>
      </w:r>
      <w:r w:rsidR="00C202FD" w:rsidRPr="008A1DB4">
        <w:rPr>
          <w:spacing w:val="-2"/>
          <w:lang w:val="en-US"/>
        </w:rPr>
        <w:t>or</w:t>
      </w:r>
      <w:r w:rsidR="005B4D39" w:rsidRPr="008A1DB4">
        <w:rPr>
          <w:spacing w:val="-2"/>
          <w:lang w:val="en-US"/>
        </w:rPr>
        <w:t xml:space="preserve"> </w:t>
      </w:r>
      <w:r w:rsidR="00B43F84" w:rsidRPr="008A1DB4">
        <w:rPr>
          <w:spacing w:val="-2"/>
          <w:lang w:val="en-US"/>
        </w:rPr>
        <w:t>the Executive Branch</w:t>
      </w:r>
      <w:r w:rsidR="005B4D39" w:rsidRPr="008A1DB4">
        <w:rPr>
          <w:spacing w:val="-2"/>
          <w:lang w:val="en-US"/>
        </w:rPr>
        <w:t xml:space="preserve"> </w:t>
      </w:r>
      <w:r w:rsidR="00C202FD" w:rsidRPr="008A1DB4">
        <w:rPr>
          <w:spacing w:val="-2"/>
          <w:lang w:val="en-US"/>
        </w:rPr>
        <w:t xml:space="preserve">during the proceedings,” in a case where </w:t>
      </w:r>
      <w:r w:rsidR="00F36400" w:rsidRPr="008A1DB4">
        <w:rPr>
          <w:spacing w:val="-2"/>
          <w:lang w:val="en-US"/>
        </w:rPr>
        <w:t>the presumed victim</w:t>
      </w:r>
      <w:r w:rsidR="005B4D39" w:rsidRPr="008A1DB4">
        <w:rPr>
          <w:spacing w:val="-2"/>
          <w:lang w:val="en-US"/>
        </w:rPr>
        <w:t xml:space="preserve"> </w:t>
      </w:r>
      <w:r w:rsidR="00C202FD" w:rsidRPr="008A1DB4">
        <w:rPr>
          <w:spacing w:val="-2"/>
          <w:lang w:val="en-US"/>
        </w:rPr>
        <w:t>was at risk of being condemned to death or suffering torture other ill-treatment.</w:t>
      </w:r>
      <w:bookmarkEnd w:id="940"/>
    </w:p>
    <w:p w14:paraId="773CD531" w14:textId="77777777" w:rsidR="005B4D39" w:rsidRPr="008A1DB4" w:rsidRDefault="005B4D39" w:rsidP="00956E97">
      <w:pPr>
        <w:tabs>
          <w:tab w:val="left" w:pos="284"/>
          <w:tab w:val="left" w:pos="567"/>
        </w:tabs>
        <w:rPr>
          <w:b/>
          <w:spacing w:val="-2"/>
          <w:lang w:val="en-US"/>
        </w:rPr>
      </w:pPr>
    </w:p>
    <w:p w14:paraId="73CBA85E" w14:textId="09A51D89" w:rsidR="005B4D39" w:rsidRPr="008A1DB4" w:rsidRDefault="00F36400" w:rsidP="00C202FD">
      <w:pPr>
        <w:pStyle w:val="PrrafodeSentencia"/>
        <w:rPr>
          <w:b/>
          <w:spacing w:val="-2"/>
          <w:lang w:val="en-US"/>
        </w:rPr>
      </w:pPr>
      <w:bookmarkStart w:id="941" w:name="_Ref429471833"/>
      <w:r w:rsidRPr="008A1DB4">
        <w:rPr>
          <w:spacing w:val="-2"/>
          <w:lang w:val="en-US"/>
        </w:rPr>
        <w:t>The State</w:t>
      </w:r>
      <w:r w:rsidR="005B4D39" w:rsidRPr="008A1DB4">
        <w:rPr>
          <w:spacing w:val="-2"/>
          <w:lang w:val="en-US"/>
        </w:rPr>
        <w:t xml:space="preserve"> </w:t>
      </w:r>
      <w:r w:rsidR="0079515C" w:rsidRPr="008A1DB4">
        <w:rPr>
          <w:spacing w:val="-2"/>
          <w:lang w:val="en-US"/>
        </w:rPr>
        <w:t>argued</w:t>
      </w:r>
      <w:r w:rsidR="00C202FD" w:rsidRPr="008A1DB4">
        <w:rPr>
          <w:spacing w:val="-2"/>
          <w:lang w:val="en-US"/>
        </w:rPr>
        <w:t xml:space="preserve"> that it </w:t>
      </w:r>
      <w:r w:rsidR="0047101B">
        <w:rPr>
          <w:spacing w:val="-2"/>
          <w:lang w:val="en-US"/>
        </w:rPr>
        <w:t>had “</w:t>
      </w:r>
      <w:r w:rsidR="00C202FD" w:rsidRPr="008A1DB4">
        <w:rPr>
          <w:spacing w:val="-2"/>
          <w:lang w:val="en-US"/>
        </w:rPr>
        <w:t xml:space="preserve">not violated </w:t>
      </w:r>
      <w:r w:rsidR="00B43F84" w:rsidRPr="008A1DB4">
        <w:rPr>
          <w:spacing w:val="-2"/>
          <w:lang w:val="en-US"/>
        </w:rPr>
        <w:t>Wong</w:t>
      </w:r>
      <w:r w:rsidR="005B4D39" w:rsidRPr="008A1DB4">
        <w:rPr>
          <w:spacing w:val="-2"/>
          <w:lang w:val="en-US"/>
        </w:rPr>
        <w:t xml:space="preserve"> Ho Wing</w:t>
      </w:r>
      <w:r w:rsidR="00C202FD" w:rsidRPr="008A1DB4">
        <w:rPr>
          <w:spacing w:val="-2"/>
          <w:lang w:val="en-US"/>
        </w:rPr>
        <w:t xml:space="preserve">’s right to be heard and to have information and means to defend </w:t>
      </w:r>
      <w:proofErr w:type="gramStart"/>
      <w:r w:rsidR="00C202FD" w:rsidRPr="008A1DB4">
        <w:rPr>
          <w:spacing w:val="-2"/>
          <w:lang w:val="en-US"/>
        </w:rPr>
        <w:t>himself</w:t>
      </w:r>
      <w:proofErr w:type="gramEnd"/>
      <w:r w:rsidR="00C202FD" w:rsidRPr="008A1DB4">
        <w:rPr>
          <w:spacing w:val="-2"/>
          <w:lang w:val="en-US"/>
        </w:rPr>
        <w:t>.” In this regard, it underscored that, during the first stage of the extradition proceeding before the Judiciary, he was fully able to exercise his right of defense, while the second stage corresponded to a strictly political decision. Therefore, it considered that “[t]</w:t>
      </w:r>
      <w:proofErr w:type="gramStart"/>
      <w:r w:rsidR="00C202FD" w:rsidRPr="008A1DB4">
        <w:rPr>
          <w:spacing w:val="-2"/>
          <w:lang w:val="en-US"/>
        </w:rPr>
        <w:t>he</w:t>
      </w:r>
      <w:proofErr w:type="gramEnd"/>
      <w:r w:rsidR="00C202FD" w:rsidRPr="008A1DB4">
        <w:rPr>
          <w:spacing w:val="-2"/>
          <w:lang w:val="en-US"/>
        </w:rPr>
        <w:t xml:space="preserve"> responsibility of the State could only be involved if [the intervention of the person</w:t>
      </w:r>
      <w:r w:rsidR="0047101B">
        <w:rPr>
          <w:spacing w:val="-2"/>
          <w:lang w:val="en-US"/>
        </w:rPr>
        <w:t xml:space="preserve"> sought</w:t>
      </w:r>
      <w:r w:rsidR="00C202FD" w:rsidRPr="008A1DB4">
        <w:rPr>
          <w:spacing w:val="-2"/>
          <w:lang w:val="en-US"/>
        </w:rPr>
        <w:t xml:space="preserve">] was not established at any stage.” It also indicated that “the alleged normative </w:t>
      </w:r>
      <w:r w:rsidR="0047101B">
        <w:rPr>
          <w:spacing w:val="-2"/>
          <w:lang w:val="en-US"/>
        </w:rPr>
        <w:t xml:space="preserve">omission [to establish by law, </w:t>
      </w:r>
      <w:r w:rsidR="00C202FD" w:rsidRPr="008A1DB4">
        <w:rPr>
          <w:spacing w:val="-2"/>
          <w:lang w:val="en-US"/>
        </w:rPr>
        <w:t>channels or means</w:t>
      </w:r>
      <w:r w:rsidR="0047101B">
        <w:rPr>
          <w:spacing w:val="-2"/>
          <w:lang w:val="en-US"/>
        </w:rPr>
        <w:t xml:space="preserve"> of intervention</w:t>
      </w:r>
      <w:r w:rsidR="00C202FD" w:rsidRPr="008A1DB4">
        <w:rPr>
          <w:spacing w:val="-2"/>
          <w:lang w:val="en-US"/>
        </w:rPr>
        <w:t xml:space="preserve"> for the representative in the extradition proceedings before </w:t>
      </w:r>
      <w:r w:rsidR="00776D24" w:rsidRPr="008A1DB4">
        <w:rPr>
          <w:bCs/>
          <w:spacing w:val="-2"/>
          <w:lang w:val="en-US"/>
        </w:rPr>
        <w:t xml:space="preserve">the </w:t>
      </w:r>
      <w:r w:rsidR="00B43F84" w:rsidRPr="008A1DB4">
        <w:rPr>
          <w:bCs/>
          <w:spacing w:val="-2"/>
          <w:lang w:val="en-US"/>
        </w:rPr>
        <w:t>Executive Branch</w:t>
      </w:r>
      <w:r w:rsidR="009A173D" w:rsidRPr="008A1DB4">
        <w:rPr>
          <w:bCs/>
          <w:spacing w:val="-2"/>
          <w:lang w:val="en-US"/>
        </w:rPr>
        <w:t xml:space="preserve">] </w:t>
      </w:r>
      <w:proofErr w:type="gramStart"/>
      <w:r w:rsidR="00C202FD" w:rsidRPr="008A1DB4">
        <w:rPr>
          <w:bCs/>
          <w:spacing w:val="-2"/>
          <w:lang w:val="en-US"/>
        </w:rPr>
        <w:t>c[</w:t>
      </w:r>
      <w:proofErr w:type="spellStart"/>
      <w:proofErr w:type="gramEnd"/>
      <w:r w:rsidR="00C202FD" w:rsidRPr="008A1DB4">
        <w:rPr>
          <w:bCs/>
          <w:spacing w:val="-2"/>
          <w:lang w:val="en-US"/>
        </w:rPr>
        <w:t>ould</w:t>
      </w:r>
      <w:proofErr w:type="spellEnd"/>
      <w:r w:rsidR="00C202FD" w:rsidRPr="008A1DB4">
        <w:rPr>
          <w:bCs/>
          <w:spacing w:val="-2"/>
          <w:lang w:val="en-US"/>
        </w:rPr>
        <w:t xml:space="preserve">] not be cited as grounds for harming the </w:t>
      </w:r>
      <w:r w:rsidRPr="008A1DB4">
        <w:rPr>
          <w:bCs/>
          <w:spacing w:val="-2"/>
          <w:lang w:val="en-US"/>
        </w:rPr>
        <w:t>presumed victim</w:t>
      </w:r>
      <w:r w:rsidR="0047101B">
        <w:rPr>
          <w:bCs/>
          <w:spacing w:val="-2"/>
          <w:lang w:val="en-US"/>
        </w:rPr>
        <w:t>’s rights</w:t>
      </w:r>
      <w:r w:rsidR="005B4D39" w:rsidRPr="008A1DB4">
        <w:rPr>
          <w:bCs/>
          <w:spacing w:val="-2"/>
          <w:lang w:val="en-US"/>
        </w:rPr>
        <w:t xml:space="preserve">, </w:t>
      </w:r>
      <w:r w:rsidR="00C202FD" w:rsidRPr="008A1DB4">
        <w:rPr>
          <w:bCs/>
          <w:spacing w:val="-2"/>
          <w:lang w:val="en-US"/>
        </w:rPr>
        <w:t xml:space="preserve">since, in the practice, the extradition procedure before </w:t>
      </w:r>
      <w:r w:rsidR="00B43F84" w:rsidRPr="008A1DB4">
        <w:rPr>
          <w:bCs/>
          <w:spacing w:val="-2"/>
          <w:lang w:val="en-US"/>
        </w:rPr>
        <w:t>the Executive Branch</w:t>
      </w:r>
      <w:r w:rsidR="005B4D39" w:rsidRPr="008A1DB4">
        <w:rPr>
          <w:bCs/>
          <w:spacing w:val="-2"/>
          <w:lang w:val="en-US"/>
        </w:rPr>
        <w:t xml:space="preserve"> </w:t>
      </w:r>
      <w:r w:rsidR="00C202FD" w:rsidRPr="008A1DB4">
        <w:rPr>
          <w:bCs/>
          <w:spacing w:val="-2"/>
          <w:lang w:val="en-US"/>
        </w:rPr>
        <w:t xml:space="preserve">was brought to a halt as a result of the legal actions filed by his procedural representative.” Also, it clarified that “if a political decision to extradite […] is considered to harm fundamental rights, the person concerned may contest it using the urgent mechanisms to protect fundamental rights.” Lastly, with regard to the alleged lack of access to the documentation, the State indicated that the decision to deny the representative’s request for access to </w:t>
      </w:r>
      <w:proofErr w:type="gramStart"/>
      <w:r w:rsidR="00C202FD" w:rsidRPr="008A1DB4">
        <w:rPr>
          <w:bCs/>
          <w:spacing w:val="-2"/>
          <w:lang w:val="en-US"/>
        </w:rPr>
        <w:t>information,</w:t>
      </w:r>
      <w:proofErr w:type="gramEnd"/>
      <w:r w:rsidR="00C202FD" w:rsidRPr="008A1DB4">
        <w:rPr>
          <w:bCs/>
          <w:spacing w:val="-2"/>
          <w:lang w:val="en-US"/>
        </w:rPr>
        <w:t xml:space="preserve"> “was not contested during the administrative proceeding, even though the possibility is established in the relevant law.”</w:t>
      </w:r>
      <w:bookmarkEnd w:id="941"/>
    </w:p>
    <w:p w14:paraId="670709D1" w14:textId="77777777" w:rsidR="005B4D39" w:rsidRPr="008A1DB4" w:rsidRDefault="005B4D39" w:rsidP="00956E97">
      <w:pPr>
        <w:tabs>
          <w:tab w:val="left" w:pos="284"/>
          <w:tab w:val="left" w:pos="567"/>
        </w:tabs>
        <w:rPr>
          <w:b/>
          <w:spacing w:val="-2"/>
          <w:lang w:val="en-US"/>
        </w:rPr>
      </w:pPr>
    </w:p>
    <w:p w14:paraId="141097E1" w14:textId="41AEFB1A" w:rsidR="005B4D39" w:rsidRPr="008A1DB4" w:rsidRDefault="0017789E" w:rsidP="00956E97">
      <w:pPr>
        <w:pStyle w:val="Heading3"/>
        <w:rPr>
          <w:spacing w:val="-2"/>
          <w:lang w:val="en-US"/>
        </w:rPr>
      </w:pPr>
      <w:bookmarkStart w:id="942" w:name="_Toc418074095"/>
      <w:bookmarkStart w:id="943" w:name="_Toc418503900"/>
      <w:bookmarkStart w:id="944" w:name="_Toc418912631"/>
      <w:bookmarkStart w:id="945" w:name="_Toc419394428"/>
      <w:bookmarkStart w:id="946" w:name="_Toc429490287"/>
      <w:bookmarkStart w:id="947" w:name="_Toc429503801"/>
      <w:bookmarkStart w:id="948" w:name="_Toc429504307"/>
      <w:bookmarkStart w:id="949" w:name="_Toc429678020"/>
      <w:bookmarkStart w:id="950" w:name="_Toc430017183"/>
      <w:bookmarkStart w:id="951" w:name="_Toc430017412"/>
      <w:bookmarkStart w:id="952" w:name="_Toc430018694"/>
      <w:bookmarkStart w:id="953" w:name="_Toc430125292"/>
      <w:bookmarkStart w:id="954" w:name="_Toc430125400"/>
      <w:r w:rsidRPr="008A1DB4">
        <w:rPr>
          <w:spacing w:val="-2"/>
          <w:lang w:val="en-US"/>
        </w:rPr>
        <w:t xml:space="preserve">B.3.b) </w:t>
      </w:r>
      <w:r w:rsidR="00A836C4" w:rsidRPr="008A1DB4">
        <w:rPr>
          <w:spacing w:val="-2"/>
          <w:lang w:val="en-US"/>
        </w:rPr>
        <w:t>Considerations</w:t>
      </w:r>
      <w:r w:rsidR="00F36400" w:rsidRPr="008A1DB4">
        <w:rPr>
          <w:spacing w:val="-2"/>
          <w:lang w:val="en-US"/>
        </w:rPr>
        <w:t xml:space="preserve"> of the Court</w:t>
      </w:r>
      <w:bookmarkEnd w:id="942"/>
      <w:bookmarkEnd w:id="943"/>
      <w:bookmarkEnd w:id="944"/>
      <w:bookmarkEnd w:id="945"/>
      <w:bookmarkEnd w:id="946"/>
      <w:bookmarkEnd w:id="947"/>
      <w:bookmarkEnd w:id="948"/>
      <w:bookmarkEnd w:id="949"/>
      <w:bookmarkEnd w:id="950"/>
      <w:bookmarkEnd w:id="951"/>
      <w:bookmarkEnd w:id="952"/>
      <w:bookmarkEnd w:id="953"/>
      <w:bookmarkEnd w:id="954"/>
    </w:p>
    <w:p w14:paraId="5B9F5D5E" w14:textId="77777777" w:rsidR="005B4D39" w:rsidRPr="008A1DB4" w:rsidRDefault="005B4D39" w:rsidP="00956E97">
      <w:pPr>
        <w:tabs>
          <w:tab w:val="left" w:pos="567"/>
        </w:tabs>
        <w:rPr>
          <w:spacing w:val="-2"/>
          <w:lang w:val="en-US"/>
        </w:rPr>
      </w:pPr>
    </w:p>
    <w:p w14:paraId="0BCDB5B2" w14:textId="7F22544B" w:rsidR="005B4D39" w:rsidRPr="008A1DB4" w:rsidRDefault="00DE159E" w:rsidP="00956E97">
      <w:pPr>
        <w:pStyle w:val="PrrafodeSentencia"/>
        <w:rPr>
          <w:spacing w:val="-2"/>
          <w:lang w:val="en-US"/>
        </w:rPr>
      </w:pPr>
      <w:bookmarkStart w:id="955" w:name="_Ref419392067"/>
      <w:r w:rsidRPr="008A1DB4">
        <w:rPr>
          <w:spacing w:val="-2"/>
          <w:lang w:val="en-US"/>
        </w:rPr>
        <w:t xml:space="preserve">In Peru, </w:t>
      </w:r>
      <w:r w:rsidR="0047101B">
        <w:rPr>
          <w:spacing w:val="-2"/>
          <w:lang w:val="en-US"/>
        </w:rPr>
        <w:t xml:space="preserve">the </w:t>
      </w:r>
      <w:r w:rsidRPr="008A1DB4">
        <w:rPr>
          <w:spacing w:val="-2"/>
          <w:lang w:val="en-US"/>
        </w:rPr>
        <w:t>extradition</w:t>
      </w:r>
      <w:r w:rsidR="005B4D39" w:rsidRPr="008A1DB4">
        <w:rPr>
          <w:spacing w:val="-2"/>
          <w:lang w:val="en-US"/>
        </w:rPr>
        <w:t xml:space="preserve"> </w:t>
      </w:r>
      <w:r w:rsidRPr="008A1DB4">
        <w:rPr>
          <w:spacing w:val="-2"/>
          <w:lang w:val="en-US"/>
        </w:rPr>
        <w:t>proce</w:t>
      </w:r>
      <w:r w:rsidR="0047101B">
        <w:rPr>
          <w:spacing w:val="-2"/>
          <w:lang w:val="en-US"/>
        </w:rPr>
        <w:t>ss has</w:t>
      </w:r>
      <w:r w:rsidRPr="008A1DB4">
        <w:rPr>
          <w:spacing w:val="-2"/>
          <w:lang w:val="en-US"/>
        </w:rPr>
        <w:t xml:space="preserve"> a judicial stage and a </w:t>
      </w:r>
      <w:r w:rsidR="0079515C" w:rsidRPr="008A1DB4">
        <w:rPr>
          <w:spacing w:val="-2"/>
          <w:lang w:val="en-US"/>
        </w:rPr>
        <w:t>political</w:t>
      </w:r>
      <w:r w:rsidRPr="008A1DB4">
        <w:rPr>
          <w:spacing w:val="-2"/>
          <w:lang w:val="en-US"/>
        </w:rPr>
        <w:t xml:space="preserve"> stage. The arguments of the parties reveal that the dispute on the right to be heard refers to the political stage, while the dispute on the right of access to documents would appear to refer to both stages</w:t>
      </w:r>
      <w:r w:rsidR="005B4D39" w:rsidRPr="008A1DB4">
        <w:rPr>
          <w:spacing w:val="-2"/>
          <w:lang w:val="en-US"/>
        </w:rPr>
        <w:t>.</w:t>
      </w:r>
      <w:bookmarkEnd w:id="955"/>
      <w:r w:rsidR="005B4D39" w:rsidRPr="008A1DB4">
        <w:rPr>
          <w:spacing w:val="-2"/>
          <w:lang w:val="en-US"/>
        </w:rPr>
        <w:t xml:space="preserve"> </w:t>
      </w:r>
    </w:p>
    <w:p w14:paraId="6DC01945" w14:textId="77777777" w:rsidR="005B4D39" w:rsidRPr="008A1DB4" w:rsidRDefault="005B4D39" w:rsidP="00956E97">
      <w:pPr>
        <w:tabs>
          <w:tab w:val="left" w:pos="284"/>
          <w:tab w:val="left" w:pos="567"/>
        </w:tabs>
        <w:rPr>
          <w:spacing w:val="-2"/>
          <w:lang w:val="en-US"/>
        </w:rPr>
      </w:pPr>
    </w:p>
    <w:p w14:paraId="7D966153" w14:textId="78E1D09D" w:rsidR="005B4D39" w:rsidRPr="008A1DB4" w:rsidRDefault="005B4D39" w:rsidP="00956E97">
      <w:pPr>
        <w:pStyle w:val="PrrafodeSentencia"/>
        <w:rPr>
          <w:spacing w:val="-2"/>
          <w:lang w:val="en-US"/>
        </w:rPr>
      </w:pPr>
      <w:r w:rsidRPr="008A1DB4">
        <w:rPr>
          <w:spacing w:val="-2"/>
          <w:lang w:val="en-US"/>
        </w:rPr>
        <w:t>Re</w:t>
      </w:r>
      <w:r w:rsidR="00DE159E" w:rsidRPr="008A1DB4">
        <w:rPr>
          <w:spacing w:val="-2"/>
          <w:lang w:val="en-US"/>
        </w:rPr>
        <w:t xml:space="preserve">garding the right to be heard, the Court has indicated that this is protected in </w:t>
      </w:r>
      <w:r w:rsidR="00F36400" w:rsidRPr="008A1DB4">
        <w:rPr>
          <w:spacing w:val="-2"/>
          <w:lang w:val="en-US"/>
        </w:rPr>
        <w:t>Article</w:t>
      </w:r>
      <w:r w:rsidR="00A33F97" w:rsidRPr="008A1DB4">
        <w:rPr>
          <w:spacing w:val="-2"/>
          <w:lang w:val="en-US"/>
        </w:rPr>
        <w:t xml:space="preserve"> 8(1)</w:t>
      </w:r>
      <w:r w:rsidR="00F36400" w:rsidRPr="008A1DB4">
        <w:rPr>
          <w:spacing w:val="-2"/>
          <w:lang w:val="en-US"/>
        </w:rPr>
        <w:t xml:space="preserve"> of the Convention</w:t>
      </w:r>
      <w:r w:rsidRPr="008A1DB4">
        <w:rPr>
          <w:spacing w:val="-2"/>
          <w:lang w:val="en-US"/>
        </w:rPr>
        <w:t xml:space="preserve">, </w:t>
      </w:r>
      <w:r w:rsidR="00DE159E" w:rsidRPr="008A1DB4">
        <w:rPr>
          <w:spacing w:val="-2"/>
          <w:lang w:val="en-US"/>
        </w:rPr>
        <w:t xml:space="preserve">in the general sense of including the right of every person to have access to the court or State body </w:t>
      </w:r>
      <w:r w:rsidR="0079515C" w:rsidRPr="008A1DB4">
        <w:rPr>
          <w:spacing w:val="-2"/>
          <w:lang w:val="en-US"/>
        </w:rPr>
        <w:t>responsible</w:t>
      </w:r>
      <w:r w:rsidR="00DE159E" w:rsidRPr="008A1DB4">
        <w:rPr>
          <w:spacing w:val="-2"/>
          <w:lang w:val="en-US"/>
        </w:rPr>
        <w:t xml:space="preserve"> for determining his rights and obligations.</w:t>
      </w:r>
      <w:r w:rsidRPr="008A1DB4">
        <w:rPr>
          <w:spacing w:val="-2"/>
          <w:vertAlign w:val="superscript"/>
          <w:lang w:val="en-US"/>
        </w:rPr>
        <w:footnoteReference w:id="307"/>
      </w:r>
      <w:r w:rsidR="00DE159E" w:rsidRPr="008A1DB4">
        <w:rPr>
          <w:spacing w:val="-2"/>
          <w:lang w:val="en-US"/>
        </w:rPr>
        <w:t xml:space="preserve"> In this regard,</w:t>
      </w:r>
      <w:r w:rsidRPr="008A1DB4">
        <w:rPr>
          <w:spacing w:val="-2"/>
          <w:lang w:val="en-US"/>
        </w:rPr>
        <w:t xml:space="preserve"> </w:t>
      </w:r>
      <w:r w:rsidR="00F36400" w:rsidRPr="008A1DB4">
        <w:rPr>
          <w:spacing w:val="-2"/>
          <w:lang w:val="en-US"/>
        </w:rPr>
        <w:t>the Court</w:t>
      </w:r>
      <w:r w:rsidRPr="008A1DB4">
        <w:rPr>
          <w:spacing w:val="-2"/>
          <w:lang w:val="en-US"/>
        </w:rPr>
        <w:t xml:space="preserve"> ha</w:t>
      </w:r>
      <w:r w:rsidR="00DE159E" w:rsidRPr="008A1DB4">
        <w:rPr>
          <w:spacing w:val="-2"/>
          <w:lang w:val="en-US"/>
        </w:rPr>
        <w:t xml:space="preserve">s indicated that the guarantees established in </w:t>
      </w:r>
      <w:r w:rsidR="00F36400" w:rsidRPr="008A1DB4">
        <w:rPr>
          <w:spacing w:val="-2"/>
          <w:lang w:val="en-US"/>
        </w:rPr>
        <w:t>Article</w:t>
      </w:r>
      <w:r w:rsidRPr="008A1DB4">
        <w:rPr>
          <w:spacing w:val="-2"/>
          <w:lang w:val="en-US"/>
        </w:rPr>
        <w:t xml:space="preserve"> 8</w:t>
      </w:r>
      <w:r w:rsidR="00F36400" w:rsidRPr="008A1DB4">
        <w:rPr>
          <w:spacing w:val="-2"/>
          <w:lang w:val="en-US"/>
        </w:rPr>
        <w:t xml:space="preserve"> of the American Convention</w:t>
      </w:r>
      <w:r w:rsidRPr="008A1DB4">
        <w:rPr>
          <w:spacing w:val="-2"/>
          <w:lang w:val="en-US"/>
        </w:rPr>
        <w:t xml:space="preserve"> sup</w:t>
      </w:r>
      <w:r w:rsidR="00DE159E" w:rsidRPr="008A1DB4">
        <w:rPr>
          <w:spacing w:val="-2"/>
          <w:lang w:val="en-US"/>
        </w:rPr>
        <w:t>pose that the victims should have extensive possibilities of being heard and acting in their respective proceedings,</w:t>
      </w:r>
      <w:r w:rsidRPr="008A1DB4">
        <w:rPr>
          <w:spacing w:val="-2"/>
          <w:vertAlign w:val="superscript"/>
          <w:lang w:val="en-US"/>
        </w:rPr>
        <w:footnoteReference w:id="308"/>
      </w:r>
      <w:r w:rsidR="00DE159E" w:rsidRPr="008A1DB4">
        <w:rPr>
          <w:spacing w:val="-2"/>
          <w:lang w:val="en-US"/>
        </w:rPr>
        <w:t xml:space="preserve"> so that they may indicate their claims and present probative elements and that these are analyzed in a complete and serious manner by the authorities before a decision is taken on the facts, responsibilities, punishments and reparation.</w:t>
      </w:r>
      <w:r w:rsidRPr="008A1DB4">
        <w:rPr>
          <w:spacing w:val="-2"/>
          <w:vertAlign w:val="superscript"/>
          <w:lang w:val="en-US"/>
        </w:rPr>
        <w:footnoteReference w:id="309"/>
      </w:r>
    </w:p>
    <w:p w14:paraId="0D20B7B3" w14:textId="77777777" w:rsidR="005B4D39" w:rsidRPr="008A1DB4" w:rsidRDefault="005B4D39" w:rsidP="00956E97">
      <w:pPr>
        <w:tabs>
          <w:tab w:val="left" w:pos="284"/>
          <w:tab w:val="left" w:pos="567"/>
        </w:tabs>
        <w:rPr>
          <w:spacing w:val="-2"/>
          <w:lang w:val="en-US"/>
        </w:rPr>
      </w:pPr>
    </w:p>
    <w:p w14:paraId="3B33FBF6" w14:textId="65A57427" w:rsidR="005B4D39" w:rsidRPr="008A1DB4" w:rsidRDefault="00F36400" w:rsidP="00956E97">
      <w:pPr>
        <w:pStyle w:val="PrrafodeSentencia"/>
        <w:rPr>
          <w:spacing w:val="-2"/>
          <w:lang w:val="en-US"/>
        </w:rPr>
      </w:pPr>
      <w:r w:rsidRPr="008A1DB4">
        <w:rPr>
          <w:spacing w:val="-2"/>
          <w:lang w:val="en-US"/>
        </w:rPr>
        <w:lastRenderedPageBreak/>
        <w:t>The Court</w:t>
      </w:r>
      <w:r w:rsidR="005B4D39" w:rsidRPr="008A1DB4">
        <w:rPr>
          <w:spacing w:val="-2"/>
          <w:lang w:val="en-US"/>
        </w:rPr>
        <w:t xml:space="preserve"> consider</w:t>
      </w:r>
      <w:r w:rsidR="00DE159E" w:rsidRPr="008A1DB4">
        <w:rPr>
          <w:spacing w:val="-2"/>
          <w:lang w:val="en-US"/>
        </w:rPr>
        <w:t xml:space="preserve">s it necessary that the right to be heard is guaranteed in extradition proceedings. In this regard, </w:t>
      </w:r>
      <w:r w:rsidR="00127339" w:rsidRPr="008A1DB4">
        <w:rPr>
          <w:spacing w:val="-2"/>
          <w:lang w:val="en-US"/>
        </w:rPr>
        <w:t>expert witness</w:t>
      </w:r>
      <w:r w:rsidR="005B4D39" w:rsidRPr="008A1DB4">
        <w:rPr>
          <w:spacing w:val="-2"/>
          <w:lang w:val="en-US"/>
        </w:rPr>
        <w:t xml:space="preserve"> Ben Saul </w:t>
      </w:r>
      <w:r w:rsidR="0047101B">
        <w:rPr>
          <w:spacing w:val="-2"/>
          <w:lang w:val="en-US"/>
        </w:rPr>
        <w:t>asserted</w:t>
      </w:r>
      <w:r w:rsidR="00DE159E" w:rsidRPr="008A1DB4">
        <w:rPr>
          <w:spacing w:val="-2"/>
          <w:lang w:val="en-US"/>
        </w:rPr>
        <w:t xml:space="preserve"> that the person must be allowed to explain the reasons why he or she should not be extradited.</w:t>
      </w:r>
      <w:r w:rsidR="005B4D39" w:rsidRPr="008A1DB4">
        <w:rPr>
          <w:rStyle w:val="FootnoteReference"/>
          <w:spacing w:val="-2"/>
          <w:lang w:val="en-US"/>
        </w:rPr>
        <w:footnoteReference w:id="310"/>
      </w:r>
      <w:r w:rsidR="00DE159E" w:rsidRPr="008A1DB4">
        <w:rPr>
          <w:spacing w:val="-2"/>
          <w:lang w:val="en-US"/>
        </w:rPr>
        <w:t xml:space="preserve"> However, this does not mean that this should be guaranteed at all stages of the proceedings. In this regard, the Court notes that, in many </w:t>
      </w:r>
      <w:r w:rsidR="00A91C5F" w:rsidRPr="008A1DB4">
        <w:rPr>
          <w:spacing w:val="-2"/>
          <w:lang w:val="en-US"/>
        </w:rPr>
        <w:t xml:space="preserve">of the </w:t>
      </w:r>
      <w:r w:rsidR="00922262" w:rsidRPr="008A1DB4">
        <w:rPr>
          <w:spacing w:val="-2"/>
          <w:lang w:val="en-US"/>
        </w:rPr>
        <w:t>States Parties to the</w:t>
      </w:r>
      <w:r w:rsidRPr="008A1DB4">
        <w:rPr>
          <w:spacing w:val="-2"/>
          <w:lang w:val="en-US"/>
        </w:rPr>
        <w:t xml:space="preserve"> Convention</w:t>
      </w:r>
      <w:r w:rsidR="00DE159E" w:rsidRPr="008A1DB4">
        <w:rPr>
          <w:spacing w:val="-2"/>
          <w:lang w:val="en-US"/>
        </w:rPr>
        <w:t>, extradition proceedings have a political stage or element.</w:t>
      </w:r>
      <w:r w:rsidR="005B4D39" w:rsidRPr="008A1DB4">
        <w:rPr>
          <w:rStyle w:val="FootnoteReference"/>
          <w:spacing w:val="-2"/>
          <w:lang w:val="en-US"/>
        </w:rPr>
        <w:footnoteReference w:id="311"/>
      </w:r>
      <w:r w:rsidR="005B4D39" w:rsidRPr="008A1DB4">
        <w:rPr>
          <w:spacing w:val="-2"/>
          <w:lang w:val="en-US"/>
        </w:rPr>
        <w:t xml:space="preserve"> </w:t>
      </w:r>
      <w:r w:rsidR="00DE159E" w:rsidRPr="008A1DB4">
        <w:rPr>
          <w:spacing w:val="-2"/>
          <w:lang w:val="en-US"/>
        </w:rPr>
        <w:t>This circumstance or characteristic stems from the very nature of extradition processes, which constitute</w:t>
      </w:r>
      <w:r w:rsidR="0047101B">
        <w:rPr>
          <w:spacing w:val="-2"/>
          <w:lang w:val="en-US"/>
        </w:rPr>
        <w:t xml:space="preserve"> processes of</w:t>
      </w:r>
      <w:r w:rsidR="00DE159E" w:rsidRPr="008A1DB4">
        <w:rPr>
          <w:spacing w:val="-2"/>
          <w:lang w:val="en-US"/>
        </w:rPr>
        <w:t xml:space="preserve"> international judicial cooperation between States.</w:t>
      </w:r>
    </w:p>
    <w:p w14:paraId="5455CD1B" w14:textId="77777777" w:rsidR="00BF02BF" w:rsidRPr="008A1DB4" w:rsidRDefault="00BF02BF" w:rsidP="00956E97">
      <w:pPr>
        <w:pStyle w:val="PrrafodeSentencia"/>
        <w:numPr>
          <w:ilvl w:val="0"/>
          <w:numId w:val="0"/>
        </w:numPr>
        <w:rPr>
          <w:spacing w:val="-2"/>
          <w:lang w:val="en-US"/>
        </w:rPr>
      </w:pPr>
    </w:p>
    <w:p w14:paraId="7AAA5C3F" w14:textId="7DDCE94B" w:rsidR="005B4D39" w:rsidRPr="008A1DB4" w:rsidRDefault="00DE159E" w:rsidP="00956E97">
      <w:pPr>
        <w:pStyle w:val="PrrafodeSentencia"/>
        <w:rPr>
          <w:spacing w:val="-2"/>
          <w:lang w:val="en-US"/>
        </w:rPr>
      </w:pPr>
      <w:r w:rsidRPr="008A1DB4">
        <w:rPr>
          <w:spacing w:val="-2"/>
          <w:lang w:val="en-US"/>
        </w:rPr>
        <w:t xml:space="preserve">Under the laws of Peru, during the judicial stage of the extradition proceedings, the </w:t>
      </w:r>
      <w:proofErr w:type="spellStart"/>
      <w:r w:rsidR="0047101B">
        <w:rPr>
          <w:spacing w:val="-2"/>
          <w:lang w:val="en-US"/>
        </w:rPr>
        <w:t>stataement</w:t>
      </w:r>
      <w:proofErr w:type="spellEnd"/>
      <w:r w:rsidR="0047101B">
        <w:rPr>
          <w:spacing w:val="-2"/>
          <w:lang w:val="en-US"/>
        </w:rPr>
        <w:t xml:space="preserve"> of the person sought </w:t>
      </w:r>
      <w:r w:rsidRPr="008A1DB4">
        <w:rPr>
          <w:spacing w:val="-2"/>
          <w:lang w:val="en-US"/>
        </w:rPr>
        <w:t xml:space="preserve">is taken and the latter has the right to take part in any hearings that are held before the issue of the </w:t>
      </w:r>
      <w:r w:rsidR="002D1CFC" w:rsidRPr="008A1DB4">
        <w:rPr>
          <w:spacing w:val="-2"/>
          <w:lang w:val="en-US"/>
        </w:rPr>
        <w:t>advisory decision</w:t>
      </w:r>
      <w:r w:rsidR="00F36400" w:rsidRPr="008A1DB4">
        <w:rPr>
          <w:spacing w:val="-2"/>
          <w:lang w:val="en-US"/>
        </w:rPr>
        <w:t xml:space="preserve"> of </w:t>
      </w:r>
      <w:r w:rsidR="00B67AC5" w:rsidRPr="008A1DB4">
        <w:rPr>
          <w:spacing w:val="-2"/>
          <w:lang w:val="en-US"/>
        </w:rPr>
        <w:t>the Supreme Court</w:t>
      </w:r>
      <w:r w:rsidR="005B4D39" w:rsidRPr="008A1DB4">
        <w:rPr>
          <w:spacing w:val="-2"/>
          <w:lang w:val="en-US"/>
        </w:rPr>
        <w:t xml:space="preserve">. </w:t>
      </w:r>
      <w:r w:rsidR="00A3310A" w:rsidRPr="008A1DB4">
        <w:rPr>
          <w:spacing w:val="-2"/>
          <w:lang w:val="en-US"/>
        </w:rPr>
        <w:t>Subsequently</w:t>
      </w:r>
      <w:r w:rsidR="005B4D39" w:rsidRPr="008A1DB4">
        <w:rPr>
          <w:spacing w:val="-2"/>
          <w:lang w:val="en-US"/>
        </w:rPr>
        <w:t>,</w:t>
      </w:r>
      <w:r w:rsidRPr="008A1DB4">
        <w:rPr>
          <w:spacing w:val="-2"/>
          <w:lang w:val="en-US"/>
        </w:rPr>
        <w:t xml:space="preserve"> the person</w:t>
      </w:r>
      <w:r w:rsidR="0047101B">
        <w:rPr>
          <w:spacing w:val="-2"/>
          <w:lang w:val="en-US"/>
        </w:rPr>
        <w:t xml:space="preserve"> sought</w:t>
      </w:r>
      <w:r w:rsidRPr="008A1DB4">
        <w:rPr>
          <w:spacing w:val="-2"/>
          <w:lang w:val="en-US"/>
        </w:rPr>
        <w:t xml:space="preserve"> does not intervene at</w:t>
      </w:r>
      <w:r w:rsidR="005B4D39" w:rsidRPr="008A1DB4">
        <w:rPr>
          <w:spacing w:val="-2"/>
          <w:lang w:val="en-US"/>
        </w:rPr>
        <w:t xml:space="preserve"> </w:t>
      </w:r>
      <w:r w:rsidRPr="008A1DB4">
        <w:rPr>
          <w:spacing w:val="-2"/>
          <w:lang w:val="en-US"/>
        </w:rPr>
        <w:t>the political stage of the proceedings</w:t>
      </w:r>
      <w:r w:rsidR="005B4D39" w:rsidRPr="008A1DB4">
        <w:rPr>
          <w:spacing w:val="-2"/>
          <w:lang w:val="en-US"/>
        </w:rPr>
        <w:t xml:space="preserve">. </w:t>
      </w:r>
      <w:r w:rsidRPr="008A1DB4">
        <w:rPr>
          <w:spacing w:val="-2"/>
          <w:lang w:val="en-US"/>
        </w:rPr>
        <w:t>Nevertheless</w:t>
      </w:r>
      <w:r w:rsidR="00BF5BAE" w:rsidRPr="008A1DB4">
        <w:rPr>
          <w:spacing w:val="-2"/>
          <w:lang w:val="en-US"/>
        </w:rPr>
        <w:t xml:space="preserve">, </w:t>
      </w:r>
      <w:r w:rsidR="00F36400" w:rsidRPr="008A1DB4">
        <w:rPr>
          <w:spacing w:val="-2"/>
          <w:lang w:val="en-US"/>
        </w:rPr>
        <w:t>the Court</w:t>
      </w:r>
      <w:r w:rsidR="00BF5BAE" w:rsidRPr="008A1DB4">
        <w:rPr>
          <w:spacing w:val="-2"/>
          <w:lang w:val="en-US"/>
        </w:rPr>
        <w:t xml:space="preserve"> rec</w:t>
      </w:r>
      <w:r w:rsidRPr="008A1DB4">
        <w:rPr>
          <w:spacing w:val="-2"/>
          <w:lang w:val="en-US"/>
        </w:rPr>
        <w:t xml:space="preserve">alls that, as argued by the parties, the discretionary actions </w:t>
      </w:r>
      <w:r w:rsidR="00776D24" w:rsidRPr="008A1DB4">
        <w:rPr>
          <w:bCs/>
          <w:spacing w:val="-2"/>
          <w:lang w:val="en-US"/>
        </w:rPr>
        <w:t xml:space="preserve">of the </w:t>
      </w:r>
      <w:r w:rsidR="00B43F84" w:rsidRPr="008A1DB4">
        <w:rPr>
          <w:bCs/>
          <w:spacing w:val="-2"/>
          <w:lang w:val="en-US"/>
        </w:rPr>
        <w:t>Executive Branch</w:t>
      </w:r>
      <w:r w:rsidR="005B4D39" w:rsidRPr="008A1DB4">
        <w:rPr>
          <w:bCs/>
          <w:spacing w:val="-2"/>
          <w:lang w:val="en-US"/>
        </w:rPr>
        <w:t xml:space="preserve"> </w:t>
      </w:r>
      <w:r w:rsidRPr="008A1DB4">
        <w:rPr>
          <w:bCs/>
          <w:spacing w:val="-2"/>
          <w:lang w:val="en-US"/>
        </w:rPr>
        <w:t xml:space="preserve">may be subject to subsequent constitutional control </w:t>
      </w:r>
      <w:r w:rsidR="00BF5BAE" w:rsidRPr="008A1DB4">
        <w:rPr>
          <w:bCs/>
          <w:spacing w:val="-2"/>
          <w:lang w:val="en-US"/>
        </w:rPr>
        <w:t>(</w:t>
      </w:r>
      <w:r w:rsidR="00BF5BAE" w:rsidRPr="008A1DB4">
        <w:rPr>
          <w:bCs/>
          <w:i/>
          <w:spacing w:val="-2"/>
          <w:lang w:val="en-US"/>
        </w:rPr>
        <w:t>supra</w:t>
      </w:r>
      <w:r w:rsidR="00BF5BAE" w:rsidRPr="008A1DB4">
        <w:rPr>
          <w:bCs/>
          <w:spacing w:val="-2"/>
          <w:lang w:val="en-US"/>
        </w:rPr>
        <w:t xml:space="preserve"> </w:t>
      </w:r>
      <w:r w:rsidR="00C45946" w:rsidRPr="008A1DB4">
        <w:rPr>
          <w:bCs/>
          <w:spacing w:val="-2"/>
          <w:lang w:val="en-US"/>
        </w:rPr>
        <w:t xml:space="preserve">para. </w:t>
      </w:r>
      <w:r w:rsidR="00BF5BAE" w:rsidRPr="008A1DB4">
        <w:rPr>
          <w:bCs/>
          <w:spacing w:val="-2"/>
          <w:lang w:val="en-US"/>
        </w:rPr>
        <w:fldChar w:fldCharType="begin"/>
      </w:r>
      <w:r w:rsidR="00BF5BAE" w:rsidRPr="008A1DB4">
        <w:rPr>
          <w:bCs/>
          <w:spacing w:val="-2"/>
          <w:lang w:val="en-US"/>
        </w:rPr>
        <w:instrText xml:space="preserve"> REF _Ref429411623 \r \h </w:instrText>
      </w:r>
      <w:r w:rsidR="00DC41F4" w:rsidRPr="008A1DB4">
        <w:rPr>
          <w:bCs/>
          <w:spacing w:val="-2"/>
          <w:lang w:val="en-US"/>
        </w:rPr>
        <w:instrText xml:space="preserve"> \* MERGEFORMAT </w:instrText>
      </w:r>
      <w:r w:rsidR="00BF5BAE" w:rsidRPr="008A1DB4">
        <w:rPr>
          <w:bCs/>
          <w:spacing w:val="-2"/>
          <w:lang w:val="en-US"/>
        </w:rPr>
      </w:r>
      <w:r w:rsidR="00BF5BAE" w:rsidRPr="008A1DB4">
        <w:rPr>
          <w:bCs/>
          <w:spacing w:val="-2"/>
          <w:lang w:val="en-US"/>
        </w:rPr>
        <w:fldChar w:fldCharType="separate"/>
      </w:r>
      <w:r w:rsidR="00E961FA" w:rsidRPr="008A1DB4">
        <w:rPr>
          <w:bCs/>
          <w:spacing w:val="-2"/>
          <w:lang w:val="en-US"/>
        </w:rPr>
        <w:t>205</w:t>
      </w:r>
      <w:r w:rsidR="00BF5BAE" w:rsidRPr="008A1DB4">
        <w:rPr>
          <w:bCs/>
          <w:spacing w:val="-2"/>
          <w:lang w:val="en-US"/>
        </w:rPr>
        <w:fldChar w:fldCharType="end"/>
      </w:r>
      <w:r w:rsidR="00BF5BAE" w:rsidRPr="008A1DB4">
        <w:rPr>
          <w:bCs/>
          <w:spacing w:val="-2"/>
          <w:lang w:val="en-US"/>
        </w:rPr>
        <w:t>).</w:t>
      </w:r>
    </w:p>
    <w:p w14:paraId="74A1DC1D" w14:textId="77777777" w:rsidR="005B4D39" w:rsidRPr="008A1DB4" w:rsidRDefault="005B4D39" w:rsidP="00956E97">
      <w:pPr>
        <w:rPr>
          <w:spacing w:val="-2"/>
          <w:lang w:val="en-US"/>
        </w:rPr>
      </w:pPr>
    </w:p>
    <w:p w14:paraId="00862EDD" w14:textId="06500A1C" w:rsidR="005B4D39" w:rsidRPr="008A1DB4" w:rsidRDefault="00F36400" w:rsidP="00956E97">
      <w:pPr>
        <w:pStyle w:val="PrrafodeSentencia"/>
        <w:rPr>
          <w:spacing w:val="-2"/>
          <w:lang w:val="en-US"/>
        </w:rPr>
      </w:pPr>
      <w:r w:rsidRPr="008A1DB4">
        <w:rPr>
          <w:spacing w:val="-2"/>
          <w:lang w:val="en-US"/>
        </w:rPr>
        <w:t>The Court</w:t>
      </w:r>
      <w:r w:rsidR="00DE159E" w:rsidRPr="008A1DB4">
        <w:rPr>
          <w:spacing w:val="-2"/>
          <w:lang w:val="en-US"/>
        </w:rPr>
        <w:t xml:space="preserve"> considers that, insofar as </w:t>
      </w:r>
      <w:r w:rsidR="001E7113" w:rsidRPr="008A1DB4">
        <w:rPr>
          <w:spacing w:val="-2"/>
          <w:lang w:val="en-US"/>
        </w:rPr>
        <w:t>Wong</w:t>
      </w:r>
      <w:r w:rsidR="005B4D39" w:rsidRPr="008A1DB4">
        <w:rPr>
          <w:spacing w:val="-2"/>
          <w:lang w:val="en-US"/>
        </w:rPr>
        <w:t xml:space="preserve"> Ho Wing </w:t>
      </w:r>
      <w:r w:rsidR="00DE159E" w:rsidRPr="008A1DB4">
        <w:rPr>
          <w:spacing w:val="-2"/>
          <w:lang w:val="en-US"/>
        </w:rPr>
        <w:t>took part in the judicial stage of the proceeding</w:t>
      </w:r>
      <w:r w:rsidR="0047101B">
        <w:rPr>
          <w:spacing w:val="-2"/>
          <w:lang w:val="en-US"/>
        </w:rPr>
        <w:t>s</w:t>
      </w:r>
      <w:r w:rsidR="00DE159E" w:rsidRPr="008A1DB4">
        <w:rPr>
          <w:spacing w:val="-2"/>
          <w:lang w:val="en-US"/>
        </w:rPr>
        <w:t xml:space="preserve"> and </w:t>
      </w:r>
      <w:r w:rsidR="0047101B">
        <w:rPr>
          <w:spacing w:val="-2"/>
          <w:lang w:val="en-US"/>
        </w:rPr>
        <w:t>retains</w:t>
      </w:r>
      <w:r w:rsidR="00DE159E" w:rsidRPr="008A1DB4">
        <w:rPr>
          <w:spacing w:val="-2"/>
          <w:lang w:val="en-US"/>
        </w:rPr>
        <w:t xml:space="preserve"> the possibility of obtain</w:t>
      </w:r>
      <w:r w:rsidR="0047101B">
        <w:rPr>
          <w:spacing w:val="-2"/>
          <w:lang w:val="en-US"/>
        </w:rPr>
        <w:t>ing</w:t>
      </w:r>
      <w:r w:rsidR="00DE159E" w:rsidRPr="008A1DB4">
        <w:rPr>
          <w:spacing w:val="-2"/>
          <w:lang w:val="en-US"/>
        </w:rPr>
        <w:t xml:space="preserve"> judicial </w:t>
      </w:r>
      <w:r w:rsidR="0079515C" w:rsidRPr="008A1DB4">
        <w:rPr>
          <w:spacing w:val="-2"/>
          <w:lang w:val="en-US"/>
        </w:rPr>
        <w:t>control</w:t>
      </w:r>
      <w:r w:rsidR="00DE159E" w:rsidRPr="008A1DB4">
        <w:rPr>
          <w:spacing w:val="-2"/>
          <w:lang w:val="en-US"/>
        </w:rPr>
        <w:t xml:space="preserve"> of the final </w:t>
      </w:r>
      <w:r w:rsidR="0079515C" w:rsidRPr="008A1DB4">
        <w:rPr>
          <w:spacing w:val="-2"/>
          <w:lang w:val="en-US"/>
        </w:rPr>
        <w:t>decision</w:t>
      </w:r>
      <w:r w:rsidR="00DE159E" w:rsidRPr="008A1DB4">
        <w:rPr>
          <w:spacing w:val="-2"/>
          <w:lang w:val="en-US"/>
        </w:rPr>
        <w:t xml:space="preserve"> on </w:t>
      </w:r>
      <w:r w:rsidR="002D1CFC" w:rsidRPr="008A1DB4">
        <w:rPr>
          <w:spacing w:val="-2"/>
          <w:lang w:val="en-US"/>
        </w:rPr>
        <w:t>extradition</w:t>
      </w:r>
      <w:r w:rsidR="005B4D39" w:rsidRPr="008A1DB4">
        <w:rPr>
          <w:spacing w:val="-2"/>
          <w:lang w:val="en-US"/>
        </w:rPr>
        <w:t xml:space="preserve">, </w:t>
      </w:r>
      <w:r w:rsidRPr="008A1DB4">
        <w:rPr>
          <w:spacing w:val="-2"/>
          <w:lang w:val="en-US"/>
        </w:rPr>
        <w:t>the State</w:t>
      </w:r>
      <w:r w:rsidR="005B4D39" w:rsidRPr="008A1DB4">
        <w:rPr>
          <w:spacing w:val="-2"/>
          <w:lang w:val="en-US"/>
        </w:rPr>
        <w:t xml:space="preserve"> </w:t>
      </w:r>
      <w:r w:rsidR="00DE159E" w:rsidRPr="008A1DB4">
        <w:rPr>
          <w:spacing w:val="-2"/>
          <w:lang w:val="en-US"/>
        </w:rPr>
        <w:t>has not failed to comply with its obligation to guarantee the presumed victim’s right to be heard.</w:t>
      </w:r>
    </w:p>
    <w:p w14:paraId="36C07E2C" w14:textId="77777777" w:rsidR="005B4D39" w:rsidRPr="008A1DB4" w:rsidRDefault="005B4D39" w:rsidP="00956E97">
      <w:pPr>
        <w:rPr>
          <w:spacing w:val="-2"/>
          <w:lang w:val="en-US"/>
        </w:rPr>
      </w:pPr>
    </w:p>
    <w:p w14:paraId="11B52612" w14:textId="3BBD52BE" w:rsidR="005B4D39" w:rsidRPr="008A1DB4" w:rsidRDefault="00DE159E" w:rsidP="00DE159E">
      <w:pPr>
        <w:pStyle w:val="PrrafodeSentencia"/>
        <w:rPr>
          <w:spacing w:val="-2"/>
          <w:lang w:val="en-US"/>
        </w:rPr>
      </w:pPr>
      <w:bookmarkStart w:id="956" w:name="_Ref429410755"/>
      <w:r w:rsidRPr="008A1DB4">
        <w:rPr>
          <w:spacing w:val="-2"/>
          <w:lang w:val="en-US"/>
        </w:rPr>
        <w:t>Furthermore, with regard to the alleged lack of access to documentation in the case file,</w:t>
      </w:r>
      <w:r w:rsidR="004115E0" w:rsidRPr="008A1DB4">
        <w:rPr>
          <w:rStyle w:val="FootnoteReference"/>
          <w:spacing w:val="-2"/>
          <w:lang w:val="en-US"/>
        </w:rPr>
        <w:footnoteReference w:id="312"/>
      </w:r>
      <w:r w:rsidR="005B4D39" w:rsidRPr="008A1DB4">
        <w:rPr>
          <w:spacing w:val="-2"/>
          <w:lang w:val="en-US"/>
        </w:rPr>
        <w:t xml:space="preserve"> </w:t>
      </w:r>
      <w:r w:rsidR="00F36400" w:rsidRPr="008A1DB4">
        <w:rPr>
          <w:spacing w:val="-2"/>
          <w:lang w:val="en-US"/>
        </w:rPr>
        <w:t>the Court</w:t>
      </w:r>
      <w:r w:rsidR="005B4D39" w:rsidRPr="008A1DB4">
        <w:rPr>
          <w:spacing w:val="-2"/>
          <w:lang w:val="en-US"/>
        </w:rPr>
        <w:t xml:space="preserve"> </w:t>
      </w:r>
      <w:r w:rsidRPr="008A1DB4">
        <w:rPr>
          <w:spacing w:val="-2"/>
          <w:lang w:val="en-US"/>
        </w:rPr>
        <w:t xml:space="preserve">notes that, since there is no obligation to allow the </w:t>
      </w:r>
      <w:r w:rsidR="0047101B">
        <w:rPr>
          <w:spacing w:val="-2"/>
          <w:lang w:val="en-US"/>
        </w:rPr>
        <w:t>person sought</w:t>
      </w:r>
      <w:r w:rsidRPr="008A1DB4">
        <w:rPr>
          <w:spacing w:val="-2"/>
          <w:lang w:val="en-US"/>
        </w:rPr>
        <w:t xml:space="preserve"> to participate at the political stage of the extradition proceeding</w:t>
      </w:r>
      <w:r w:rsidR="0047101B">
        <w:rPr>
          <w:spacing w:val="-2"/>
          <w:lang w:val="en-US"/>
        </w:rPr>
        <w:t>s</w:t>
      </w:r>
      <w:r w:rsidRPr="008A1DB4">
        <w:rPr>
          <w:spacing w:val="-2"/>
          <w:lang w:val="en-US"/>
        </w:rPr>
        <w:t>, there is no obligation to ensure access to the file during that stage. Regarding the subsequent information received during that stage, the Court considers that the State has an obligation to make available to anyone subject to extradition the necessary elements to exercise their right of defense or to explain their particular circumstances of risk in an adequate and effective manner. Nevertheless, in this case, the extradition process has not concluded and, as shown, the final decision is subject to subsequent judicial control. Therefore, the Court co</w:t>
      </w:r>
      <w:r w:rsidR="0047101B">
        <w:rPr>
          <w:spacing w:val="-2"/>
          <w:lang w:val="en-US"/>
        </w:rPr>
        <w:t xml:space="preserve">nsiders that, in this case, </w:t>
      </w:r>
      <w:r w:rsidRPr="008A1DB4">
        <w:rPr>
          <w:spacing w:val="-2"/>
          <w:lang w:val="en-US"/>
        </w:rPr>
        <w:t xml:space="preserve">access to these elements could be ensured at </w:t>
      </w:r>
      <w:r w:rsidR="0047101B">
        <w:rPr>
          <w:spacing w:val="-2"/>
          <w:lang w:val="en-US"/>
        </w:rPr>
        <w:t>that</w:t>
      </w:r>
      <w:r w:rsidRPr="008A1DB4">
        <w:rPr>
          <w:spacing w:val="-2"/>
          <w:lang w:val="en-US"/>
        </w:rPr>
        <w:t xml:space="preserve"> subsequent judicial stage, without the need to grant this access during the political stage of the extradition process having been proved. Regarding the alleged lack of access to documentation </w:t>
      </w:r>
      <w:r w:rsidRPr="008A1DB4">
        <w:rPr>
          <w:spacing w:val="-2"/>
          <w:lang w:val="en-US"/>
        </w:rPr>
        <w:lastRenderedPageBreak/>
        <w:t xml:space="preserve">during the judicial stage, the Court notes that, although </w:t>
      </w:r>
      <w:r w:rsidRPr="008A1DB4">
        <w:rPr>
          <w:bCs/>
          <w:spacing w:val="-2"/>
          <w:lang w:val="en-US"/>
        </w:rPr>
        <w:t>the representative argued that the Judiciary had not ensure</w:t>
      </w:r>
      <w:r w:rsidR="0047101B">
        <w:rPr>
          <w:bCs/>
          <w:spacing w:val="-2"/>
          <w:lang w:val="en-US"/>
        </w:rPr>
        <w:t>d</w:t>
      </w:r>
      <w:r w:rsidRPr="008A1DB4">
        <w:rPr>
          <w:bCs/>
          <w:spacing w:val="-2"/>
          <w:lang w:val="en-US"/>
        </w:rPr>
        <w:t xml:space="preserve"> access to “documentation of vital importance for the preparation of Wong Ho Wing’s defense”</w:t>
      </w:r>
      <w:r w:rsidR="005B4D39" w:rsidRPr="008A1DB4">
        <w:rPr>
          <w:rFonts w:eastAsia="Arial Narrow" w:cs="Arial Narrow"/>
          <w:spacing w:val="-2"/>
          <w:lang w:val="en-US"/>
        </w:rPr>
        <w:t xml:space="preserve"> (</w:t>
      </w:r>
      <w:r w:rsidR="005B4D39" w:rsidRPr="008A1DB4">
        <w:rPr>
          <w:rFonts w:eastAsia="Arial Narrow" w:cs="Arial Narrow"/>
          <w:i/>
          <w:spacing w:val="-2"/>
          <w:lang w:val="en-US"/>
        </w:rPr>
        <w:t>supra</w:t>
      </w:r>
      <w:r w:rsidR="005B4D39" w:rsidRPr="008A1DB4">
        <w:rPr>
          <w:rFonts w:eastAsia="Arial Narrow" w:cs="Arial Narrow"/>
          <w:spacing w:val="-2"/>
          <w:lang w:val="en-US"/>
        </w:rPr>
        <w:t xml:space="preserve"> </w:t>
      </w:r>
      <w:r w:rsidR="00C45946" w:rsidRPr="008A1DB4">
        <w:rPr>
          <w:rFonts w:eastAsia="Arial Narrow" w:cs="Arial Narrow"/>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_Ref417304968 \r \h  \* MERGEFORMAT </w:instrText>
      </w:r>
      <w:r w:rsidR="00BE2225" w:rsidRPr="008A1DB4">
        <w:rPr>
          <w:spacing w:val="-2"/>
          <w:lang w:val="en-US"/>
        </w:rPr>
      </w:r>
      <w:r w:rsidR="00BE2225" w:rsidRPr="008A1DB4">
        <w:rPr>
          <w:spacing w:val="-2"/>
          <w:lang w:val="en-US"/>
        </w:rPr>
        <w:fldChar w:fldCharType="separate"/>
      </w:r>
      <w:r w:rsidR="00E961FA" w:rsidRPr="008A1DB4">
        <w:rPr>
          <w:rFonts w:eastAsia="Arial Narrow" w:cs="Arial Narrow"/>
          <w:spacing w:val="-2"/>
          <w:lang w:val="en-US"/>
        </w:rPr>
        <w:t>225</w:t>
      </w:r>
      <w:r w:rsidR="00BE2225" w:rsidRPr="008A1DB4">
        <w:rPr>
          <w:spacing w:val="-2"/>
          <w:lang w:val="en-US"/>
        </w:rPr>
        <w:fldChar w:fldCharType="end"/>
      </w:r>
      <w:r w:rsidR="005B4D39" w:rsidRPr="008A1DB4">
        <w:rPr>
          <w:rFonts w:eastAsia="Arial Narrow" w:cs="Arial Narrow"/>
          <w:spacing w:val="-2"/>
          <w:lang w:val="en-US"/>
        </w:rPr>
        <w:t xml:space="preserve">), </w:t>
      </w:r>
      <w:r w:rsidRPr="008A1DB4">
        <w:rPr>
          <w:rFonts w:eastAsia="Arial Narrow" w:cs="Arial Narrow"/>
          <w:spacing w:val="-2"/>
          <w:lang w:val="en-US"/>
        </w:rPr>
        <w:t>he did not present clear and spe</w:t>
      </w:r>
      <w:r w:rsidR="0047101B">
        <w:rPr>
          <w:rFonts w:eastAsia="Arial Narrow" w:cs="Arial Narrow"/>
          <w:spacing w:val="-2"/>
          <w:lang w:val="en-US"/>
        </w:rPr>
        <w:t>cific arguments in this regard; hence, the Court will not rule on this</w:t>
      </w:r>
      <w:r w:rsidRPr="008A1DB4">
        <w:rPr>
          <w:rFonts w:eastAsia="Arial Narrow" w:cs="Arial Narrow"/>
          <w:spacing w:val="-2"/>
          <w:lang w:val="en-US"/>
        </w:rPr>
        <w:t xml:space="preserve"> point. </w:t>
      </w:r>
      <w:bookmarkEnd w:id="956"/>
    </w:p>
    <w:p w14:paraId="6D823570" w14:textId="77777777" w:rsidR="005B4D39" w:rsidRPr="008A1DB4" w:rsidRDefault="005B4D39" w:rsidP="00956E97">
      <w:pPr>
        <w:rPr>
          <w:bCs/>
          <w:spacing w:val="-2"/>
          <w:lang w:val="en-US"/>
        </w:rPr>
      </w:pPr>
    </w:p>
    <w:p w14:paraId="3748ECAB" w14:textId="3A80F5E9" w:rsidR="00D66165" w:rsidRPr="008A1DB4" w:rsidRDefault="00F36400" w:rsidP="00956E97">
      <w:pPr>
        <w:pStyle w:val="PrrafodeSentencia"/>
        <w:rPr>
          <w:spacing w:val="-2"/>
          <w:lang w:val="en-US"/>
        </w:rPr>
      </w:pPr>
      <w:r w:rsidRPr="008A1DB4">
        <w:rPr>
          <w:spacing w:val="-2"/>
          <w:lang w:val="en-US"/>
        </w:rPr>
        <w:t>The Court</w:t>
      </w:r>
      <w:r w:rsidR="00D66165" w:rsidRPr="008A1DB4">
        <w:rPr>
          <w:spacing w:val="-2"/>
          <w:lang w:val="en-US"/>
        </w:rPr>
        <w:t xml:space="preserve"> </w:t>
      </w:r>
      <w:r w:rsidR="00DE159E" w:rsidRPr="008A1DB4">
        <w:rPr>
          <w:spacing w:val="-2"/>
          <w:lang w:val="en-US"/>
        </w:rPr>
        <w:t xml:space="preserve">understand that the delay in the processing of the political stage has resulted in a situation of uncertainty for </w:t>
      </w:r>
      <w:r w:rsidRPr="008A1DB4">
        <w:rPr>
          <w:spacing w:val="-2"/>
          <w:lang w:val="en-US"/>
        </w:rPr>
        <w:t>the presumed victim</w:t>
      </w:r>
      <w:r w:rsidR="00D66165" w:rsidRPr="008A1DB4">
        <w:rPr>
          <w:spacing w:val="-2"/>
          <w:lang w:val="en-US"/>
        </w:rPr>
        <w:t>, particular</w:t>
      </w:r>
      <w:r w:rsidR="00DE159E" w:rsidRPr="008A1DB4">
        <w:rPr>
          <w:spacing w:val="-2"/>
          <w:lang w:val="en-US"/>
        </w:rPr>
        <w:t xml:space="preserve">ly owing to the issue and reception of new diplomatic assurances during this stage, which he has become aware of </w:t>
      </w:r>
      <w:r w:rsidR="0047101B">
        <w:rPr>
          <w:spacing w:val="-2"/>
          <w:lang w:val="en-US"/>
        </w:rPr>
        <w:t>incidentally, since he has</w:t>
      </w:r>
      <w:r w:rsidR="00192250" w:rsidRPr="008A1DB4">
        <w:rPr>
          <w:spacing w:val="-2"/>
          <w:lang w:val="en-US"/>
        </w:rPr>
        <w:t xml:space="preserve"> n</w:t>
      </w:r>
      <w:r w:rsidR="0047101B">
        <w:rPr>
          <w:spacing w:val="-2"/>
          <w:lang w:val="en-US"/>
        </w:rPr>
        <w:t>ot had</w:t>
      </w:r>
      <w:r w:rsidR="00192250" w:rsidRPr="008A1DB4">
        <w:rPr>
          <w:spacing w:val="-2"/>
          <w:lang w:val="en-US"/>
        </w:rPr>
        <w:t xml:space="preserve"> direct access to the case file at this stage. However, the Court finds that this uncertainty is </w:t>
      </w:r>
      <w:r w:rsidR="0047101B">
        <w:rPr>
          <w:spacing w:val="-2"/>
          <w:lang w:val="en-US"/>
        </w:rPr>
        <w:t xml:space="preserve">an </w:t>
      </w:r>
      <w:r w:rsidR="00192250" w:rsidRPr="008A1DB4">
        <w:rPr>
          <w:spacing w:val="-2"/>
          <w:lang w:val="en-US"/>
        </w:rPr>
        <w:t xml:space="preserve">effect of the delay in obtaining a final decision from </w:t>
      </w:r>
      <w:r w:rsidR="00776D24" w:rsidRPr="008A1DB4">
        <w:rPr>
          <w:spacing w:val="-2"/>
          <w:lang w:val="en-US"/>
        </w:rPr>
        <w:t xml:space="preserve">the </w:t>
      </w:r>
      <w:r w:rsidR="00B43F84" w:rsidRPr="008A1DB4">
        <w:rPr>
          <w:spacing w:val="-2"/>
          <w:lang w:val="en-US"/>
        </w:rPr>
        <w:t>Executive</w:t>
      </w:r>
      <w:r w:rsidR="0047101B">
        <w:rPr>
          <w:spacing w:val="-2"/>
          <w:lang w:val="en-US"/>
        </w:rPr>
        <w:t xml:space="preserve"> Branch</w:t>
      </w:r>
      <w:r w:rsidR="00D66165" w:rsidRPr="008A1DB4">
        <w:rPr>
          <w:spacing w:val="-2"/>
          <w:lang w:val="en-US"/>
        </w:rPr>
        <w:t xml:space="preserve">, </w:t>
      </w:r>
      <w:r w:rsidR="00192250" w:rsidRPr="008A1DB4">
        <w:rPr>
          <w:spacing w:val="-2"/>
          <w:lang w:val="en-US"/>
        </w:rPr>
        <w:t xml:space="preserve">which the Court considered when analyzing and declaring a violation of the guarantee of a </w:t>
      </w:r>
      <w:r w:rsidR="00A33F97" w:rsidRPr="008A1DB4">
        <w:rPr>
          <w:spacing w:val="-2"/>
          <w:lang w:val="en-US"/>
        </w:rPr>
        <w:t>reasonable time</w:t>
      </w:r>
      <w:r w:rsidR="00D66165" w:rsidRPr="008A1DB4">
        <w:rPr>
          <w:spacing w:val="-2"/>
          <w:lang w:val="en-US"/>
        </w:rPr>
        <w:t xml:space="preserve"> (</w:t>
      </w:r>
      <w:r w:rsidR="00D66165" w:rsidRPr="008A1DB4">
        <w:rPr>
          <w:i/>
          <w:spacing w:val="-2"/>
          <w:lang w:val="en-US"/>
        </w:rPr>
        <w:t>supra</w:t>
      </w:r>
      <w:r w:rsidR="00F25630"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_Ref417307041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223</w:t>
      </w:r>
      <w:r w:rsidR="00BE2225" w:rsidRPr="008A1DB4">
        <w:rPr>
          <w:spacing w:val="-2"/>
          <w:lang w:val="en-US"/>
        </w:rPr>
        <w:fldChar w:fldCharType="end"/>
      </w:r>
      <w:r w:rsidR="00D66165" w:rsidRPr="008A1DB4">
        <w:rPr>
          <w:spacing w:val="-2"/>
          <w:lang w:val="en-US"/>
        </w:rPr>
        <w:t xml:space="preserve">). </w:t>
      </w:r>
    </w:p>
    <w:p w14:paraId="03AC3404" w14:textId="77777777" w:rsidR="00D66165" w:rsidRPr="008A1DB4" w:rsidRDefault="00D66165" w:rsidP="00956E97">
      <w:pPr>
        <w:pStyle w:val="PrrafodeSentencia"/>
        <w:numPr>
          <w:ilvl w:val="0"/>
          <w:numId w:val="0"/>
        </w:numPr>
        <w:rPr>
          <w:spacing w:val="-2"/>
          <w:lang w:val="en-US"/>
        </w:rPr>
      </w:pPr>
    </w:p>
    <w:p w14:paraId="00543368" w14:textId="4B842962" w:rsidR="005B4D39" w:rsidRPr="008A1DB4" w:rsidRDefault="00192250" w:rsidP="00956E97">
      <w:pPr>
        <w:pStyle w:val="PrrafodeSentencia"/>
        <w:rPr>
          <w:spacing w:val="-2"/>
          <w:lang w:val="en-US"/>
        </w:rPr>
      </w:pPr>
      <w:bookmarkStart w:id="957" w:name="_Ref419392084"/>
      <w:r w:rsidRPr="008A1DB4">
        <w:rPr>
          <w:spacing w:val="-2"/>
          <w:lang w:val="en-US"/>
        </w:rPr>
        <w:t xml:space="preserve">Based on the above conclusions, the Court finds that, in this case, the State has not violated the right to be heard, the right of defense, and the right of access to the case file, recognized in </w:t>
      </w:r>
      <w:r w:rsidR="00F36400" w:rsidRPr="008A1DB4">
        <w:rPr>
          <w:spacing w:val="-2"/>
          <w:lang w:val="en-US"/>
        </w:rPr>
        <w:t>Article</w:t>
      </w:r>
      <w:r w:rsidR="00A33F97" w:rsidRPr="008A1DB4">
        <w:rPr>
          <w:spacing w:val="-2"/>
          <w:lang w:val="en-US"/>
        </w:rPr>
        <w:t xml:space="preserve"> 8(1)</w:t>
      </w:r>
      <w:r w:rsidR="00F36400" w:rsidRPr="008A1DB4">
        <w:rPr>
          <w:spacing w:val="-2"/>
          <w:lang w:val="en-US"/>
        </w:rPr>
        <w:t xml:space="preserve"> of the American Convention</w:t>
      </w:r>
      <w:r w:rsidR="005B4D39" w:rsidRPr="008A1DB4">
        <w:rPr>
          <w:spacing w:val="-2"/>
          <w:lang w:val="en-US"/>
        </w:rPr>
        <w:t>.</w:t>
      </w:r>
      <w:bookmarkEnd w:id="957"/>
      <w:r w:rsidR="005B4D39" w:rsidRPr="008A1DB4">
        <w:rPr>
          <w:spacing w:val="-2"/>
          <w:lang w:val="en-US"/>
        </w:rPr>
        <w:t xml:space="preserve"> </w:t>
      </w:r>
    </w:p>
    <w:p w14:paraId="3944C7DE" w14:textId="77777777" w:rsidR="005E0BF6" w:rsidRPr="008A1DB4" w:rsidRDefault="005E0BF6" w:rsidP="00956E97">
      <w:pPr>
        <w:rPr>
          <w:spacing w:val="-2"/>
          <w:sz w:val="18"/>
          <w:szCs w:val="18"/>
          <w:lang w:val="en-US" w:eastAsia="es-CR"/>
        </w:rPr>
      </w:pPr>
    </w:p>
    <w:p w14:paraId="1EB45423" w14:textId="77777777" w:rsidR="00601B3D" w:rsidRPr="008A1DB4" w:rsidRDefault="00601B3D" w:rsidP="00956E97">
      <w:pPr>
        <w:pStyle w:val="Title"/>
        <w:rPr>
          <w:spacing w:val="-2"/>
          <w:lang w:val="en-US"/>
        </w:rPr>
      </w:pPr>
      <w:bookmarkStart w:id="958" w:name="_Toc418912632"/>
      <w:bookmarkStart w:id="959" w:name="_Toc419394429"/>
      <w:bookmarkStart w:id="960" w:name="_Toc429490288"/>
      <w:bookmarkStart w:id="961" w:name="_Toc429503802"/>
      <w:bookmarkStart w:id="962" w:name="_Toc429504308"/>
      <w:bookmarkStart w:id="963" w:name="_Toc429678021"/>
      <w:bookmarkStart w:id="964" w:name="_Toc430017184"/>
      <w:bookmarkStart w:id="965" w:name="_Toc430017413"/>
      <w:bookmarkStart w:id="966" w:name="_Toc430018695"/>
      <w:bookmarkStart w:id="967" w:name="_Toc430125293"/>
      <w:bookmarkStart w:id="968" w:name="_Toc430125401"/>
      <w:bookmarkStart w:id="969" w:name="_Toc395213507"/>
      <w:bookmarkStart w:id="970" w:name="_Toc396514864"/>
      <w:bookmarkStart w:id="971" w:name="_Toc396515156"/>
      <w:bookmarkStart w:id="972" w:name="_Toc402039457"/>
      <w:bookmarkStart w:id="973" w:name="_Toc403670719"/>
      <w:bookmarkStart w:id="974" w:name="_Toc403671455"/>
      <w:r w:rsidRPr="008A1DB4">
        <w:rPr>
          <w:spacing w:val="-2"/>
          <w:lang w:val="en-US"/>
        </w:rPr>
        <w:t>X</w:t>
      </w:r>
      <w:bookmarkEnd w:id="958"/>
      <w:bookmarkEnd w:id="959"/>
      <w:r w:rsidRPr="008A1DB4">
        <w:rPr>
          <w:spacing w:val="-2"/>
          <w:lang w:val="en-US"/>
        </w:rPr>
        <w:t>I</w:t>
      </w:r>
      <w:bookmarkEnd w:id="960"/>
      <w:bookmarkEnd w:id="961"/>
      <w:bookmarkEnd w:id="962"/>
      <w:bookmarkEnd w:id="963"/>
      <w:bookmarkEnd w:id="964"/>
      <w:bookmarkEnd w:id="965"/>
      <w:bookmarkEnd w:id="966"/>
      <w:bookmarkEnd w:id="967"/>
      <w:bookmarkEnd w:id="968"/>
    </w:p>
    <w:p w14:paraId="070C8554" w14:textId="147BE82E" w:rsidR="00601B3D" w:rsidRPr="008A1DB4" w:rsidRDefault="00851076" w:rsidP="00956E97">
      <w:pPr>
        <w:pStyle w:val="Title"/>
        <w:rPr>
          <w:spacing w:val="-2"/>
          <w:lang w:val="en-US"/>
        </w:rPr>
      </w:pPr>
      <w:bookmarkStart w:id="975" w:name="_Toc418074097"/>
      <w:bookmarkStart w:id="976" w:name="_Toc418503902"/>
      <w:bookmarkStart w:id="977" w:name="_Toc418912633"/>
      <w:bookmarkStart w:id="978" w:name="_Toc418912850"/>
      <w:bookmarkStart w:id="979" w:name="_Toc419394430"/>
      <w:bookmarkStart w:id="980" w:name="_Toc419394765"/>
      <w:bookmarkStart w:id="981" w:name="_Toc419469729"/>
      <w:bookmarkStart w:id="982" w:name="_Toc419470196"/>
      <w:bookmarkStart w:id="983" w:name="_Toc423359738"/>
      <w:bookmarkStart w:id="984" w:name="_Toc423361029"/>
      <w:bookmarkStart w:id="985" w:name="_Toc429490289"/>
      <w:bookmarkStart w:id="986" w:name="_Toc429503803"/>
      <w:bookmarkStart w:id="987" w:name="_Toc429503911"/>
      <w:bookmarkStart w:id="988" w:name="_Toc429504309"/>
      <w:bookmarkStart w:id="989" w:name="_Toc429504411"/>
      <w:bookmarkStart w:id="990" w:name="_Toc429678022"/>
      <w:bookmarkStart w:id="991" w:name="_Toc429678130"/>
      <w:bookmarkStart w:id="992" w:name="_Toc430017185"/>
      <w:bookmarkStart w:id="993" w:name="_Toc430017414"/>
      <w:bookmarkStart w:id="994" w:name="_Toc430017719"/>
      <w:bookmarkStart w:id="995" w:name="_Toc430018696"/>
      <w:bookmarkStart w:id="996" w:name="_Toc430125294"/>
      <w:bookmarkStart w:id="997" w:name="_Toc430125402"/>
      <w:bookmarkEnd w:id="969"/>
      <w:bookmarkEnd w:id="970"/>
      <w:bookmarkEnd w:id="971"/>
      <w:bookmarkEnd w:id="972"/>
      <w:bookmarkEnd w:id="973"/>
      <w:bookmarkEnd w:id="974"/>
      <w:r w:rsidRPr="008A1DB4">
        <w:rPr>
          <w:spacing w:val="-2"/>
          <w:lang w:val="en-US"/>
        </w:rPr>
        <w:t>RIGHTS TO PERSONAL LIBERTY AND</w:t>
      </w:r>
      <w:r w:rsidR="00601B3D" w:rsidRPr="008A1DB4">
        <w:rPr>
          <w:spacing w:val="-2"/>
          <w:lang w:val="en-US"/>
        </w:rPr>
        <w:t xml:space="preserve"> </w:t>
      </w:r>
      <w:r w:rsidR="00776D24" w:rsidRPr="008A1DB4">
        <w:rPr>
          <w:spacing w:val="-2"/>
          <w:lang w:val="en-US"/>
        </w:rPr>
        <w:t>PERSONAL INTEGRITY</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00262E0E" w:rsidRPr="008A1DB4">
        <w:rPr>
          <w:spacing w:val="-2"/>
          <w:lang w:val="en-US"/>
        </w:rPr>
        <w:t xml:space="preserve">, </w:t>
      </w:r>
      <w:r w:rsidR="00214593" w:rsidRPr="008A1DB4">
        <w:rPr>
          <w:spacing w:val="-2"/>
          <w:lang w:val="en-US"/>
        </w:rPr>
        <w:t>IN RELATION TO THE OBLIGATION TO RESPECT AND ENSURE RIGHTS</w:t>
      </w:r>
      <w:bookmarkEnd w:id="990"/>
      <w:bookmarkEnd w:id="991"/>
      <w:bookmarkEnd w:id="992"/>
      <w:bookmarkEnd w:id="993"/>
      <w:bookmarkEnd w:id="994"/>
      <w:bookmarkEnd w:id="995"/>
      <w:bookmarkEnd w:id="996"/>
      <w:bookmarkEnd w:id="997"/>
    </w:p>
    <w:p w14:paraId="0663AD5A" w14:textId="77777777" w:rsidR="00601B3D" w:rsidRPr="008A1DB4" w:rsidRDefault="00601B3D" w:rsidP="00956E97">
      <w:pPr>
        <w:rPr>
          <w:spacing w:val="-2"/>
          <w:lang w:val="en-US"/>
        </w:rPr>
      </w:pPr>
    </w:p>
    <w:p w14:paraId="38FE1443" w14:textId="791EA94F" w:rsidR="00601B3D" w:rsidRPr="008A1DB4" w:rsidRDefault="00A83D62" w:rsidP="00A83D62">
      <w:pPr>
        <w:pStyle w:val="PrrafodeSentencia"/>
        <w:rPr>
          <w:spacing w:val="-2"/>
          <w:lang w:val="en-US"/>
        </w:rPr>
      </w:pPr>
      <w:bookmarkStart w:id="998" w:name="_Ref375137748"/>
      <w:r w:rsidRPr="008A1DB4">
        <w:rPr>
          <w:spacing w:val="-2"/>
          <w:lang w:val="en-US"/>
        </w:rPr>
        <w:t>In previous cases,</w:t>
      </w:r>
      <w:r w:rsidR="00182E83" w:rsidRPr="008A1DB4">
        <w:rPr>
          <w:spacing w:val="-2"/>
          <w:lang w:val="en-US"/>
        </w:rPr>
        <w:t xml:space="preserve"> </w:t>
      </w:r>
      <w:r w:rsidR="00F36400" w:rsidRPr="008A1DB4">
        <w:rPr>
          <w:spacing w:val="-2"/>
          <w:lang w:val="en-US"/>
        </w:rPr>
        <w:t>this Court</w:t>
      </w:r>
      <w:r w:rsidR="00601B3D" w:rsidRPr="008A1DB4">
        <w:rPr>
          <w:spacing w:val="-2"/>
          <w:lang w:val="en-US"/>
        </w:rPr>
        <w:t xml:space="preserve"> </w:t>
      </w:r>
      <w:r w:rsidRPr="008A1DB4">
        <w:rPr>
          <w:spacing w:val="-2"/>
          <w:lang w:val="en-US"/>
        </w:rPr>
        <w:t>has referred, among other matters, to deprivations of liberty carried out as a preventive measure and as a punitive measure in the context of criminal proceedings before the ordinary</w:t>
      </w:r>
      <w:r w:rsidR="00601B3D" w:rsidRPr="008A1DB4">
        <w:rPr>
          <w:rStyle w:val="FootnoteReference"/>
          <w:spacing w:val="-2"/>
          <w:lang w:val="en-US"/>
        </w:rPr>
        <w:footnoteReference w:id="313"/>
      </w:r>
      <w:r w:rsidR="00601B3D" w:rsidRPr="008A1DB4">
        <w:rPr>
          <w:spacing w:val="-2"/>
          <w:lang w:val="en-US"/>
        </w:rPr>
        <w:t xml:space="preserve"> o</w:t>
      </w:r>
      <w:r w:rsidRPr="008A1DB4">
        <w:rPr>
          <w:spacing w:val="-2"/>
          <w:lang w:val="en-US"/>
        </w:rPr>
        <w:t>r the military jurisdiction,</w:t>
      </w:r>
      <w:r w:rsidR="00601B3D" w:rsidRPr="008A1DB4">
        <w:rPr>
          <w:rStyle w:val="FootnoteReference"/>
          <w:spacing w:val="-2"/>
          <w:lang w:val="en-US"/>
        </w:rPr>
        <w:footnoteReference w:id="314"/>
      </w:r>
      <w:r w:rsidRPr="008A1DB4">
        <w:rPr>
          <w:spacing w:val="-2"/>
          <w:lang w:val="en-US"/>
        </w:rPr>
        <w:t xml:space="preserve"> owing to an individual’s migratory situation,</w:t>
      </w:r>
      <w:r w:rsidR="00601B3D" w:rsidRPr="008A1DB4">
        <w:rPr>
          <w:rStyle w:val="FootnoteReference"/>
          <w:spacing w:val="-2"/>
          <w:lang w:val="en-US"/>
        </w:rPr>
        <w:footnoteReference w:id="315"/>
      </w:r>
      <w:r w:rsidRPr="008A1DB4">
        <w:rPr>
          <w:spacing w:val="-2"/>
          <w:lang w:val="en-US"/>
        </w:rPr>
        <w:t xml:space="preserve"> as well as to collective and planned detentions,</w:t>
      </w:r>
      <w:r w:rsidR="00601B3D" w:rsidRPr="008A1DB4">
        <w:rPr>
          <w:rStyle w:val="FootnoteReference"/>
          <w:spacing w:val="-2"/>
          <w:lang w:val="en-US"/>
        </w:rPr>
        <w:footnoteReference w:id="316"/>
      </w:r>
      <w:r w:rsidRPr="008A1DB4">
        <w:rPr>
          <w:spacing w:val="-2"/>
          <w:lang w:val="en-US"/>
        </w:rPr>
        <w:t xml:space="preserve"> and those carried out totally </w:t>
      </w:r>
      <w:r w:rsidR="006B70BB">
        <w:rPr>
          <w:spacing w:val="-2"/>
          <w:lang w:val="en-US"/>
        </w:rPr>
        <w:t>unlawful</w:t>
      </w:r>
      <w:r w:rsidRPr="008A1DB4">
        <w:rPr>
          <w:spacing w:val="-2"/>
          <w:lang w:val="en-US"/>
        </w:rPr>
        <w:t>ly, which</w:t>
      </w:r>
      <w:r w:rsidR="0047101B">
        <w:rPr>
          <w:spacing w:val="-2"/>
          <w:lang w:val="en-US"/>
        </w:rPr>
        <w:t xml:space="preserve"> constituted the first act in the perpetration of </w:t>
      </w:r>
      <w:r w:rsidRPr="008A1DB4">
        <w:rPr>
          <w:spacing w:val="-2"/>
          <w:lang w:val="en-US"/>
        </w:rPr>
        <w:t>extrajudicial execution</w:t>
      </w:r>
      <w:r w:rsidR="00601B3D" w:rsidRPr="008A1DB4">
        <w:rPr>
          <w:rStyle w:val="FootnoteReference"/>
          <w:spacing w:val="-2"/>
          <w:lang w:val="en-US"/>
        </w:rPr>
        <w:footnoteReference w:id="317"/>
      </w:r>
      <w:r w:rsidR="00601B3D" w:rsidRPr="008A1DB4">
        <w:rPr>
          <w:spacing w:val="-2"/>
          <w:lang w:val="en-US"/>
        </w:rPr>
        <w:t xml:space="preserve"> o</w:t>
      </w:r>
      <w:r w:rsidR="0047101B">
        <w:rPr>
          <w:spacing w:val="-2"/>
          <w:lang w:val="en-US"/>
        </w:rPr>
        <w:t xml:space="preserve">r </w:t>
      </w:r>
      <w:r w:rsidRPr="008A1DB4">
        <w:rPr>
          <w:spacing w:val="-2"/>
          <w:lang w:val="en-US"/>
        </w:rPr>
        <w:t>enforced disappearance.</w:t>
      </w:r>
      <w:r w:rsidR="00601B3D" w:rsidRPr="008A1DB4">
        <w:rPr>
          <w:rStyle w:val="FootnoteReference"/>
          <w:spacing w:val="-2"/>
          <w:lang w:val="en-US"/>
        </w:rPr>
        <w:footnoteReference w:id="318"/>
      </w:r>
      <w:r w:rsidRPr="008A1DB4">
        <w:rPr>
          <w:spacing w:val="-2"/>
          <w:lang w:val="en-US"/>
        </w:rPr>
        <w:t xml:space="preserve"> In this case, the holder of the rights whose situation is examined is an alien detained owing to the existence of an international warrant for his arrest and a subsequent extradition request. However, regardless of the reason for his detention, insofar as it relates to a deprivation of liberty executed by a State Party to the Convention, this deprivation of liberty must be strictly in keeping with the relevant provisions of the American Convention and domestic law, provided that the latter is compatible with </w:t>
      </w:r>
      <w:r w:rsidR="00F36400" w:rsidRPr="008A1DB4">
        <w:rPr>
          <w:spacing w:val="-2"/>
          <w:lang w:val="en-US"/>
        </w:rPr>
        <w:t>the Convention</w:t>
      </w:r>
      <w:r w:rsidR="00601B3D" w:rsidRPr="008A1DB4">
        <w:rPr>
          <w:spacing w:val="-2"/>
          <w:lang w:val="en-US"/>
        </w:rPr>
        <w:t>.</w:t>
      </w:r>
    </w:p>
    <w:p w14:paraId="065C1B85" w14:textId="77777777" w:rsidR="00601B3D" w:rsidRPr="008A1DB4" w:rsidRDefault="00601B3D" w:rsidP="00956E97">
      <w:pPr>
        <w:pStyle w:val="ListParagraph"/>
        <w:tabs>
          <w:tab w:val="left" w:pos="567"/>
        </w:tabs>
        <w:ind w:left="0"/>
        <w:contextualSpacing w:val="0"/>
        <w:rPr>
          <w:spacing w:val="-2"/>
          <w:szCs w:val="20"/>
          <w:lang w:val="en-US"/>
        </w:rPr>
      </w:pPr>
    </w:p>
    <w:p w14:paraId="1698743E" w14:textId="1BE7BC15" w:rsidR="00601B3D" w:rsidRPr="008A1DB4" w:rsidRDefault="00851076" w:rsidP="00956E97">
      <w:pPr>
        <w:pStyle w:val="PrrafodeSentencia"/>
        <w:rPr>
          <w:spacing w:val="-2"/>
          <w:lang w:val="en-US"/>
        </w:rPr>
      </w:pPr>
      <w:r w:rsidRPr="008A1DB4">
        <w:rPr>
          <w:spacing w:val="-2"/>
          <w:lang w:val="en-US"/>
        </w:rPr>
        <w:t>In this chapter,</w:t>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w:t>
      </w:r>
      <w:r w:rsidRPr="008A1DB4">
        <w:rPr>
          <w:spacing w:val="-2"/>
          <w:lang w:val="en-US"/>
        </w:rPr>
        <w:t xml:space="preserve">will examine separately each of the arguments presented </w:t>
      </w:r>
      <w:r w:rsidR="002B2E6F" w:rsidRPr="008A1DB4">
        <w:rPr>
          <w:spacing w:val="-2"/>
          <w:lang w:val="en-US"/>
        </w:rPr>
        <w:t>by the parties and</w:t>
      </w:r>
      <w:r w:rsidR="00F36400" w:rsidRPr="008A1DB4">
        <w:rPr>
          <w:spacing w:val="-2"/>
          <w:lang w:val="en-US"/>
        </w:rPr>
        <w:t xml:space="preserve"> the Commission</w:t>
      </w:r>
      <w:r w:rsidR="00601B3D" w:rsidRPr="008A1DB4">
        <w:rPr>
          <w:spacing w:val="-2"/>
          <w:lang w:val="en-US"/>
        </w:rPr>
        <w:t xml:space="preserve"> </w:t>
      </w:r>
      <w:r w:rsidRPr="008A1DB4">
        <w:rPr>
          <w:spacing w:val="-2"/>
          <w:lang w:val="en-US"/>
        </w:rPr>
        <w:t xml:space="preserve">in relation to the right to </w:t>
      </w:r>
      <w:r w:rsidR="00776D24" w:rsidRPr="008A1DB4">
        <w:rPr>
          <w:spacing w:val="-2"/>
          <w:lang w:val="en-US"/>
        </w:rPr>
        <w:t>personal liberty</w:t>
      </w:r>
      <w:r w:rsidR="00601B3D" w:rsidRPr="008A1DB4">
        <w:rPr>
          <w:spacing w:val="-2"/>
          <w:lang w:val="en-US"/>
        </w:rPr>
        <w:t xml:space="preserve">. </w:t>
      </w:r>
      <w:r w:rsidR="00F36400" w:rsidRPr="008A1DB4">
        <w:rPr>
          <w:spacing w:val="-2"/>
          <w:lang w:val="en-US"/>
        </w:rPr>
        <w:t>This Court</w:t>
      </w:r>
      <w:r w:rsidR="00601B3D" w:rsidRPr="008A1DB4">
        <w:rPr>
          <w:spacing w:val="-2"/>
          <w:lang w:val="en-US"/>
        </w:rPr>
        <w:t xml:space="preserve"> </w:t>
      </w:r>
      <w:r w:rsidRPr="008A1DB4">
        <w:rPr>
          <w:spacing w:val="-2"/>
          <w:lang w:val="en-US"/>
        </w:rPr>
        <w:t>recalls that</w:t>
      </w:r>
      <w:r w:rsidR="00601B3D" w:rsidRPr="008A1DB4">
        <w:rPr>
          <w:spacing w:val="-2"/>
          <w:lang w:val="en-US"/>
        </w:rPr>
        <w:t xml:space="preserve"> </w:t>
      </w:r>
      <w:r w:rsidR="00F36400" w:rsidRPr="008A1DB4">
        <w:rPr>
          <w:spacing w:val="-2"/>
          <w:lang w:val="en-US"/>
        </w:rPr>
        <w:t>Article</w:t>
      </w:r>
      <w:r w:rsidR="00601B3D" w:rsidRPr="008A1DB4">
        <w:rPr>
          <w:spacing w:val="-2"/>
          <w:lang w:val="en-US"/>
        </w:rPr>
        <w:t xml:space="preserve"> 7</w:t>
      </w:r>
      <w:r w:rsidR="00350431" w:rsidRPr="008A1DB4">
        <w:rPr>
          <w:rStyle w:val="FootnoteReference"/>
          <w:spacing w:val="-2"/>
          <w:lang w:val="en-US"/>
        </w:rPr>
        <w:footnoteReference w:id="319"/>
      </w:r>
      <w:r w:rsidR="00F36400" w:rsidRPr="008A1DB4">
        <w:rPr>
          <w:spacing w:val="-2"/>
          <w:lang w:val="en-US"/>
        </w:rPr>
        <w:t xml:space="preserve"> of the American Convention</w:t>
      </w:r>
      <w:r w:rsidR="00601B3D" w:rsidRPr="008A1DB4">
        <w:rPr>
          <w:spacing w:val="-2"/>
          <w:lang w:val="en-US"/>
        </w:rPr>
        <w:t xml:space="preserve"> </w:t>
      </w:r>
      <w:r w:rsidRPr="008A1DB4">
        <w:rPr>
          <w:spacing w:val="-2"/>
          <w:lang w:val="en-US"/>
        </w:rPr>
        <w:t xml:space="preserve">includes two distinct types of regulations, one general and </w:t>
      </w:r>
      <w:r w:rsidRPr="008A1DB4">
        <w:rPr>
          <w:spacing w:val="-2"/>
          <w:lang w:val="en-US"/>
        </w:rPr>
        <w:lastRenderedPageBreak/>
        <w:t>the other specific. The general one is found in the first paragraph</w:t>
      </w:r>
      <w:r w:rsidR="00601B3D" w:rsidRPr="008A1DB4">
        <w:rPr>
          <w:spacing w:val="-2"/>
          <w:lang w:val="en-US"/>
        </w:rPr>
        <w:t>: “</w:t>
      </w:r>
      <w:r w:rsidRPr="008A1DB4">
        <w:rPr>
          <w:spacing w:val="-2"/>
          <w:lang w:val="en-US"/>
        </w:rPr>
        <w:t xml:space="preserve">Every person has the right to personal liberty and security.” While the specific one consists of a series of guarantees that protect the right not to be deprived of liberty unlawfully </w:t>
      </w:r>
      <w:r w:rsidR="00601B3D" w:rsidRPr="008A1DB4">
        <w:rPr>
          <w:spacing w:val="-2"/>
          <w:lang w:val="en-US"/>
        </w:rPr>
        <w:t>(</w:t>
      </w:r>
      <w:r w:rsidRPr="008A1DB4">
        <w:rPr>
          <w:spacing w:val="-2"/>
          <w:lang w:val="en-US"/>
        </w:rPr>
        <w:t>Article 7(2)</w:t>
      </w:r>
      <w:r w:rsidR="00601B3D" w:rsidRPr="008A1DB4">
        <w:rPr>
          <w:spacing w:val="-2"/>
          <w:lang w:val="en-US"/>
        </w:rPr>
        <w:t>) o</w:t>
      </w:r>
      <w:r w:rsidRPr="008A1DB4">
        <w:rPr>
          <w:spacing w:val="-2"/>
          <w:lang w:val="en-US"/>
        </w:rPr>
        <w:t>r</w:t>
      </w:r>
      <w:r w:rsidR="00601B3D" w:rsidRPr="008A1DB4">
        <w:rPr>
          <w:spacing w:val="-2"/>
          <w:lang w:val="en-US"/>
        </w:rPr>
        <w:t xml:space="preserve"> arbitrari</w:t>
      </w:r>
      <w:r w:rsidRPr="008A1DB4">
        <w:rPr>
          <w:spacing w:val="-2"/>
          <w:lang w:val="en-US"/>
        </w:rPr>
        <w:t>ly</w:t>
      </w:r>
      <w:r w:rsidR="00601B3D" w:rsidRPr="008A1DB4">
        <w:rPr>
          <w:spacing w:val="-2"/>
          <w:lang w:val="en-US"/>
        </w:rPr>
        <w:t xml:space="preserve"> (</w:t>
      </w:r>
      <w:r w:rsidRPr="008A1DB4">
        <w:rPr>
          <w:spacing w:val="-2"/>
          <w:lang w:val="en-US"/>
        </w:rPr>
        <w:t>Article 7(3)</w:t>
      </w:r>
      <w:r w:rsidR="00601B3D" w:rsidRPr="008A1DB4">
        <w:rPr>
          <w:spacing w:val="-2"/>
          <w:lang w:val="en-US"/>
        </w:rPr>
        <w:t xml:space="preserve">), </w:t>
      </w:r>
      <w:r w:rsidRPr="008A1DB4">
        <w:rPr>
          <w:spacing w:val="-2"/>
          <w:lang w:val="en-US"/>
        </w:rPr>
        <w:t xml:space="preserve">to know the reasons for the detention and the charges brought against the detainee </w:t>
      </w:r>
      <w:r w:rsidR="00601B3D" w:rsidRPr="008A1DB4">
        <w:rPr>
          <w:spacing w:val="-2"/>
          <w:lang w:val="en-US"/>
        </w:rPr>
        <w:t>(</w:t>
      </w:r>
      <w:r w:rsidRPr="008A1DB4">
        <w:rPr>
          <w:spacing w:val="-2"/>
          <w:lang w:val="en-US"/>
        </w:rPr>
        <w:t>Article 7(4)</w:t>
      </w:r>
      <w:r w:rsidR="00601B3D" w:rsidRPr="008A1DB4">
        <w:rPr>
          <w:spacing w:val="-2"/>
          <w:lang w:val="en-US"/>
        </w:rPr>
        <w:t xml:space="preserve">), </w:t>
      </w:r>
      <w:r w:rsidRPr="008A1DB4">
        <w:rPr>
          <w:spacing w:val="-2"/>
          <w:lang w:val="en-US"/>
        </w:rPr>
        <w:t xml:space="preserve">to judicial control of the deprivation of liberty </w:t>
      </w:r>
      <w:r w:rsidR="00601B3D" w:rsidRPr="008A1DB4">
        <w:rPr>
          <w:spacing w:val="-2"/>
          <w:lang w:val="en-US"/>
        </w:rPr>
        <w:t>(</w:t>
      </w:r>
      <w:r w:rsidRPr="008A1DB4">
        <w:rPr>
          <w:spacing w:val="-2"/>
          <w:lang w:val="en-US"/>
        </w:rPr>
        <w:t>Article 7(5)</w:t>
      </w:r>
      <w:r w:rsidR="00601B3D" w:rsidRPr="008A1DB4">
        <w:rPr>
          <w:spacing w:val="-2"/>
          <w:lang w:val="en-US"/>
        </w:rPr>
        <w:t>)</w:t>
      </w:r>
      <w:r w:rsidR="00F36400" w:rsidRPr="008A1DB4">
        <w:rPr>
          <w:spacing w:val="-2"/>
          <w:lang w:val="en-US"/>
        </w:rPr>
        <w:t xml:space="preserve"> and </w:t>
      </w:r>
      <w:r w:rsidR="00F74C05">
        <w:rPr>
          <w:spacing w:val="-2"/>
          <w:lang w:val="en-US"/>
        </w:rPr>
        <w:t>to contest the lawfulness</w:t>
      </w:r>
      <w:r w:rsidRPr="008A1DB4">
        <w:rPr>
          <w:spacing w:val="-2"/>
          <w:lang w:val="en-US"/>
        </w:rPr>
        <w:t xml:space="preserve"> of the detention </w:t>
      </w:r>
      <w:r w:rsidR="00601B3D" w:rsidRPr="008A1DB4">
        <w:rPr>
          <w:spacing w:val="-2"/>
          <w:lang w:val="en-US"/>
        </w:rPr>
        <w:t>(</w:t>
      </w:r>
      <w:r w:rsidRPr="008A1DB4">
        <w:rPr>
          <w:spacing w:val="-2"/>
          <w:lang w:val="en-US"/>
        </w:rPr>
        <w:t>Article 7(6)</w:t>
      </w:r>
      <w:r w:rsidR="00601B3D" w:rsidRPr="008A1DB4">
        <w:rPr>
          <w:spacing w:val="-2"/>
          <w:lang w:val="en-US"/>
        </w:rPr>
        <w:t>)</w:t>
      </w:r>
      <w:r w:rsidR="0047101B">
        <w:rPr>
          <w:spacing w:val="-2"/>
          <w:lang w:val="en-US"/>
        </w:rPr>
        <w:t>.</w:t>
      </w:r>
      <w:r w:rsidR="00601B3D" w:rsidRPr="008A1DB4">
        <w:rPr>
          <w:rStyle w:val="FootnoteReference"/>
          <w:spacing w:val="-2"/>
          <w:lang w:val="en-US"/>
        </w:rPr>
        <w:footnoteReference w:id="320"/>
      </w:r>
      <w:r w:rsidR="00601B3D" w:rsidRPr="008A1DB4">
        <w:rPr>
          <w:spacing w:val="-2"/>
          <w:lang w:val="en-US"/>
        </w:rPr>
        <w:t xml:space="preserve"> </w:t>
      </w:r>
      <w:r w:rsidRPr="008A1DB4">
        <w:rPr>
          <w:spacing w:val="-2"/>
          <w:lang w:val="en-US"/>
        </w:rPr>
        <w:t>Any violation of paragraphs 2 to</w:t>
      </w:r>
      <w:r w:rsidR="00601B3D" w:rsidRPr="008A1DB4">
        <w:rPr>
          <w:spacing w:val="-2"/>
          <w:lang w:val="en-US"/>
        </w:rPr>
        <w:t xml:space="preserve"> 7 </w:t>
      </w:r>
      <w:r w:rsidR="0058668C" w:rsidRPr="008A1DB4">
        <w:rPr>
          <w:spacing w:val="-2"/>
          <w:lang w:val="en-US"/>
        </w:rPr>
        <w:t>of Article</w:t>
      </w:r>
      <w:r w:rsidR="00601B3D" w:rsidRPr="008A1DB4">
        <w:rPr>
          <w:spacing w:val="-2"/>
          <w:lang w:val="en-US"/>
        </w:rPr>
        <w:t xml:space="preserve"> 7</w:t>
      </w:r>
      <w:r w:rsidR="00F36400" w:rsidRPr="008A1DB4">
        <w:rPr>
          <w:spacing w:val="-2"/>
          <w:lang w:val="en-US"/>
        </w:rPr>
        <w:t xml:space="preserve"> of the Convention</w:t>
      </w:r>
      <w:r w:rsidR="00601B3D" w:rsidRPr="008A1DB4">
        <w:rPr>
          <w:spacing w:val="-2"/>
          <w:lang w:val="en-US"/>
        </w:rPr>
        <w:t xml:space="preserve"> </w:t>
      </w:r>
      <w:r w:rsidRPr="008A1DB4">
        <w:rPr>
          <w:spacing w:val="-2"/>
          <w:lang w:val="en-US"/>
        </w:rPr>
        <w:t>necessarily result</w:t>
      </w:r>
      <w:r w:rsidR="0047101B">
        <w:rPr>
          <w:spacing w:val="-2"/>
          <w:lang w:val="en-US"/>
        </w:rPr>
        <w:t>s</w:t>
      </w:r>
      <w:r w:rsidRPr="008A1DB4">
        <w:rPr>
          <w:spacing w:val="-2"/>
          <w:lang w:val="en-US"/>
        </w:rPr>
        <w:t xml:space="preserve"> in the violation of its Article 7(1).</w:t>
      </w:r>
      <w:r w:rsidR="00601B3D" w:rsidRPr="008A1DB4">
        <w:rPr>
          <w:rStyle w:val="FootnoteReference"/>
          <w:spacing w:val="-2"/>
          <w:lang w:val="en-US"/>
        </w:rPr>
        <w:footnoteReference w:id="321"/>
      </w:r>
      <w:bookmarkEnd w:id="998"/>
      <w:r w:rsidR="00601B3D" w:rsidRPr="008A1DB4">
        <w:rPr>
          <w:spacing w:val="-2"/>
          <w:lang w:val="en-US"/>
        </w:rPr>
        <w:t xml:space="preserve"> </w:t>
      </w:r>
    </w:p>
    <w:p w14:paraId="71B02777" w14:textId="77777777" w:rsidR="00601B3D" w:rsidRPr="008A1DB4" w:rsidRDefault="00601B3D" w:rsidP="00956E97">
      <w:pPr>
        <w:pStyle w:val="ListParagraph"/>
        <w:rPr>
          <w:spacing w:val="-2"/>
          <w:szCs w:val="20"/>
          <w:lang w:val="en-US"/>
        </w:rPr>
      </w:pPr>
    </w:p>
    <w:p w14:paraId="0DE7023C" w14:textId="44DADA37" w:rsidR="00601B3D" w:rsidRPr="008A1DB4" w:rsidRDefault="00851076" w:rsidP="00A83D62">
      <w:pPr>
        <w:pStyle w:val="PrrafodeSentencia"/>
        <w:rPr>
          <w:spacing w:val="-2"/>
          <w:lang w:val="en-US"/>
        </w:rPr>
      </w:pPr>
      <w:bookmarkStart w:id="999" w:name="_Ref428978553"/>
      <w:r w:rsidRPr="008A1DB4">
        <w:rPr>
          <w:spacing w:val="-2"/>
          <w:lang w:val="en-US"/>
        </w:rPr>
        <w:t>Article 7(2)</w:t>
      </w:r>
      <w:r w:rsidR="00F36400" w:rsidRPr="008A1DB4">
        <w:rPr>
          <w:spacing w:val="-2"/>
          <w:lang w:val="en-US"/>
        </w:rPr>
        <w:t xml:space="preserve"> of the American Convention</w:t>
      </w:r>
      <w:r w:rsidR="00601B3D" w:rsidRPr="008A1DB4">
        <w:rPr>
          <w:spacing w:val="-2"/>
          <w:lang w:val="en-US"/>
        </w:rPr>
        <w:t xml:space="preserve"> establ</w:t>
      </w:r>
      <w:r w:rsidR="00A83D62" w:rsidRPr="008A1DB4">
        <w:rPr>
          <w:spacing w:val="-2"/>
          <w:lang w:val="en-US"/>
        </w:rPr>
        <w:t>ishes that: “</w:t>
      </w:r>
      <w:r w:rsidR="00A83D62" w:rsidRPr="008A1DB4">
        <w:rPr>
          <w:spacing w:val="-3"/>
          <w:lang w:val="en-US"/>
        </w:rPr>
        <w:t>[n]o one shall be deprived of his physical liberty except for the reasons and under the conditions established beforehand by the Constitution of the State Party concerned or by a law established pursuant thereto</w:t>
      </w:r>
      <w:r w:rsidR="00A83D62" w:rsidRPr="008A1DB4">
        <w:rPr>
          <w:spacing w:val="-3"/>
          <w:sz w:val="16"/>
          <w:szCs w:val="16"/>
          <w:lang w:val="en-US"/>
        </w:rPr>
        <w:t>.</w:t>
      </w:r>
      <w:r w:rsidR="00A83D62" w:rsidRPr="008A1DB4">
        <w:rPr>
          <w:spacing w:val="-2"/>
          <w:lang w:val="en-US"/>
        </w:rPr>
        <w:t xml:space="preserve">” This Court has indicated that, in view of the </w:t>
      </w:r>
      <w:r w:rsidR="0079515C" w:rsidRPr="008A1DB4">
        <w:rPr>
          <w:spacing w:val="-2"/>
          <w:lang w:val="en-US"/>
        </w:rPr>
        <w:t>reference</w:t>
      </w:r>
      <w:r w:rsidR="00A83D62" w:rsidRPr="008A1DB4">
        <w:rPr>
          <w:spacing w:val="-2"/>
          <w:lang w:val="en-US"/>
        </w:rPr>
        <w:t xml:space="preserve"> to the Constitution and </w:t>
      </w:r>
      <w:r w:rsidR="0047101B">
        <w:rPr>
          <w:spacing w:val="-2"/>
          <w:lang w:val="en-US"/>
        </w:rPr>
        <w:t xml:space="preserve">“a law </w:t>
      </w:r>
      <w:r w:rsidR="00A83D62" w:rsidRPr="008A1DB4">
        <w:rPr>
          <w:spacing w:val="-2"/>
          <w:lang w:val="en-US"/>
        </w:rPr>
        <w:t xml:space="preserve">established pursuant thereto,” the examination of the observance of Article 7(2) of the Convention entails the analysis of compliance with the requirements </w:t>
      </w:r>
      <w:r w:rsidR="0047101B">
        <w:rPr>
          <w:spacing w:val="-2"/>
          <w:lang w:val="en-US"/>
        </w:rPr>
        <w:t xml:space="preserve">established </w:t>
      </w:r>
      <w:r w:rsidR="00A83D62" w:rsidRPr="008A1DB4">
        <w:rPr>
          <w:spacing w:val="-2"/>
          <w:lang w:val="en-US"/>
        </w:rPr>
        <w:t xml:space="preserve">as specifically as possible and “beforehand” in the said laws as regards the “reasons” for and the “conditions” of the deprivation of physical liberty. If the domestic law is not </w:t>
      </w:r>
      <w:proofErr w:type="gramStart"/>
      <w:r w:rsidR="00A83D62" w:rsidRPr="008A1DB4">
        <w:rPr>
          <w:spacing w:val="-2"/>
          <w:lang w:val="en-US"/>
        </w:rPr>
        <w:t>observed,</w:t>
      </w:r>
      <w:proofErr w:type="gramEnd"/>
      <w:r w:rsidR="00A83D62" w:rsidRPr="008A1DB4">
        <w:rPr>
          <w:spacing w:val="-2"/>
          <w:lang w:val="en-US"/>
        </w:rPr>
        <w:t xml:space="preserve"> both materially and formally, when depriving an individual of his liberty, this deprivation will be unlawful and contrary to </w:t>
      </w:r>
      <w:r w:rsidR="00F36400" w:rsidRPr="008A1DB4">
        <w:rPr>
          <w:spacing w:val="-2"/>
          <w:lang w:val="en-US"/>
        </w:rPr>
        <w:t>the American Convention</w:t>
      </w:r>
      <w:r w:rsidR="00601B3D" w:rsidRPr="008A1DB4">
        <w:rPr>
          <w:rStyle w:val="FootnoteReference"/>
          <w:spacing w:val="-2"/>
          <w:lang w:val="en-US"/>
        </w:rPr>
        <w:footnoteReference w:id="322"/>
      </w:r>
      <w:r w:rsidR="00601B3D" w:rsidRPr="008A1DB4">
        <w:rPr>
          <w:spacing w:val="-2"/>
          <w:lang w:val="en-US"/>
        </w:rPr>
        <w:t xml:space="preserve"> </w:t>
      </w:r>
      <w:r w:rsidRPr="008A1DB4">
        <w:rPr>
          <w:spacing w:val="-2"/>
          <w:lang w:val="en-US"/>
        </w:rPr>
        <w:t>in light</w:t>
      </w:r>
      <w:r w:rsidR="00601B3D" w:rsidRPr="008A1DB4">
        <w:rPr>
          <w:spacing w:val="-2"/>
          <w:lang w:val="en-US"/>
        </w:rPr>
        <w:t xml:space="preserve"> </w:t>
      </w:r>
      <w:r w:rsidR="0058668C" w:rsidRPr="008A1DB4">
        <w:rPr>
          <w:spacing w:val="-2"/>
          <w:lang w:val="en-US"/>
        </w:rPr>
        <w:t xml:space="preserve">of </w:t>
      </w:r>
      <w:r w:rsidRPr="008A1DB4">
        <w:rPr>
          <w:spacing w:val="-2"/>
          <w:lang w:val="en-US"/>
        </w:rPr>
        <w:t>Article 7(2)</w:t>
      </w:r>
      <w:r w:rsidR="00601B3D" w:rsidRPr="008A1DB4">
        <w:rPr>
          <w:spacing w:val="-2"/>
          <w:lang w:val="en-US"/>
        </w:rPr>
        <w:t>.</w:t>
      </w:r>
      <w:bookmarkEnd w:id="999"/>
      <w:r w:rsidR="00601B3D" w:rsidRPr="008A1DB4">
        <w:rPr>
          <w:spacing w:val="-2"/>
          <w:lang w:val="en-US"/>
        </w:rPr>
        <w:t xml:space="preserve"> </w:t>
      </w:r>
    </w:p>
    <w:p w14:paraId="724D70F7" w14:textId="77777777" w:rsidR="00601B3D" w:rsidRPr="008A1DB4" w:rsidRDefault="00601B3D" w:rsidP="00956E97">
      <w:pPr>
        <w:pStyle w:val="ListParagraph"/>
        <w:rPr>
          <w:spacing w:val="-2"/>
          <w:szCs w:val="20"/>
          <w:lang w:val="en-US"/>
        </w:rPr>
      </w:pPr>
    </w:p>
    <w:p w14:paraId="1FF3A446" w14:textId="07A5EBD7" w:rsidR="00601B3D" w:rsidRPr="008A1DB4" w:rsidRDefault="00A83D62" w:rsidP="00A83D62">
      <w:pPr>
        <w:pStyle w:val="PrrafodeSentencia"/>
        <w:rPr>
          <w:spacing w:val="-2"/>
          <w:lang w:val="en-US"/>
        </w:rPr>
      </w:pPr>
      <w:bookmarkStart w:id="1000" w:name="_Ref428970414"/>
      <w:r w:rsidRPr="006B70BB">
        <w:rPr>
          <w:spacing w:val="-2"/>
          <w:lang w:val="en-US"/>
        </w:rPr>
        <w:t>With regard to the arbitrariness</w:t>
      </w:r>
      <w:r w:rsidRPr="008A1DB4">
        <w:rPr>
          <w:spacing w:val="-2"/>
          <w:lang w:val="en-US"/>
        </w:rPr>
        <w:t xml:space="preserve"> referred to in</w:t>
      </w:r>
      <w:r w:rsidR="00601B3D" w:rsidRPr="008A1DB4">
        <w:rPr>
          <w:spacing w:val="-2"/>
          <w:lang w:val="en-US"/>
        </w:rPr>
        <w:t xml:space="preserve"> </w:t>
      </w:r>
      <w:r w:rsidR="00851076" w:rsidRPr="008A1DB4">
        <w:rPr>
          <w:spacing w:val="-2"/>
          <w:lang w:val="en-US"/>
        </w:rPr>
        <w:t>Article 7(3)</w:t>
      </w:r>
      <w:r w:rsidR="00F36400" w:rsidRPr="008A1DB4">
        <w:rPr>
          <w:spacing w:val="-2"/>
          <w:lang w:val="en-US"/>
        </w:rPr>
        <w:t xml:space="preserve"> of the Convention</w:t>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ha</w:t>
      </w:r>
      <w:r w:rsidRPr="008A1DB4">
        <w:rPr>
          <w:spacing w:val="-2"/>
          <w:lang w:val="en-US"/>
        </w:rPr>
        <w:t xml:space="preserve">s established that no one may be detained or imprisoned for reasons and by methods that – although </w:t>
      </w:r>
      <w:r w:rsidR="0079515C" w:rsidRPr="008A1DB4">
        <w:rPr>
          <w:spacing w:val="-2"/>
          <w:lang w:val="en-US"/>
        </w:rPr>
        <w:t>classified</w:t>
      </w:r>
      <w:r w:rsidR="006B70BB">
        <w:rPr>
          <w:spacing w:val="-2"/>
          <w:lang w:val="en-US"/>
        </w:rPr>
        <w:t xml:space="preserve"> as lawfu</w:t>
      </w:r>
      <w:r w:rsidRPr="008A1DB4">
        <w:rPr>
          <w:spacing w:val="-2"/>
          <w:lang w:val="en-US"/>
        </w:rPr>
        <w:t xml:space="preserve">l – may be considered incompatible with respect for the fundamental rights of the individual because, among other matters, they are unreasonable, </w:t>
      </w:r>
      <w:r w:rsidR="0079515C">
        <w:rPr>
          <w:spacing w:val="-2"/>
          <w:lang w:val="en-US"/>
        </w:rPr>
        <w:t>unpredictable</w:t>
      </w:r>
      <w:r w:rsidRPr="008A1DB4">
        <w:rPr>
          <w:spacing w:val="-2"/>
          <w:lang w:val="en-US"/>
        </w:rPr>
        <w:t>, or disproportionate.</w:t>
      </w:r>
      <w:r w:rsidR="00601B3D" w:rsidRPr="008A1DB4">
        <w:rPr>
          <w:rStyle w:val="FootnoteReference"/>
          <w:spacing w:val="-2"/>
          <w:lang w:val="en-US"/>
        </w:rPr>
        <w:footnoteReference w:id="323"/>
      </w:r>
      <w:r w:rsidRPr="008A1DB4">
        <w:rPr>
          <w:spacing w:val="-2"/>
          <w:lang w:val="en-US"/>
        </w:rPr>
        <w:t xml:space="preserve"> Thus, the arbitrariness referred to in </w:t>
      </w:r>
      <w:r w:rsidR="00851076" w:rsidRPr="008A1DB4">
        <w:rPr>
          <w:spacing w:val="-2"/>
          <w:lang w:val="en-US"/>
        </w:rPr>
        <w:t>Article 7(3)</w:t>
      </w:r>
      <w:r w:rsidR="00601B3D" w:rsidRPr="008A1DB4">
        <w:rPr>
          <w:spacing w:val="-2"/>
          <w:lang w:val="en-US"/>
        </w:rPr>
        <w:t xml:space="preserve"> </w:t>
      </w:r>
      <w:r w:rsidRPr="008A1DB4">
        <w:rPr>
          <w:spacing w:val="-2"/>
          <w:lang w:val="en-US"/>
        </w:rPr>
        <w:t>of the Convention has its own legal content, which must be analyzed only in the cases of detentions that are considered lawful.</w:t>
      </w:r>
      <w:r w:rsidR="00601B3D" w:rsidRPr="008A1DB4">
        <w:rPr>
          <w:rStyle w:val="FootnoteReference"/>
          <w:spacing w:val="-2"/>
          <w:lang w:val="en-US"/>
        </w:rPr>
        <w:footnoteReference w:id="324"/>
      </w:r>
      <w:r w:rsidR="00601B3D" w:rsidRPr="008A1DB4">
        <w:rPr>
          <w:spacing w:val="-2"/>
          <w:lang w:val="en-US"/>
        </w:rPr>
        <w:t xml:space="preserve"> </w:t>
      </w:r>
      <w:r w:rsidRPr="008A1DB4">
        <w:rPr>
          <w:spacing w:val="-2"/>
          <w:lang w:val="en-US"/>
        </w:rPr>
        <w:t xml:space="preserve">Nevertheless, the domestic law, the applicable procedure, and the relevant general express or tacit principles must, in themselves, be compatible with </w:t>
      </w:r>
      <w:r w:rsidR="00F36400" w:rsidRPr="008A1DB4">
        <w:rPr>
          <w:spacing w:val="-2"/>
          <w:lang w:val="en-US"/>
        </w:rPr>
        <w:t>the Convention</w:t>
      </w:r>
      <w:r w:rsidRPr="008A1DB4">
        <w:rPr>
          <w:spacing w:val="-2"/>
          <w:lang w:val="en-US"/>
        </w:rPr>
        <w:t>.</w:t>
      </w:r>
      <w:r w:rsidR="00601B3D" w:rsidRPr="008A1DB4">
        <w:rPr>
          <w:rStyle w:val="FootnoteReference"/>
          <w:spacing w:val="-2"/>
          <w:lang w:val="en-US"/>
        </w:rPr>
        <w:footnoteReference w:id="325"/>
      </w:r>
      <w:r w:rsidRPr="008A1DB4">
        <w:rPr>
          <w:spacing w:val="-2"/>
          <w:lang w:val="en-US"/>
        </w:rPr>
        <w:t xml:space="preserve"> Thus, the concept of </w:t>
      </w:r>
      <w:r w:rsidRPr="008A1DB4">
        <w:rPr>
          <w:spacing w:val="-2"/>
          <w:lang w:val="en-US"/>
        </w:rPr>
        <w:lastRenderedPageBreak/>
        <w:t>“arbitrariness” should not be equated to “</w:t>
      </w:r>
      <w:r w:rsidR="0079515C" w:rsidRPr="008A1DB4">
        <w:rPr>
          <w:spacing w:val="-2"/>
          <w:lang w:val="en-US"/>
        </w:rPr>
        <w:t>contrary</w:t>
      </w:r>
      <w:r w:rsidRPr="008A1DB4">
        <w:rPr>
          <w:spacing w:val="-2"/>
          <w:lang w:val="en-US"/>
        </w:rPr>
        <w:t xml:space="preserve"> to the law,” but should be interpreted more broadly in order to include elements of impropriety, injustice and </w:t>
      </w:r>
      <w:r w:rsidR="0079515C">
        <w:rPr>
          <w:spacing w:val="-2"/>
          <w:lang w:val="en-US"/>
        </w:rPr>
        <w:t>unpredictability</w:t>
      </w:r>
      <w:r w:rsidRPr="008A1DB4">
        <w:rPr>
          <w:spacing w:val="-2"/>
          <w:lang w:val="en-US"/>
        </w:rPr>
        <w:t>.</w:t>
      </w:r>
      <w:r w:rsidR="00601B3D" w:rsidRPr="008A1DB4">
        <w:rPr>
          <w:rStyle w:val="FootnoteReference"/>
          <w:spacing w:val="-2"/>
          <w:lang w:val="en-US"/>
        </w:rPr>
        <w:footnoteReference w:id="326"/>
      </w:r>
      <w:bookmarkEnd w:id="1000"/>
    </w:p>
    <w:p w14:paraId="60F1E4AC" w14:textId="77777777" w:rsidR="00601B3D" w:rsidRPr="008A1DB4" w:rsidRDefault="00601B3D" w:rsidP="00956E97">
      <w:pPr>
        <w:pStyle w:val="ListParagraph"/>
        <w:tabs>
          <w:tab w:val="left" w:pos="567"/>
        </w:tabs>
        <w:ind w:left="0"/>
        <w:contextualSpacing w:val="0"/>
        <w:rPr>
          <w:spacing w:val="-2"/>
          <w:szCs w:val="20"/>
          <w:lang w:val="en-US"/>
        </w:rPr>
      </w:pPr>
    </w:p>
    <w:p w14:paraId="3ADE931F" w14:textId="651738FC" w:rsidR="00601B3D" w:rsidRPr="008A1DB4" w:rsidRDefault="00851076" w:rsidP="00956E97">
      <w:pPr>
        <w:pStyle w:val="PrrafodeSentencia"/>
        <w:rPr>
          <w:spacing w:val="-2"/>
          <w:lang w:val="en-US"/>
        </w:rPr>
      </w:pPr>
      <w:bookmarkStart w:id="1001" w:name="_Ref417424628"/>
      <w:r w:rsidRPr="008A1DB4">
        <w:rPr>
          <w:spacing w:val="-2"/>
          <w:lang w:val="en-US"/>
        </w:rPr>
        <w:t>Article 9 of the Extradition T</w:t>
      </w:r>
      <w:r w:rsidR="00FE5E87" w:rsidRPr="008A1DB4">
        <w:rPr>
          <w:spacing w:val="-2"/>
          <w:lang w:val="en-US"/>
        </w:rPr>
        <w:t>reaty between</w:t>
      </w:r>
      <w:r w:rsidR="00601B3D" w:rsidRPr="008A1DB4">
        <w:rPr>
          <w:spacing w:val="-2"/>
          <w:lang w:val="en-US"/>
        </w:rPr>
        <w:t xml:space="preserve"> China</w:t>
      </w:r>
      <w:r w:rsidR="00F36400" w:rsidRPr="008A1DB4">
        <w:rPr>
          <w:spacing w:val="-2"/>
          <w:lang w:val="en-US"/>
        </w:rPr>
        <w:t xml:space="preserve"> and </w:t>
      </w:r>
      <w:r w:rsidR="00FE5E87" w:rsidRPr="008A1DB4">
        <w:rPr>
          <w:spacing w:val="-2"/>
          <w:lang w:val="en-US"/>
        </w:rPr>
        <w:t>Peru</w:t>
      </w:r>
      <w:r w:rsidR="00601B3D" w:rsidRPr="008A1DB4">
        <w:rPr>
          <w:spacing w:val="-2"/>
          <w:lang w:val="en-US"/>
        </w:rPr>
        <w:t xml:space="preserve"> </w:t>
      </w:r>
      <w:r w:rsidRPr="008A1DB4">
        <w:rPr>
          <w:spacing w:val="-2"/>
          <w:lang w:val="en-US"/>
        </w:rPr>
        <w:t>establishes</w:t>
      </w:r>
      <w:r w:rsidR="00601B3D" w:rsidRPr="008A1DB4">
        <w:rPr>
          <w:spacing w:val="-2"/>
          <w:lang w:val="en-US"/>
        </w:rPr>
        <w:t>:</w:t>
      </w:r>
      <w:bookmarkEnd w:id="1001"/>
    </w:p>
    <w:p w14:paraId="07BED0AD" w14:textId="77777777" w:rsidR="00601B3D" w:rsidRPr="008A1DB4" w:rsidRDefault="00601B3D" w:rsidP="00956E97">
      <w:pPr>
        <w:widowControl w:val="0"/>
        <w:autoSpaceDE w:val="0"/>
        <w:autoSpaceDN w:val="0"/>
        <w:adjustRightInd w:val="0"/>
        <w:ind w:right="720"/>
        <w:rPr>
          <w:rFonts w:cs="Callibri"/>
          <w:spacing w:val="-2"/>
          <w:sz w:val="18"/>
          <w:szCs w:val="18"/>
          <w:lang w:val="en-US" w:bidi="en-US"/>
        </w:rPr>
      </w:pPr>
    </w:p>
    <w:p w14:paraId="3E582A1B" w14:textId="5704F76F" w:rsidR="00601B3D" w:rsidRPr="008A1DB4" w:rsidRDefault="00E674E2" w:rsidP="00956E97">
      <w:pPr>
        <w:widowControl w:val="0"/>
        <w:autoSpaceDE w:val="0"/>
        <w:autoSpaceDN w:val="0"/>
        <w:adjustRightInd w:val="0"/>
        <w:ind w:left="567" w:right="645"/>
        <w:rPr>
          <w:rFonts w:cs="Callibri"/>
          <w:spacing w:val="-2"/>
          <w:sz w:val="18"/>
          <w:szCs w:val="18"/>
          <w:lang w:val="en-US" w:bidi="en-US"/>
        </w:rPr>
      </w:pPr>
      <w:r w:rsidRPr="008A1DB4">
        <w:rPr>
          <w:rFonts w:cs="Callibri"/>
          <w:spacing w:val="-2"/>
          <w:sz w:val="18"/>
          <w:szCs w:val="18"/>
          <w:lang w:val="en-US" w:bidi="en-US"/>
        </w:rPr>
        <w:t>Preventive detention</w:t>
      </w:r>
    </w:p>
    <w:p w14:paraId="57541C8F" w14:textId="77777777" w:rsidR="00601B3D" w:rsidRPr="008A1DB4" w:rsidRDefault="00601B3D" w:rsidP="00956E97">
      <w:pPr>
        <w:widowControl w:val="0"/>
        <w:autoSpaceDE w:val="0"/>
        <w:autoSpaceDN w:val="0"/>
        <w:adjustRightInd w:val="0"/>
        <w:ind w:left="567" w:right="645"/>
        <w:rPr>
          <w:rFonts w:cs="Callibri"/>
          <w:spacing w:val="-2"/>
          <w:sz w:val="18"/>
          <w:szCs w:val="18"/>
          <w:lang w:val="en-US" w:bidi="en-US"/>
        </w:rPr>
      </w:pPr>
    </w:p>
    <w:p w14:paraId="1051FFC2" w14:textId="7BD5B3E2" w:rsidR="00436A94" w:rsidRPr="008A1DB4" w:rsidRDefault="00436A94" w:rsidP="00956E97">
      <w:pPr>
        <w:widowControl w:val="0"/>
        <w:autoSpaceDE w:val="0"/>
        <w:autoSpaceDN w:val="0"/>
        <w:adjustRightInd w:val="0"/>
        <w:ind w:left="567" w:right="645"/>
        <w:rPr>
          <w:rFonts w:cs="Callibri"/>
          <w:spacing w:val="-2"/>
          <w:sz w:val="18"/>
          <w:szCs w:val="18"/>
          <w:lang w:val="en-US" w:bidi="en-US"/>
        </w:rPr>
      </w:pPr>
      <w:r w:rsidRPr="008A1DB4">
        <w:rPr>
          <w:rFonts w:cs="Callibri"/>
          <w:spacing w:val="-2"/>
          <w:sz w:val="18"/>
          <w:szCs w:val="18"/>
          <w:lang w:val="en-US" w:bidi="en-US"/>
        </w:rPr>
        <w:t xml:space="preserve">1. </w:t>
      </w:r>
      <w:r w:rsidR="00A83D62" w:rsidRPr="008A1DB4">
        <w:rPr>
          <w:rFonts w:cs="Callibri"/>
          <w:spacing w:val="-2"/>
          <w:sz w:val="18"/>
          <w:szCs w:val="18"/>
          <w:lang w:val="en-US" w:bidi="en-US"/>
        </w:rPr>
        <w:t xml:space="preserve">In urgent cases, before the presentation </w:t>
      </w:r>
      <w:r w:rsidR="00671326" w:rsidRPr="008A1DB4">
        <w:rPr>
          <w:rFonts w:cs="Callibri"/>
          <w:spacing w:val="-2"/>
          <w:sz w:val="18"/>
          <w:szCs w:val="18"/>
          <w:lang w:val="en-US" w:bidi="en-US"/>
        </w:rPr>
        <w:t xml:space="preserve">of the </w:t>
      </w:r>
      <w:r w:rsidR="00087CF8" w:rsidRPr="008A1DB4">
        <w:rPr>
          <w:rFonts w:cs="Callibri"/>
          <w:spacing w:val="-2"/>
          <w:sz w:val="18"/>
          <w:szCs w:val="18"/>
          <w:lang w:val="en-US" w:bidi="en-US"/>
        </w:rPr>
        <w:t>extradition request</w:t>
      </w:r>
      <w:r w:rsidR="00601B3D" w:rsidRPr="008A1DB4">
        <w:rPr>
          <w:rFonts w:cs="Callibri"/>
          <w:spacing w:val="-2"/>
          <w:sz w:val="18"/>
          <w:szCs w:val="18"/>
          <w:lang w:val="en-US" w:bidi="en-US"/>
        </w:rPr>
        <w:t xml:space="preserve">, </w:t>
      </w:r>
      <w:r w:rsidR="00A83D62" w:rsidRPr="008A1DB4">
        <w:rPr>
          <w:rFonts w:cs="Callibri"/>
          <w:spacing w:val="-2"/>
          <w:sz w:val="18"/>
          <w:szCs w:val="18"/>
          <w:lang w:val="en-US" w:bidi="en-US"/>
        </w:rPr>
        <w:t>the Requesting Party</w:t>
      </w:r>
      <w:r w:rsidR="00601B3D" w:rsidRPr="008A1DB4">
        <w:rPr>
          <w:rFonts w:cs="Callibri"/>
          <w:spacing w:val="-2"/>
          <w:sz w:val="18"/>
          <w:szCs w:val="18"/>
          <w:lang w:val="en-US" w:bidi="en-US"/>
        </w:rPr>
        <w:t xml:space="preserve"> </w:t>
      </w:r>
      <w:r w:rsidR="00A83D62" w:rsidRPr="008A1DB4">
        <w:rPr>
          <w:rFonts w:cs="Callibri"/>
          <w:spacing w:val="-2"/>
          <w:sz w:val="18"/>
          <w:szCs w:val="18"/>
          <w:lang w:val="en-US" w:bidi="en-US"/>
        </w:rPr>
        <w:t>may require the p</w:t>
      </w:r>
      <w:r w:rsidR="00E674E2" w:rsidRPr="008A1DB4">
        <w:rPr>
          <w:rFonts w:cs="Callibri"/>
          <w:spacing w:val="-2"/>
          <w:sz w:val="18"/>
          <w:szCs w:val="18"/>
          <w:lang w:val="en-US" w:bidi="en-US"/>
        </w:rPr>
        <w:t>reventive detention</w:t>
      </w:r>
      <w:r w:rsidR="00601B3D" w:rsidRPr="008A1DB4">
        <w:rPr>
          <w:rFonts w:cs="Callibri"/>
          <w:spacing w:val="-2"/>
          <w:sz w:val="18"/>
          <w:szCs w:val="18"/>
          <w:lang w:val="en-US" w:bidi="en-US"/>
        </w:rPr>
        <w:t xml:space="preserve"> </w:t>
      </w:r>
      <w:r w:rsidR="00A83D62" w:rsidRPr="008A1DB4">
        <w:rPr>
          <w:rFonts w:cs="Callibri"/>
          <w:spacing w:val="-2"/>
          <w:sz w:val="18"/>
          <w:szCs w:val="18"/>
          <w:lang w:val="en-US" w:bidi="en-US"/>
        </w:rPr>
        <w:t xml:space="preserve">of the person </w:t>
      </w:r>
      <w:r w:rsidR="005C0331" w:rsidRPr="008A1DB4">
        <w:rPr>
          <w:rFonts w:cs="Callibri"/>
          <w:spacing w:val="-2"/>
          <w:sz w:val="18"/>
          <w:szCs w:val="18"/>
          <w:lang w:val="en-US" w:bidi="en-US"/>
        </w:rPr>
        <w:t>sought. This request may be submitted in writing using the channels stipulated in a</w:t>
      </w:r>
      <w:r w:rsidR="00F36400" w:rsidRPr="008A1DB4">
        <w:rPr>
          <w:rFonts w:cs="Callibri"/>
          <w:spacing w:val="-2"/>
          <w:sz w:val="18"/>
          <w:szCs w:val="18"/>
          <w:lang w:val="en-US" w:bidi="en-US"/>
        </w:rPr>
        <w:t>rticle</w:t>
      </w:r>
      <w:r w:rsidR="0079515C">
        <w:rPr>
          <w:rFonts w:cs="Callibri"/>
          <w:spacing w:val="-2"/>
          <w:sz w:val="18"/>
          <w:szCs w:val="18"/>
          <w:lang w:val="en-US" w:bidi="en-US"/>
        </w:rPr>
        <w:t xml:space="preserve"> 6 </w:t>
      </w:r>
      <w:r w:rsidR="005C0331" w:rsidRPr="008A1DB4">
        <w:rPr>
          <w:rFonts w:cs="Callibri"/>
          <w:spacing w:val="-2"/>
          <w:sz w:val="18"/>
          <w:szCs w:val="18"/>
          <w:lang w:val="en-US" w:bidi="en-US"/>
        </w:rPr>
        <w:t xml:space="preserve">of this Treaty, the International Criminal Police Organization </w:t>
      </w:r>
      <w:r w:rsidR="00601B3D" w:rsidRPr="008A1DB4">
        <w:rPr>
          <w:rFonts w:cs="Callibri"/>
          <w:spacing w:val="-2"/>
          <w:sz w:val="18"/>
          <w:szCs w:val="18"/>
          <w:lang w:val="en-US" w:bidi="en-US"/>
        </w:rPr>
        <w:t>(</w:t>
      </w:r>
      <w:r w:rsidR="006B70BB">
        <w:rPr>
          <w:rFonts w:cs="Callibri"/>
          <w:spacing w:val="-2"/>
          <w:sz w:val="18"/>
          <w:szCs w:val="18"/>
          <w:lang w:val="en-US" w:bidi="en-US"/>
        </w:rPr>
        <w:t xml:space="preserve">ICPO-INTERPOL), </w:t>
      </w:r>
      <w:r w:rsidR="005C0331" w:rsidRPr="008A1DB4">
        <w:rPr>
          <w:rFonts w:cs="Callibri"/>
          <w:spacing w:val="-2"/>
          <w:sz w:val="18"/>
          <w:szCs w:val="18"/>
          <w:lang w:val="en-US" w:bidi="en-US"/>
        </w:rPr>
        <w:t>or other channels agreed between the Parties.</w:t>
      </w:r>
    </w:p>
    <w:p w14:paraId="435C7DAA" w14:textId="77777777" w:rsidR="00436A94" w:rsidRPr="008A1DB4" w:rsidRDefault="00436A94" w:rsidP="00956E97">
      <w:pPr>
        <w:ind w:left="567" w:right="645"/>
        <w:rPr>
          <w:spacing w:val="-2"/>
          <w:sz w:val="18"/>
          <w:szCs w:val="18"/>
          <w:lang w:val="en-US" w:bidi="en-US"/>
        </w:rPr>
      </w:pPr>
    </w:p>
    <w:p w14:paraId="50D8701E" w14:textId="34CD7ADC" w:rsidR="00601B3D" w:rsidRPr="008A1DB4" w:rsidRDefault="00601B3D" w:rsidP="00956E97">
      <w:pPr>
        <w:ind w:left="567" w:right="645"/>
        <w:rPr>
          <w:spacing w:val="-2"/>
          <w:sz w:val="18"/>
          <w:szCs w:val="18"/>
          <w:lang w:val="en-US" w:bidi="en-US"/>
        </w:rPr>
      </w:pPr>
      <w:r w:rsidRPr="008A1DB4">
        <w:rPr>
          <w:spacing w:val="-2"/>
          <w:sz w:val="18"/>
          <w:szCs w:val="18"/>
          <w:lang w:val="en-US" w:bidi="en-US"/>
        </w:rPr>
        <w:t>[…]</w:t>
      </w:r>
    </w:p>
    <w:p w14:paraId="1A520465" w14:textId="77777777" w:rsidR="00601B3D" w:rsidRPr="008A1DB4" w:rsidRDefault="00601B3D" w:rsidP="00956E97">
      <w:pPr>
        <w:widowControl w:val="0"/>
        <w:autoSpaceDE w:val="0"/>
        <w:autoSpaceDN w:val="0"/>
        <w:adjustRightInd w:val="0"/>
        <w:ind w:left="567" w:right="645"/>
        <w:rPr>
          <w:rFonts w:cs="Callibri"/>
          <w:spacing w:val="-2"/>
          <w:sz w:val="18"/>
          <w:szCs w:val="18"/>
          <w:lang w:val="en-US" w:bidi="en-US"/>
        </w:rPr>
      </w:pPr>
    </w:p>
    <w:p w14:paraId="577F53D5" w14:textId="79D36EBC" w:rsidR="00601B3D" w:rsidRPr="008A1DB4" w:rsidRDefault="00E674E2" w:rsidP="00956E97">
      <w:pPr>
        <w:widowControl w:val="0"/>
        <w:autoSpaceDE w:val="0"/>
        <w:autoSpaceDN w:val="0"/>
        <w:adjustRightInd w:val="0"/>
        <w:ind w:left="567" w:right="645"/>
        <w:rPr>
          <w:rFonts w:cs="Callibri"/>
          <w:spacing w:val="-2"/>
          <w:sz w:val="18"/>
          <w:szCs w:val="18"/>
          <w:lang w:val="en-US" w:bidi="en-US"/>
        </w:rPr>
      </w:pPr>
      <w:r w:rsidRPr="008A1DB4">
        <w:rPr>
          <w:rFonts w:cs="Callibri"/>
          <w:spacing w:val="-2"/>
          <w:sz w:val="18"/>
          <w:szCs w:val="18"/>
          <w:lang w:val="en-US" w:bidi="en-US"/>
        </w:rPr>
        <w:t>4. The preventive detention</w:t>
      </w:r>
      <w:r w:rsidR="00601B3D" w:rsidRPr="008A1DB4">
        <w:rPr>
          <w:rFonts w:cs="Callibri"/>
          <w:spacing w:val="-2"/>
          <w:sz w:val="18"/>
          <w:szCs w:val="18"/>
          <w:lang w:val="en-US" w:bidi="en-US"/>
        </w:rPr>
        <w:t xml:space="preserve"> </w:t>
      </w:r>
      <w:r w:rsidR="00C4567E" w:rsidRPr="008A1DB4">
        <w:rPr>
          <w:rFonts w:cs="Callibri"/>
          <w:spacing w:val="-2"/>
          <w:sz w:val="18"/>
          <w:szCs w:val="18"/>
          <w:lang w:val="en-US" w:bidi="en-US"/>
        </w:rPr>
        <w:t xml:space="preserve">shall conclude if the competent authority of the </w:t>
      </w:r>
      <w:r w:rsidR="00A83D62" w:rsidRPr="008A1DB4">
        <w:rPr>
          <w:rFonts w:cs="Callibri"/>
          <w:spacing w:val="-2"/>
          <w:sz w:val="18"/>
          <w:szCs w:val="18"/>
          <w:lang w:val="en-US" w:bidi="en-US"/>
        </w:rPr>
        <w:t>Requested Party</w:t>
      </w:r>
      <w:r w:rsidR="00601B3D" w:rsidRPr="008A1DB4">
        <w:rPr>
          <w:rFonts w:cs="Callibri"/>
          <w:spacing w:val="-2"/>
          <w:sz w:val="18"/>
          <w:szCs w:val="18"/>
          <w:lang w:val="en-US" w:bidi="en-US"/>
        </w:rPr>
        <w:t xml:space="preserve"> </w:t>
      </w:r>
      <w:r w:rsidR="00C4567E" w:rsidRPr="008A1DB4">
        <w:rPr>
          <w:rFonts w:cs="Callibri"/>
          <w:spacing w:val="-2"/>
          <w:sz w:val="18"/>
          <w:szCs w:val="18"/>
          <w:lang w:val="en-US" w:bidi="en-US"/>
        </w:rPr>
        <w:t>has not received the form</w:t>
      </w:r>
      <w:r w:rsidR="006B70BB">
        <w:rPr>
          <w:rFonts w:cs="Callibri"/>
          <w:spacing w:val="-2"/>
          <w:sz w:val="18"/>
          <w:szCs w:val="18"/>
          <w:lang w:val="en-US" w:bidi="en-US"/>
        </w:rPr>
        <w:t>al extradition request within 60</w:t>
      </w:r>
      <w:r w:rsidR="00C4567E" w:rsidRPr="008A1DB4">
        <w:rPr>
          <w:rFonts w:cs="Callibri"/>
          <w:spacing w:val="-2"/>
          <w:sz w:val="18"/>
          <w:szCs w:val="18"/>
          <w:lang w:val="en-US" w:bidi="en-US"/>
        </w:rPr>
        <w:t xml:space="preserve"> days of the detention of the person sought. This period may be extended </w:t>
      </w:r>
      <w:r w:rsidR="00650A5D" w:rsidRPr="008A1DB4">
        <w:rPr>
          <w:rFonts w:cs="Callibri"/>
          <w:spacing w:val="-2"/>
          <w:sz w:val="18"/>
          <w:szCs w:val="18"/>
          <w:lang w:val="en-US" w:bidi="en-US"/>
        </w:rPr>
        <w:t xml:space="preserve">for a further 30 days when </w:t>
      </w:r>
      <w:r w:rsidR="00A83D62" w:rsidRPr="008A1DB4">
        <w:rPr>
          <w:rFonts w:cs="Callibri"/>
          <w:spacing w:val="-2"/>
          <w:sz w:val="18"/>
          <w:szCs w:val="18"/>
          <w:lang w:val="en-US" w:bidi="en-US"/>
        </w:rPr>
        <w:t>the Requesting Party</w:t>
      </w:r>
      <w:r w:rsidR="00601B3D" w:rsidRPr="008A1DB4">
        <w:rPr>
          <w:rFonts w:cs="Callibri"/>
          <w:spacing w:val="-2"/>
          <w:sz w:val="18"/>
          <w:szCs w:val="18"/>
          <w:lang w:val="en-US" w:bidi="en-US"/>
        </w:rPr>
        <w:t xml:space="preserve"> </w:t>
      </w:r>
      <w:r w:rsidR="00650A5D" w:rsidRPr="008A1DB4">
        <w:rPr>
          <w:rFonts w:cs="Callibri"/>
          <w:spacing w:val="-2"/>
          <w:sz w:val="18"/>
          <w:szCs w:val="18"/>
          <w:lang w:val="en-US" w:bidi="en-US"/>
        </w:rPr>
        <w:t xml:space="preserve">provides </w:t>
      </w:r>
      <w:r w:rsidR="004F0750" w:rsidRPr="008A1DB4">
        <w:rPr>
          <w:rFonts w:cs="Callibri"/>
          <w:spacing w:val="-2"/>
          <w:sz w:val="18"/>
          <w:szCs w:val="18"/>
          <w:lang w:val="en-US" w:bidi="en-US"/>
        </w:rPr>
        <w:t>reasons that justify this</w:t>
      </w:r>
      <w:r w:rsidR="00601B3D" w:rsidRPr="008A1DB4">
        <w:rPr>
          <w:rFonts w:cs="Callibri"/>
          <w:spacing w:val="-2"/>
          <w:sz w:val="18"/>
          <w:szCs w:val="18"/>
          <w:lang w:val="en-US" w:bidi="en-US"/>
        </w:rPr>
        <w:t>.</w:t>
      </w:r>
    </w:p>
    <w:p w14:paraId="4ABFF49C" w14:textId="77777777" w:rsidR="00601B3D" w:rsidRPr="008A1DB4" w:rsidRDefault="00601B3D" w:rsidP="00956E97">
      <w:pPr>
        <w:widowControl w:val="0"/>
        <w:autoSpaceDE w:val="0"/>
        <w:autoSpaceDN w:val="0"/>
        <w:adjustRightInd w:val="0"/>
        <w:ind w:left="567" w:right="645"/>
        <w:rPr>
          <w:rFonts w:cs="Callibri"/>
          <w:spacing w:val="-2"/>
          <w:sz w:val="18"/>
          <w:szCs w:val="18"/>
          <w:lang w:val="en-US" w:bidi="en-US"/>
        </w:rPr>
      </w:pPr>
    </w:p>
    <w:p w14:paraId="4117E388" w14:textId="713A680C" w:rsidR="00601B3D" w:rsidRPr="008A1DB4" w:rsidRDefault="00601B3D" w:rsidP="00956E97">
      <w:pPr>
        <w:widowControl w:val="0"/>
        <w:autoSpaceDE w:val="0"/>
        <w:autoSpaceDN w:val="0"/>
        <w:adjustRightInd w:val="0"/>
        <w:ind w:left="567" w:right="645"/>
        <w:rPr>
          <w:rFonts w:cs="Callibri"/>
          <w:spacing w:val="-2"/>
          <w:sz w:val="18"/>
          <w:szCs w:val="18"/>
          <w:lang w:val="en-US" w:bidi="en-US"/>
        </w:rPr>
      </w:pPr>
      <w:r w:rsidRPr="008A1DB4">
        <w:rPr>
          <w:rFonts w:cs="Callibri"/>
          <w:spacing w:val="-2"/>
          <w:sz w:val="18"/>
          <w:szCs w:val="18"/>
          <w:lang w:val="en-US" w:bidi="en-US"/>
        </w:rPr>
        <w:t xml:space="preserve">5. </w:t>
      </w:r>
      <w:r w:rsidR="00650A5D" w:rsidRPr="008A1DB4">
        <w:rPr>
          <w:rFonts w:cs="Callibri"/>
          <w:spacing w:val="-2"/>
          <w:sz w:val="18"/>
          <w:szCs w:val="18"/>
          <w:lang w:val="en-US" w:bidi="en-US"/>
        </w:rPr>
        <w:t xml:space="preserve">The </w:t>
      </w:r>
      <w:r w:rsidR="00947926" w:rsidRPr="008A1DB4">
        <w:rPr>
          <w:rFonts w:cs="Callibri"/>
          <w:spacing w:val="-2"/>
          <w:sz w:val="18"/>
          <w:szCs w:val="18"/>
          <w:lang w:val="en-US" w:bidi="en-US"/>
        </w:rPr>
        <w:t>conclusion</w:t>
      </w:r>
      <w:r w:rsidR="00650A5D" w:rsidRPr="008A1DB4">
        <w:rPr>
          <w:rFonts w:cs="Callibri"/>
          <w:spacing w:val="-2"/>
          <w:sz w:val="18"/>
          <w:szCs w:val="18"/>
          <w:lang w:val="en-US" w:bidi="en-US"/>
        </w:rPr>
        <w:t xml:space="preserve"> of the p</w:t>
      </w:r>
      <w:r w:rsidR="00E674E2" w:rsidRPr="008A1DB4">
        <w:rPr>
          <w:rFonts w:cs="Callibri"/>
          <w:spacing w:val="-2"/>
          <w:sz w:val="18"/>
          <w:szCs w:val="18"/>
          <w:lang w:val="en-US" w:bidi="en-US"/>
        </w:rPr>
        <w:t>reventive detention</w:t>
      </w:r>
      <w:r w:rsidR="00650A5D" w:rsidRPr="008A1DB4">
        <w:rPr>
          <w:rFonts w:cs="Callibri"/>
          <w:spacing w:val="-2"/>
          <w:sz w:val="18"/>
          <w:szCs w:val="18"/>
          <w:lang w:val="en-US" w:bidi="en-US"/>
        </w:rPr>
        <w:t xml:space="preserve"> pursuant to paragraph 4 of this article shall not affect the </w:t>
      </w:r>
      <w:r w:rsidR="002D1CFC" w:rsidRPr="008A1DB4">
        <w:rPr>
          <w:rFonts w:cs="Callibri"/>
          <w:spacing w:val="-2"/>
          <w:sz w:val="18"/>
          <w:szCs w:val="18"/>
          <w:lang w:val="en-US" w:bidi="en-US"/>
        </w:rPr>
        <w:t>extradition</w:t>
      </w:r>
      <w:r w:rsidRPr="008A1DB4">
        <w:rPr>
          <w:rFonts w:cs="Callibri"/>
          <w:spacing w:val="-2"/>
          <w:sz w:val="18"/>
          <w:szCs w:val="18"/>
          <w:lang w:val="en-US" w:bidi="en-US"/>
        </w:rPr>
        <w:t xml:space="preserve"> </w:t>
      </w:r>
      <w:r w:rsidR="00650A5D" w:rsidRPr="008A1DB4">
        <w:rPr>
          <w:rFonts w:cs="Callibri"/>
          <w:spacing w:val="-2"/>
          <w:sz w:val="18"/>
          <w:szCs w:val="18"/>
          <w:lang w:val="en-US" w:bidi="en-US"/>
        </w:rPr>
        <w:t xml:space="preserve">of the person sought if </w:t>
      </w:r>
      <w:r w:rsidR="00A83D62" w:rsidRPr="008A1DB4">
        <w:rPr>
          <w:rFonts w:cs="Callibri"/>
          <w:spacing w:val="-2"/>
          <w:sz w:val="18"/>
          <w:szCs w:val="18"/>
          <w:lang w:val="en-US" w:bidi="en-US"/>
        </w:rPr>
        <w:t>the Requested Party</w:t>
      </w:r>
      <w:r w:rsidRPr="008A1DB4">
        <w:rPr>
          <w:rFonts w:cs="Callibri"/>
          <w:spacing w:val="-2"/>
          <w:sz w:val="18"/>
          <w:szCs w:val="18"/>
          <w:lang w:val="en-US" w:bidi="en-US"/>
        </w:rPr>
        <w:t xml:space="preserve"> </w:t>
      </w:r>
      <w:r w:rsidR="00650A5D" w:rsidRPr="008A1DB4">
        <w:rPr>
          <w:rFonts w:cs="Callibri"/>
          <w:spacing w:val="-2"/>
          <w:sz w:val="18"/>
          <w:szCs w:val="18"/>
          <w:lang w:val="en-US" w:bidi="en-US"/>
        </w:rPr>
        <w:t>subsequently receives the formal extradition request.</w:t>
      </w:r>
      <w:r w:rsidRPr="008A1DB4">
        <w:rPr>
          <w:rStyle w:val="FootnoteReference"/>
          <w:rFonts w:cs="Callibri"/>
          <w:spacing w:val="-2"/>
          <w:sz w:val="18"/>
          <w:szCs w:val="18"/>
          <w:lang w:val="en-US" w:bidi="en-US"/>
        </w:rPr>
        <w:footnoteReference w:id="327"/>
      </w:r>
    </w:p>
    <w:p w14:paraId="4C80B099" w14:textId="77777777" w:rsidR="00601B3D" w:rsidRPr="008A1DB4" w:rsidRDefault="00601B3D" w:rsidP="00956E97">
      <w:pPr>
        <w:pStyle w:val="ListParagraph"/>
        <w:tabs>
          <w:tab w:val="left" w:pos="567"/>
        </w:tabs>
        <w:ind w:left="0"/>
        <w:contextualSpacing w:val="0"/>
        <w:rPr>
          <w:spacing w:val="-2"/>
          <w:szCs w:val="20"/>
          <w:lang w:val="en-US"/>
        </w:rPr>
      </w:pPr>
    </w:p>
    <w:p w14:paraId="0003AF68" w14:textId="69303522" w:rsidR="00601B3D" w:rsidRPr="008A1DB4" w:rsidRDefault="002D1CFC" w:rsidP="00956E97">
      <w:pPr>
        <w:pStyle w:val="PrrafodeSentencia"/>
        <w:rPr>
          <w:spacing w:val="-2"/>
          <w:lang w:val="en-US"/>
        </w:rPr>
      </w:pPr>
      <w:bookmarkStart w:id="1002" w:name="_Ref419386564"/>
      <w:r w:rsidRPr="008A1DB4">
        <w:rPr>
          <w:spacing w:val="-2"/>
          <w:lang w:val="en-US"/>
        </w:rPr>
        <w:t xml:space="preserve">The </w:t>
      </w:r>
      <w:r w:rsidR="00E674E2" w:rsidRPr="008A1DB4">
        <w:rPr>
          <w:spacing w:val="-2"/>
          <w:lang w:val="en-US"/>
        </w:rPr>
        <w:t xml:space="preserve">relevant part of article 2.24 (f) of the </w:t>
      </w:r>
      <w:r w:rsidRPr="008A1DB4">
        <w:rPr>
          <w:spacing w:val="-2"/>
          <w:lang w:val="en-US"/>
        </w:rPr>
        <w:t>Constitution</w:t>
      </w:r>
      <w:r w:rsidR="00601B3D" w:rsidRPr="008A1DB4">
        <w:rPr>
          <w:spacing w:val="-2"/>
          <w:lang w:val="en-US"/>
        </w:rPr>
        <w:t xml:space="preserve"> </w:t>
      </w:r>
      <w:r w:rsidR="00E022F9" w:rsidRPr="008A1DB4">
        <w:rPr>
          <w:spacing w:val="-2"/>
          <w:lang w:val="en-US"/>
        </w:rPr>
        <w:t>of Peru</w:t>
      </w:r>
      <w:r w:rsidR="00601B3D" w:rsidRPr="008A1DB4">
        <w:rPr>
          <w:spacing w:val="-2"/>
          <w:lang w:val="en-US"/>
        </w:rPr>
        <w:t xml:space="preserve">, </w:t>
      </w:r>
      <w:r w:rsidR="00E674E2" w:rsidRPr="008A1DB4">
        <w:rPr>
          <w:spacing w:val="-2"/>
          <w:lang w:val="en-US"/>
        </w:rPr>
        <w:t>in force at the time of the facts</w:t>
      </w:r>
      <w:r w:rsidR="00601B3D" w:rsidRPr="008A1DB4">
        <w:rPr>
          <w:spacing w:val="-2"/>
          <w:lang w:val="en-US"/>
        </w:rPr>
        <w:t xml:space="preserve">, </w:t>
      </w:r>
      <w:r w:rsidR="00E674E2" w:rsidRPr="008A1DB4">
        <w:rPr>
          <w:spacing w:val="-2"/>
          <w:lang w:val="en-US"/>
        </w:rPr>
        <w:t>establishes that</w:t>
      </w:r>
      <w:r w:rsidR="00601B3D" w:rsidRPr="008A1DB4">
        <w:rPr>
          <w:spacing w:val="-2"/>
          <w:lang w:val="en-US"/>
        </w:rPr>
        <w:t>:</w:t>
      </w:r>
      <w:bookmarkEnd w:id="1002"/>
    </w:p>
    <w:p w14:paraId="286CE9BF" w14:textId="77777777" w:rsidR="00601B3D" w:rsidRPr="008A1DB4" w:rsidRDefault="00601B3D" w:rsidP="00956E97">
      <w:pPr>
        <w:tabs>
          <w:tab w:val="left" w:pos="567"/>
        </w:tabs>
        <w:ind w:right="616"/>
        <w:rPr>
          <w:spacing w:val="-2"/>
          <w:sz w:val="18"/>
          <w:szCs w:val="18"/>
          <w:lang w:val="en-US"/>
        </w:rPr>
      </w:pPr>
    </w:p>
    <w:p w14:paraId="75500A5E" w14:textId="0F1523CD" w:rsidR="00601B3D" w:rsidRPr="008A1DB4" w:rsidRDefault="004257EF" w:rsidP="00956E97">
      <w:pPr>
        <w:pStyle w:val="ListParagraph"/>
        <w:tabs>
          <w:tab w:val="left" w:pos="567"/>
        </w:tabs>
        <w:ind w:left="567" w:right="616"/>
        <w:contextualSpacing w:val="0"/>
        <w:rPr>
          <w:spacing w:val="-2"/>
          <w:sz w:val="18"/>
          <w:szCs w:val="18"/>
          <w:lang w:val="en-US"/>
        </w:rPr>
      </w:pPr>
      <w:r w:rsidRPr="008A1DB4">
        <w:rPr>
          <w:spacing w:val="-2"/>
          <w:sz w:val="18"/>
          <w:szCs w:val="18"/>
          <w:lang w:val="en-US"/>
        </w:rPr>
        <w:t>No one may be detained unless it is with a reasoned written order issued by a judge</w:t>
      </w:r>
      <w:r w:rsidR="006B70BB">
        <w:rPr>
          <w:spacing w:val="-2"/>
          <w:sz w:val="18"/>
          <w:szCs w:val="18"/>
          <w:lang w:val="en-US"/>
        </w:rPr>
        <w:t>,</w:t>
      </w:r>
      <w:r w:rsidRPr="008A1DB4">
        <w:rPr>
          <w:spacing w:val="-2"/>
          <w:sz w:val="18"/>
          <w:szCs w:val="18"/>
          <w:lang w:val="en-US"/>
        </w:rPr>
        <w:t xml:space="preserve"> or by the police authorities in case of </w:t>
      </w:r>
      <w:r w:rsidRPr="008A1DB4">
        <w:rPr>
          <w:i/>
          <w:spacing w:val="-2"/>
          <w:sz w:val="18"/>
          <w:szCs w:val="18"/>
          <w:lang w:val="en-US"/>
        </w:rPr>
        <w:t>in flagrante delicto</w:t>
      </w:r>
      <w:r w:rsidRPr="008A1DB4">
        <w:rPr>
          <w:spacing w:val="-2"/>
          <w:sz w:val="18"/>
          <w:szCs w:val="18"/>
          <w:lang w:val="en-US"/>
        </w:rPr>
        <w:t>. The detainee must be brought before the corresponding court wi</w:t>
      </w:r>
      <w:r w:rsidR="006B70BB">
        <w:rPr>
          <w:spacing w:val="-2"/>
          <w:sz w:val="18"/>
          <w:szCs w:val="18"/>
          <w:lang w:val="en-US"/>
        </w:rPr>
        <w:t>thin 24 hours or in accordance with the</w:t>
      </w:r>
      <w:r w:rsidRPr="008A1DB4">
        <w:rPr>
          <w:spacing w:val="-2"/>
          <w:sz w:val="18"/>
          <w:szCs w:val="18"/>
          <w:lang w:val="en-US"/>
        </w:rPr>
        <w:t xml:space="preserve"> distance.</w:t>
      </w:r>
      <w:r w:rsidR="00601B3D" w:rsidRPr="008A1DB4">
        <w:rPr>
          <w:rStyle w:val="FootnoteReference"/>
          <w:spacing w:val="-2"/>
          <w:szCs w:val="18"/>
          <w:lang w:val="en-US"/>
        </w:rPr>
        <w:footnoteReference w:id="328"/>
      </w:r>
    </w:p>
    <w:p w14:paraId="1AAAB8D7" w14:textId="77777777" w:rsidR="00601B3D" w:rsidRPr="008A1DB4" w:rsidRDefault="00601B3D" w:rsidP="00956E97">
      <w:pPr>
        <w:tabs>
          <w:tab w:val="left" w:pos="567"/>
        </w:tabs>
        <w:ind w:right="616"/>
        <w:rPr>
          <w:spacing w:val="-2"/>
          <w:sz w:val="18"/>
          <w:szCs w:val="18"/>
          <w:lang w:val="en-US"/>
        </w:rPr>
      </w:pPr>
    </w:p>
    <w:p w14:paraId="2281D591" w14:textId="5CB3E579" w:rsidR="00601B3D" w:rsidRPr="008A1DB4" w:rsidRDefault="00650A5D" w:rsidP="00956E97">
      <w:pPr>
        <w:pStyle w:val="PrrafodeSentencia"/>
        <w:rPr>
          <w:spacing w:val="-2"/>
          <w:lang w:val="en-US"/>
        </w:rPr>
      </w:pPr>
      <w:bookmarkStart w:id="1003" w:name="_Ref419386567"/>
      <w:r w:rsidRPr="008A1DB4">
        <w:rPr>
          <w:spacing w:val="-2"/>
          <w:lang w:val="en-US"/>
        </w:rPr>
        <w:t>Meanwhile, Section II of the Seventh Tome of Peru’s</w:t>
      </w:r>
      <w:r w:rsidR="00A3310A" w:rsidRPr="008A1DB4">
        <w:rPr>
          <w:spacing w:val="-2"/>
          <w:lang w:val="en-US"/>
        </w:rPr>
        <w:t xml:space="preserve"> Code of</w:t>
      </w:r>
      <w:r w:rsidR="00B43F84" w:rsidRPr="008A1DB4">
        <w:rPr>
          <w:spacing w:val="-2"/>
          <w:lang w:val="en-US"/>
        </w:rPr>
        <w:t xml:space="preserve"> Criminal Procedure</w:t>
      </w:r>
      <w:r w:rsidR="00601B3D" w:rsidRPr="008A1DB4">
        <w:rPr>
          <w:spacing w:val="-2"/>
          <w:lang w:val="en-US"/>
        </w:rPr>
        <w:t xml:space="preserve"> (</w:t>
      </w:r>
      <w:r w:rsidRPr="008A1DB4">
        <w:rPr>
          <w:spacing w:val="-2"/>
          <w:lang w:val="en-US"/>
        </w:rPr>
        <w:t xml:space="preserve">Legislative Decree </w:t>
      </w:r>
      <w:r w:rsidR="00601B3D" w:rsidRPr="008A1DB4">
        <w:rPr>
          <w:spacing w:val="-2"/>
          <w:lang w:val="en-US"/>
        </w:rPr>
        <w:t>No. 9</w:t>
      </w:r>
      <w:r w:rsidR="005E53CB" w:rsidRPr="008A1DB4">
        <w:rPr>
          <w:spacing w:val="-2"/>
          <w:lang w:val="en-US"/>
        </w:rPr>
        <w:t>57</w:t>
      </w:r>
      <w:r w:rsidR="00601B3D" w:rsidRPr="008A1DB4">
        <w:rPr>
          <w:spacing w:val="-2"/>
          <w:lang w:val="en-US"/>
        </w:rPr>
        <w:t>), regula</w:t>
      </w:r>
      <w:r w:rsidRPr="008A1DB4">
        <w:rPr>
          <w:spacing w:val="-2"/>
          <w:lang w:val="en-US"/>
        </w:rPr>
        <w:t>tes</w:t>
      </w:r>
      <w:r w:rsidR="00601B3D" w:rsidRPr="008A1DB4">
        <w:rPr>
          <w:spacing w:val="-2"/>
          <w:lang w:val="en-US"/>
        </w:rPr>
        <w:t xml:space="preserve"> </w:t>
      </w:r>
      <w:r w:rsidR="004257EF" w:rsidRPr="008A1DB4">
        <w:rPr>
          <w:spacing w:val="-2"/>
          <w:lang w:val="en-US"/>
        </w:rPr>
        <w:t>the provisional arrest</w:t>
      </w:r>
      <w:r w:rsidR="00601B3D" w:rsidRPr="008A1DB4">
        <w:rPr>
          <w:spacing w:val="-2"/>
          <w:lang w:val="en-US"/>
        </w:rPr>
        <w:t xml:space="preserve"> </w:t>
      </w:r>
      <w:r w:rsidR="006B70BB">
        <w:rPr>
          <w:spacing w:val="-2"/>
          <w:lang w:val="en-US"/>
        </w:rPr>
        <w:t>with a view to</w:t>
      </w:r>
      <w:r w:rsidR="006B70BB" w:rsidRPr="008A1DB4">
        <w:rPr>
          <w:spacing w:val="-2"/>
          <w:lang w:val="en-US"/>
        </w:rPr>
        <w:t xml:space="preserve"> </w:t>
      </w:r>
      <w:r w:rsidRPr="008A1DB4">
        <w:rPr>
          <w:spacing w:val="-2"/>
          <w:lang w:val="en-US"/>
        </w:rPr>
        <w:t>extradition as follows:</w:t>
      </w:r>
      <w:bookmarkEnd w:id="1003"/>
    </w:p>
    <w:p w14:paraId="69EADDC3" w14:textId="77777777" w:rsidR="00601B3D" w:rsidRPr="008A1DB4" w:rsidRDefault="00601B3D" w:rsidP="00956E97">
      <w:pPr>
        <w:pStyle w:val="ListParagraph"/>
        <w:tabs>
          <w:tab w:val="left" w:pos="567"/>
        </w:tabs>
        <w:ind w:left="0"/>
        <w:contextualSpacing w:val="0"/>
        <w:rPr>
          <w:spacing w:val="-2"/>
          <w:szCs w:val="20"/>
          <w:lang w:val="en-US"/>
        </w:rPr>
      </w:pPr>
    </w:p>
    <w:p w14:paraId="724A639E" w14:textId="7B3756B9" w:rsidR="00601B3D" w:rsidRPr="008A1DB4" w:rsidRDefault="00F36400" w:rsidP="00956E97">
      <w:pPr>
        <w:ind w:left="567" w:right="615"/>
        <w:rPr>
          <w:rFonts w:cs="Callibri"/>
          <w:spacing w:val="-2"/>
          <w:sz w:val="18"/>
          <w:szCs w:val="18"/>
          <w:lang w:val="en-US"/>
        </w:rPr>
      </w:pPr>
      <w:proofErr w:type="gramStart"/>
      <w:r w:rsidRPr="008A1DB4">
        <w:rPr>
          <w:rFonts w:cs="Callibri"/>
          <w:spacing w:val="-2"/>
          <w:sz w:val="18"/>
          <w:szCs w:val="18"/>
          <w:lang w:val="en-US"/>
        </w:rPr>
        <w:t>A</w:t>
      </w:r>
      <w:r w:rsidR="006B70BB">
        <w:rPr>
          <w:rFonts w:cs="Callibri"/>
          <w:spacing w:val="-2"/>
          <w:sz w:val="18"/>
          <w:szCs w:val="18"/>
          <w:lang w:val="en-US"/>
        </w:rPr>
        <w:t>rticle</w:t>
      </w:r>
      <w:r w:rsidR="004257EF" w:rsidRPr="008A1DB4">
        <w:rPr>
          <w:rFonts w:cs="Callibri"/>
          <w:spacing w:val="-2"/>
          <w:sz w:val="18"/>
          <w:szCs w:val="18"/>
          <w:lang w:val="en-US"/>
        </w:rPr>
        <w:t xml:space="preserve"> 523</w:t>
      </w:r>
      <w:r w:rsidR="00650A5D" w:rsidRPr="008A1DB4">
        <w:rPr>
          <w:rFonts w:cs="Callibri"/>
          <w:spacing w:val="-2"/>
          <w:sz w:val="18"/>
          <w:szCs w:val="18"/>
          <w:lang w:val="en-US"/>
        </w:rPr>
        <w:t>.</w:t>
      </w:r>
      <w:proofErr w:type="gramEnd"/>
      <w:r w:rsidR="00650A5D" w:rsidRPr="008A1DB4">
        <w:rPr>
          <w:rFonts w:cs="Callibri"/>
          <w:spacing w:val="-2"/>
          <w:sz w:val="18"/>
          <w:szCs w:val="18"/>
          <w:lang w:val="en-US"/>
        </w:rPr>
        <w:t xml:space="preserve"> </w:t>
      </w:r>
      <w:proofErr w:type="gramStart"/>
      <w:r w:rsidR="00650A5D" w:rsidRPr="008A1DB4">
        <w:rPr>
          <w:rFonts w:cs="Callibri"/>
          <w:spacing w:val="-2"/>
          <w:sz w:val="18"/>
          <w:szCs w:val="18"/>
          <w:lang w:val="en-US"/>
        </w:rPr>
        <w:t>Provisional or pre-extradition arrest</w:t>
      </w:r>
      <w:r w:rsidR="004257EF" w:rsidRPr="008A1DB4">
        <w:rPr>
          <w:rFonts w:cs="Callibri"/>
          <w:spacing w:val="-2"/>
          <w:sz w:val="18"/>
          <w:szCs w:val="18"/>
          <w:lang w:val="en-US"/>
        </w:rPr>
        <w:t>.</w:t>
      </w:r>
      <w:proofErr w:type="gramEnd"/>
    </w:p>
    <w:p w14:paraId="2ADCA62D" w14:textId="77777777" w:rsidR="00601B3D" w:rsidRPr="008A1DB4" w:rsidRDefault="00601B3D" w:rsidP="00956E97">
      <w:pPr>
        <w:ind w:left="567" w:right="615"/>
        <w:rPr>
          <w:rFonts w:cs="Callibri"/>
          <w:spacing w:val="-2"/>
          <w:sz w:val="18"/>
          <w:szCs w:val="18"/>
          <w:lang w:val="en-US"/>
        </w:rPr>
      </w:pPr>
    </w:p>
    <w:p w14:paraId="6DDFD6E6" w14:textId="0EB6F035" w:rsidR="00601B3D" w:rsidRPr="008A1DB4" w:rsidRDefault="00601B3D" w:rsidP="00956E97">
      <w:pPr>
        <w:ind w:left="567" w:right="615"/>
        <w:rPr>
          <w:rFonts w:cs="Callibri"/>
          <w:spacing w:val="-2"/>
          <w:sz w:val="18"/>
          <w:szCs w:val="18"/>
          <w:lang w:val="en-US"/>
        </w:rPr>
      </w:pPr>
      <w:r w:rsidRPr="008A1DB4">
        <w:rPr>
          <w:rFonts w:cs="Callibri"/>
          <w:spacing w:val="-2"/>
          <w:sz w:val="18"/>
          <w:szCs w:val="18"/>
          <w:lang w:val="en-US"/>
        </w:rPr>
        <w:t xml:space="preserve">1. </w:t>
      </w:r>
      <w:r w:rsidR="004257EF" w:rsidRPr="008A1DB4">
        <w:rPr>
          <w:rFonts w:cs="Callibri"/>
          <w:spacing w:val="-2"/>
          <w:sz w:val="18"/>
          <w:szCs w:val="18"/>
          <w:lang w:val="en-US"/>
        </w:rPr>
        <w:t>The provisional arrest</w:t>
      </w:r>
      <w:r w:rsidRPr="008A1DB4">
        <w:rPr>
          <w:rFonts w:cs="Callibri"/>
          <w:spacing w:val="-2"/>
          <w:sz w:val="18"/>
          <w:szCs w:val="18"/>
          <w:lang w:val="en-US"/>
        </w:rPr>
        <w:t xml:space="preserve"> </w:t>
      </w:r>
      <w:r w:rsidR="00650A5D" w:rsidRPr="008A1DB4">
        <w:rPr>
          <w:rFonts w:cs="Callibri"/>
          <w:spacing w:val="-2"/>
          <w:sz w:val="18"/>
          <w:szCs w:val="18"/>
          <w:lang w:val="en-US"/>
        </w:rPr>
        <w:t>of a person sought by foreign authorities shall be in order when</w:t>
      </w:r>
      <w:r w:rsidRPr="008A1DB4">
        <w:rPr>
          <w:rFonts w:cs="Callibri"/>
          <w:spacing w:val="-2"/>
          <w:sz w:val="18"/>
          <w:szCs w:val="18"/>
          <w:lang w:val="en-US"/>
        </w:rPr>
        <w:t>:</w:t>
      </w:r>
    </w:p>
    <w:p w14:paraId="573434F0" w14:textId="77777777" w:rsidR="005E53CB" w:rsidRPr="008A1DB4" w:rsidRDefault="005E53CB" w:rsidP="00956E97">
      <w:pPr>
        <w:ind w:left="567" w:right="615"/>
        <w:rPr>
          <w:rFonts w:cs="Callibri"/>
          <w:spacing w:val="-2"/>
          <w:sz w:val="18"/>
          <w:szCs w:val="18"/>
          <w:lang w:val="en-US"/>
        </w:rPr>
      </w:pPr>
    </w:p>
    <w:p w14:paraId="3F442B7E" w14:textId="021200AC" w:rsidR="00601B3D" w:rsidRPr="008A1DB4" w:rsidRDefault="00650A5D" w:rsidP="00956E97">
      <w:pPr>
        <w:ind w:left="851" w:right="615"/>
        <w:rPr>
          <w:rFonts w:cs="Callibri"/>
          <w:spacing w:val="-2"/>
          <w:sz w:val="18"/>
          <w:szCs w:val="18"/>
          <w:lang w:val="en-US"/>
        </w:rPr>
      </w:pPr>
      <w:r w:rsidRPr="008A1DB4">
        <w:rPr>
          <w:rFonts w:cs="Callibri"/>
          <w:spacing w:val="-2"/>
          <w:sz w:val="18"/>
          <w:szCs w:val="18"/>
          <w:lang w:val="en-US"/>
        </w:rPr>
        <w:t>a) This has been formally requested by the central authority of the interested country</w:t>
      </w:r>
      <w:r w:rsidR="00601B3D" w:rsidRPr="008A1DB4">
        <w:rPr>
          <w:rFonts w:cs="Callibri"/>
          <w:spacing w:val="-2"/>
          <w:sz w:val="18"/>
          <w:szCs w:val="18"/>
          <w:lang w:val="en-US"/>
        </w:rPr>
        <w:t>;</w:t>
      </w:r>
    </w:p>
    <w:p w14:paraId="35455704" w14:textId="03FE05F4" w:rsidR="00601B3D" w:rsidRPr="008A1DB4" w:rsidRDefault="00601B3D" w:rsidP="00956E97">
      <w:pPr>
        <w:ind w:left="851" w:right="615"/>
        <w:rPr>
          <w:rFonts w:cs="Callibri"/>
          <w:spacing w:val="-2"/>
          <w:sz w:val="18"/>
          <w:szCs w:val="18"/>
          <w:lang w:val="en-US"/>
        </w:rPr>
      </w:pPr>
      <w:r w:rsidRPr="008A1DB4">
        <w:rPr>
          <w:rFonts w:cs="Callibri"/>
          <w:spacing w:val="-2"/>
          <w:sz w:val="18"/>
          <w:szCs w:val="18"/>
          <w:lang w:val="en-US"/>
        </w:rPr>
        <w:t xml:space="preserve">b) </w:t>
      </w:r>
      <w:r w:rsidR="00650A5D" w:rsidRPr="008A1DB4">
        <w:rPr>
          <w:rFonts w:cs="Callibri"/>
          <w:spacing w:val="-2"/>
          <w:sz w:val="18"/>
          <w:szCs w:val="18"/>
          <w:lang w:val="en-US"/>
        </w:rPr>
        <w:t>The person tries to enter the country while pursued by the authority of an adjoining country.</w:t>
      </w:r>
    </w:p>
    <w:p w14:paraId="4F447D93" w14:textId="77777777" w:rsidR="005E53CB" w:rsidRPr="008A1DB4" w:rsidRDefault="005E53CB" w:rsidP="00956E97">
      <w:pPr>
        <w:ind w:left="567" w:right="615"/>
        <w:rPr>
          <w:rFonts w:cs="Callibri"/>
          <w:spacing w:val="-2"/>
          <w:sz w:val="18"/>
          <w:szCs w:val="18"/>
          <w:lang w:val="en-US"/>
        </w:rPr>
      </w:pPr>
    </w:p>
    <w:p w14:paraId="402810EA" w14:textId="75CEF431" w:rsidR="00601B3D" w:rsidRPr="008A1DB4" w:rsidRDefault="00601B3D" w:rsidP="00956E97">
      <w:pPr>
        <w:ind w:left="567" w:right="615"/>
        <w:rPr>
          <w:rFonts w:cs="Callibri"/>
          <w:spacing w:val="-2"/>
          <w:sz w:val="18"/>
          <w:szCs w:val="18"/>
          <w:lang w:val="en-US"/>
        </w:rPr>
      </w:pPr>
      <w:r w:rsidRPr="008A1DB4">
        <w:rPr>
          <w:rFonts w:cs="Callibri"/>
          <w:spacing w:val="-2"/>
          <w:sz w:val="18"/>
          <w:szCs w:val="18"/>
          <w:lang w:val="en-US"/>
        </w:rPr>
        <w:t xml:space="preserve">2. </w:t>
      </w:r>
      <w:r w:rsidR="00650A5D" w:rsidRPr="008A1DB4">
        <w:rPr>
          <w:rFonts w:cs="Callibri"/>
          <w:spacing w:val="-2"/>
          <w:sz w:val="18"/>
          <w:szCs w:val="18"/>
          <w:lang w:val="en-US"/>
        </w:rPr>
        <w:t xml:space="preserve">In the case of subparagraph (a) above, the formal request shall be sent to the Prosecutor General, either through the central authority or through </w:t>
      </w:r>
      <w:r w:rsidRPr="008A1DB4">
        <w:rPr>
          <w:rFonts w:cs="Callibri"/>
          <w:spacing w:val="-2"/>
          <w:sz w:val="18"/>
          <w:szCs w:val="18"/>
          <w:lang w:val="en-US"/>
        </w:rPr>
        <w:t xml:space="preserve">INTERPOL. </w:t>
      </w:r>
      <w:r w:rsidR="00650A5D" w:rsidRPr="008A1DB4">
        <w:rPr>
          <w:rFonts w:cs="Callibri"/>
          <w:spacing w:val="-2"/>
          <w:sz w:val="18"/>
          <w:szCs w:val="18"/>
          <w:lang w:val="en-US"/>
        </w:rPr>
        <w:t>In urgent cases, a simple requisition made by any means, including telegram, telephone, radiogram or electronic mail, shall be required</w:t>
      </w:r>
      <w:r w:rsidRPr="008A1DB4">
        <w:rPr>
          <w:rFonts w:cs="Callibri"/>
          <w:spacing w:val="-2"/>
          <w:sz w:val="18"/>
          <w:szCs w:val="18"/>
          <w:lang w:val="en-US"/>
        </w:rPr>
        <w:t xml:space="preserve">. </w:t>
      </w:r>
      <w:r w:rsidR="00650A5D" w:rsidRPr="008A1DB4">
        <w:rPr>
          <w:rFonts w:cs="Callibri"/>
          <w:spacing w:val="-2"/>
          <w:sz w:val="18"/>
          <w:szCs w:val="18"/>
          <w:lang w:val="en-US"/>
        </w:rPr>
        <w:t xml:space="preserve">The formal request shall contain: </w:t>
      </w:r>
    </w:p>
    <w:p w14:paraId="6293B283" w14:textId="77777777" w:rsidR="005E53CB" w:rsidRPr="008A1DB4" w:rsidRDefault="005E53CB" w:rsidP="00956E97">
      <w:pPr>
        <w:ind w:left="567" w:right="615"/>
        <w:rPr>
          <w:rFonts w:cs="Callibri"/>
          <w:spacing w:val="-2"/>
          <w:sz w:val="18"/>
          <w:szCs w:val="18"/>
          <w:lang w:val="en-US"/>
        </w:rPr>
      </w:pPr>
    </w:p>
    <w:p w14:paraId="18B49FFB" w14:textId="4531E134" w:rsidR="00650A5D" w:rsidRPr="008A1DB4" w:rsidRDefault="00650A5D" w:rsidP="00956E97">
      <w:pPr>
        <w:ind w:left="851" w:right="615"/>
        <w:rPr>
          <w:rFonts w:cs="Callibri"/>
          <w:spacing w:val="-2"/>
          <w:sz w:val="18"/>
          <w:szCs w:val="18"/>
          <w:lang w:val="en-US"/>
        </w:rPr>
      </w:pPr>
      <w:r w:rsidRPr="008A1DB4">
        <w:rPr>
          <w:rFonts w:cs="Callibri"/>
          <w:spacing w:val="-2"/>
          <w:sz w:val="18"/>
          <w:szCs w:val="18"/>
          <w:lang w:val="en-US"/>
        </w:rPr>
        <w:t>a</w:t>
      </w:r>
      <w:r w:rsidR="00601B3D" w:rsidRPr="008A1DB4">
        <w:rPr>
          <w:rFonts w:cs="Callibri"/>
          <w:spacing w:val="-2"/>
          <w:sz w:val="18"/>
          <w:szCs w:val="18"/>
          <w:lang w:val="en-US"/>
        </w:rPr>
        <w:t xml:space="preserve">) </w:t>
      </w:r>
      <w:r w:rsidR="006B70BB">
        <w:rPr>
          <w:rFonts w:cs="Callibri"/>
          <w:spacing w:val="-2"/>
          <w:sz w:val="18"/>
          <w:szCs w:val="18"/>
          <w:lang w:val="en-US"/>
        </w:rPr>
        <w:t>The</w:t>
      </w:r>
      <w:r w:rsidRPr="008A1DB4">
        <w:rPr>
          <w:rFonts w:cs="Callibri"/>
          <w:spacing w:val="-2"/>
          <w:sz w:val="18"/>
          <w:szCs w:val="18"/>
          <w:lang w:val="en-US"/>
        </w:rPr>
        <w:t xml:space="preserve"> name of the person sought, with personal identity data and the circumstances why he is in the country;</w:t>
      </w:r>
    </w:p>
    <w:p w14:paraId="27B0960E" w14:textId="2984E078" w:rsidR="00650A5D" w:rsidRPr="008A1DB4" w:rsidRDefault="00650A5D" w:rsidP="00956E97">
      <w:pPr>
        <w:ind w:left="851" w:right="615"/>
        <w:rPr>
          <w:rFonts w:cs="Callibri"/>
          <w:spacing w:val="-2"/>
          <w:sz w:val="18"/>
          <w:szCs w:val="18"/>
          <w:lang w:val="en-US"/>
        </w:rPr>
      </w:pPr>
      <w:r w:rsidRPr="008A1DB4">
        <w:rPr>
          <w:rFonts w:cs="Callibri"/>
          <w:spacing w:val="-2"/>
          <w:sz w:val="18"/>
          <w:szCs w:val="18"/>
          <w:lang w:val="en-US"/>
        </w:rPr>
        <w:t xml:space="preserve">b) The date and place of the offense </w:t>
      </w:r>
      <w:r w:rsidR="0079515C" w:rsidRPr="008A1DB4">
        <w:rPr>
          <w:rFonts w:cs="Callibri"/>
          <w:spacing w:val="-2"/>
          <w:sz w:val="18"/>
          <w:szCs w:val="18"/>
          <w:lang w:val="en-US"/>
        </w:rPr>
        <w:t>committed</w:t>
      </w:r>
      <w:r w:rsidRPr="008A1DB4">
        <w:rPr>
          <w:rFonts w:cs="Callibri"/>
          <w:spacing w:val="-2"/>
          <w:sz w:val="18"/>
          <w:szCs w:val="18"/>
          <w:lang w:val="en-US"/>
        </w:rPr>
        <w:t xml:space="preserve"> and its </w:t>
      </w:r>
      <w:r w:rsidR="006B70BB">
        <w:rPr>
          <w:rFonts w:cs="Callibri"/>
          <w:spacing w:val="-2"/>
          <w:sz w:val="18"/>
          <w:szCs w:val="18"/>
          <w:lang w:val="en-US"/>
        </w:rPr>
        <w:t>legal definition</w:t>
      </w:r>
      <w:r w:rsidRPr="008A1DB4">
        <w:rPr>
          <w:rFonts w:cs="Callibri"/>
          <w:spacing w:val="-2"/>
          <w:sz w:val="18"/>
          <w:szCs w:val="18"/>
          <w:lang w:val="en-US"/>
        </w:rPr>
        <w:t>;</w:t>
      </w:r>
    </w:p>
    <w:p w14:paraId="730903C7" w14:textId="69A4173C" w:rsidR="00650A5D" w:rsidRPr="008A1DB4" w:rsidRDefault="00650A5D" w:rsidP="00956E97">
      <w:pPr>
        <w:ind w:left="851" w:right="615"/>
        <w:rPr>
          <w:rFonts w:cs="Callibri"/>
          <w:spacing w:val="-2"/>
          <w:sz w:val="18"/>
          <w:szCs w:val="18"/>
          <w:lang w:val="en-US"/>
        </w:rPr>
      </w:pPr>
      <w:r w:rsidRPr="008A1DB4">
        <w:rPr>
          <w:rFonts w:cs="Callibri"/>
          <w:spacing w:val="-2"/>
          <w:sz w:val="18"/>
          <w:szCs w:val="18"/>
          <w:lang w:val="en-US"/>
        </w:rPr>
        <w:lastRenderedPageBreak/>
        <w:t xml:space="preserve">c) If the person sought has been accused, an indication of the punishment for the act perpetrated; and, if he has been convicted, </w:t>
      </w:r>
      <w:r w:rsidR="006B70BB">
        <w:rPr>
          <w:rFonts w:cs="Callibri"/>
          <w:spacing w:val="-2"/>
          <w:sz w:val="18"/>
          <w:szCs w:val="18"/>
          <w:lang w:val="en-US"/>
        </w:rPr>
        <w:t xml:space="preserve">an </w:t>
      </w:r>
      <w:r w:rsidRPr="008A1DB4">
        <w:rPr>
          <w:rFonts w:cs="Callibri"/>
          <w:spacing w:val="-2"/>
          <w:sz w:val="18"/>
          <w:szCs w:val="18"/>
          <w:lang w:val="en-US"/>
        </w:rPr>
        <w:t>indication of the punishment imposed;</w:t>
      </w:r>
    </w:p>
    <w:p w14:paraId="08741192" w14:textId="2E6EB331" w:rsidR="00650A5D" w:rsidRPr="008A1DB4" w:rsidRDefault="00650A5D" w:rsidP="00956E97">
      <w:pPr>
        <w:ind w:left="851" w:right="615"/>
        <w:rPr>
          <w:rFonts w:cs="Callibri"/>
          <w:spacing w:val="-2"/>
          <w:sz w:val="18"/>
          <w:szCs w:val="18"/>
          <w:lang w:val="en-US"/>
        </w:rPr>
      </w:pPr>
      <w:r w:rsidRPr="008A1DB4">
        <w:rPr>
          <w:rFonts w:cs="Callibri"/>
          <w:spacing w:val="-2"/>
          <w:sz w:val="18"/>
          <w:szCs w:val="18"/>
          <w:lang w:val="en-US"/>
        </w:rPr>
        <w:t xml:space="preserve">d) </w:t>
      </w:r>
      <w:r w:rsidR="006B70BB">
        <w:rPr>
          <w:rFonts w:cs="Callibri"/>
          <w:spacing w:val="-2"/>
          <w:sz w:val="18"/>
          <w:szCs w:val="18"/>
          <w:lang w:val="en-US"/>
        </w:rPr>
        <w:t>Mention</w:t>
      </w:r>
      <w:r w:rsidRPr="008A1DB4">
        <w:rPr>
          <w:rFonts w:cs="Callibri"/>
          <w:spacing w:val="-2"/>
          <w:sz w:val="18"/>
          <w:szCs w:val="18"/>
          <w:lang w:val="en-US"/>
        </w:rPr>
        <w:t xml:space="preserve"> of the existence of the court</w:t>
      </w:r>
      <w:r w:rsidR="006B70BB">
        <w:rPr>
          <w:rFonts w:cs="Callibri"/>
          <w:spacing w:val="-2"/>
          <w:sz w:val="18"/>
          <w:szCs w:val="18"/>
          <w:lang w:val="en-US"/>
        </w:rPr>
        <w:t xml:space="preserve"> order for</w:t>
      </w:r>
      <w:r w:rsidRPr="008A1DB4">
        <w:rPr>
          <w:rFonts w:cs="Callibri"/>
          <w:spacing w:val="-2"/>
          <w:sz w:val="18"/>
          <w:szCs w:val="18"/>
          <w:lang w:val="en-US"/>
        </w:rPr>
        <w:t xml:space="preserve"> </w:t>
      </w:r>
      <w:r w:rsidR="006B70BB">
        <w:rPr>
          <w:rFonts w:cs="Callibri"/>
          <w:spacing w:val="-2"/>
          <w:sz w:val="18"/>
          <w:szCs w:val="18"/>
          <w:lang w:val="en-US"/>
        </w:rPr>
        <w:t>arrest or prison</w:t>
      </w:r>
      <w:r w:rsidRPr="008A1DB4">
        <w:rPr>
          <w:rFonts w:cs="Callibri"/>
          <w:spacing w:val="-2"/>
          <w:sz w:val="18"/>
          <w:szCs w:val="18"/>
          <w:lang w:val="en-US"/>
        </w:rPr>
        <w:t>, and of absence or contempt of court, if appropriate;</w:t>
      </w:r>
    </w:p>
    <w:p w14:paraId="2587DAAE" w14:textId="19E5A863" w:rsidR="00650A5D" w:rsidRPr="008A1DB4" w:rsidRDefault="00650A5D" w:rsidP="00956E97">
      <w:pPr>
        <w:ind w:left="851" w:right="615"/>
        <w:rPr>
          <w:rFonts w:cs="Callibri"/>
          <w:spacing w:val="-2"/>
          <w:sz w:val="18"/>
          <w:szCs w:val="18"/>
          <w:lang w:val="en-US"/>
        </w:rPr>
      </w:pPr>
      <w:r w:rsidRPr="008A1DB4">
        <w:rPr>
          <w:rFonts w:cs="Callibri"/>
          <w:spacing w:val="-2"/>
          <w:sz w:val="18"/>
          <w:szCs w:val="18"/>
          <w:lang w:val="en-US"/>
        </w:rPr>
        <w:t>e) The undertaking of the requesting State to present the formal extradition request within 30 days of the receipt of the requisition. If this time limit shall expire before the extradition request has been formally submitted, the person arrested shall be released immediately.</w:t>
      </w:r>
    </w:p>
    <w:p w14:paraId="1192503D" w14:textId="77777777" w:rsidR="005E53CB" w:rsidRPr="008A1DB4" w:rsidRDefault="005E53CB" w:rsidP="00956E97">
      <w:pPr>
        <w:ind w:left="851" w:right="615"/>
        <w:rPr>
          <w:rFonts w:cs="Callibri"/>
          <w:spacing w:val="-2"/>
          <w:sz w:val="18"/>
          <w:szCs w:val="18"/>
          <w:lang w:val="en-US"/>
        </w:rPr>
      </w:pPr>
    </w:p>
    <w:p w14:paraId="6E6D0D04" w14:textId="67DD350B" w:rsidR="00601B3D" w:rsidRPr="008A1DB4" w:rsidRDefault="005E53CB" w:rsidP="00956E97">
      <w:pPr>
        <w:ind w:left="567" w:right="615"/>
        <w:rPr>
          <w:rFonts w:cs="Callibri"/>
          <w:spacing w:val="-2"/>
          <w:sz w:val="18"/>
          <w:szCs w:val="18"/>
          <w:lang w:val="en-US"/>
        </w:rPr>
      </w:pPr>
      <w:r w:rsidRPr="008A1DB4">
        <w:rPr>
          <w:rFonts w:cs="Callibri"/>
          <w:spacing w:val="-2"/>
          <w:sz w:val="18"/>
          <w:szCs w:val="18"/>
          <w:lang w:val="en-US"/>
        </w:rPr>
        <w:t xml:space="preserve">3. </w:t>
      </w:r>
      <w:r w:rsidR="00650A5D" w:rsidRPr="008A1DB4">
        <w:rPr>
          <w:rFonts w:cs="Callibri"/>
          <w:spacing w:val="-2"/>
          <w:sz w:val="18"/>
          <w:szCs w:val="18"/>
          <w:lang w:val="en-US"/>
        </w:rPr>
        <w:t>The Prosecutor General</w:t>
      </w:r>
      <w:r w:rsidR="00601B3D" w:rsidRPr="008A1DB4">
        <w:rPr>
          <w:rFonts w:cs="Callibri"/>
          <w:spacing w:val="-2"/>
          <w:sz w:val="18"/>
          <w:szCs w:val="18"/>
          <w:lang w:val="en-US"/>
        </w:rPr>
        <w:t xml:space="preserve"> </w:t>
      </w:r>
      <w:r w:rsidR="00650A5D" w:rsidRPr="008A1DB4">
        <w:rPr>
          <w:rFonts w:cs="Callibri"/>
          <w:spacing w:val="-2"/>
          <w:sz w:val="18"/>
          <w:szCs w:val="18"/>
          <w:lang w:val="en-US"/>
        </w:rPr>
        <w:t xml:space="preserve">shall immediately </w:t>
      </w:r>
      <w:r w:rsidR="0079515C" w:rsidRPr="008A1DB4">
        <w:rPr>
          <w:rFonts w:cs="Callibri"/>
          <w:spacing w:val="-2"/>
          <w:sz w:val="18"/>
          <w:szCs w:val="18"/>
          <w:lang w:val="en-US"/>
        </w:rPr>
        <w:t>forward</w:t>
      </w:r>
      <w:r w:rsidR="00650A5D" w:rsidRPr="008A1DB4">
        <w:rPr>
          <w:rFonts w:cs="Callibri"/>
          <w:spacing w:val="-2"/>
          <w:sz w:val="18"/>
          <w:szCs w:val="18"/>
          <w:lang w:val="en-US"/>
        </w:rPr>
        <w:t xml:space="preserve"> this</w:t>
      </w:r>
      <w:r w:rsidR="006B70BB">
        <w:rPr>
          <w:rFonts w:cs="Callibri"/>
          <w:spacing w:val="-2"/>
          <w:sz w:val="18"/>
          <w:szCs w:val="18"/>
          <w:lang w:val="en-US"/>
        </w:rPr>
        <w:t xml:space="preserve"> request</w:t>
      </w:r>
      <w:r w:rsidR="00650A5D" w:rsidRPr="008A1DB4">
        <w:rPr>
          <w:rFonts w:cs="Callibri"/>
          <w:spacing w:val="-2"/>
          <w:sz w:val="18"/>
          <w:szCs w:val="18"/>
          <w:lang w:val="en-US"/>
        </w:rPr>
        <w:t xml:space="preserve"> to the competent preliminary investigation judge, advising the corresponding provincial prosecutor.</w:t>
      </w:r>
    </w:p>
    <w:p w14:paraId="351CF3DA" w14:textId="77777777" w:rsidR="005E53CB" w:rsidRPr="008A1DB4" w:rsidRDefault="005E53CB" w:rsidP="00956E97">
      <w:pPr>
        <w:ind w:left="567"/>
        <w:rPr>
          <w:spacing w:val="-2"/>
          <w:lang w:val="en-US"/>
        </w:rPr>
      </w:pPr>
    </w:p>
    <w:p w14:paraId="4A9CDFCB" w14:textId="729C6D11" w:rsidR="00650A5D" w:rsidRPr="008A1DB4" w:rsidRDefault="00601B3D" w:rsidP="00956E97">
      <w:pPr>
        <w:ind w:left="567" w:right="615"/>
        <w:rPr>
          <w:rFonts w:cs="Callibri"/>
          <w:spacing w:val="-2"/>
          <w:sz w:val="18"/>
          <w:szCs w:val="18"/>
          <w:lang w:val="en-US"/>
        </w:rPr>
      </w:pPr>
      <w:r w:rsidRPr="008A1DB4">
        <w:rPr>
          <w:rFonts w:cs="Callibri"/>
          <w:spacing w:val="-2"/>
          <w:sz w:val="18"/>
          <w:szCs w:val="18"/>
          <w:lang w:val="en-US"/>
        </w:rPr>
        <w:t xml:space="preserve">4. </w:t>
      </w:r>
      <w:r w:rsidR="00650A5D" w:rsidRPr="008A1DB4">
        <w:rPr>
          <w:rFonts w:cs="Callibri"/>
          <w:spacing w:val="-2"/>
          <w:sz w:val="18"/>
          <w:szCs w:val="18"/>
          <w:lang w:val="en-US"/>
        </w:rPr>
        <w:t xml:space="preserve">The judge will issue a </w:t>
      </w:r>
      <w:r w:rsidR="0079515C" w:rsidRPr="008A1DB4">
        <w:rPr>
          <w:rFonts w:cs="Callibri"/>
          <w:spacing w:val="-2"/>
          <w:sz w:val="18"/>
          <w:szCs w:val="18"/>
          <w:lang w:val="en-US"/>
        </w:rPr>
        <w:t>provisional</w:t>
      </w:r>
      <w:r w:rsidR="00650A5D" w:rsidRPr="008A1DB4">
        <w:rPr>
          <w:rFonts w:cs="Callibri"/>
          <w:spacing w:val="-2"/>
          <w:sz w:val="18"/>
          <w:szCs w:val="18"/>
          <w:lang w:val="en-US"/>
        </w:rPr>
        <w:t xml:space="preserve"> arrest warrant, provi</w:t>
      </w:r>
      <w:r w:rsidR="006B70BB">
        <w:rPr>
          <w:rFonts w:cs="Callibri"/>
          <w:spacing w:val="-2"/>
          <w:sz w:val="18"/>
          <w:szCs w:val="18"/>
          <w:lang w:val="en-US"/>
        </w:rPr>
        <w:t xml:space="preserve">ded that the act </w:t>
      </w:r>
      <w:r w:rsidR="00650A5D" w:rsidRPr="008A1DB4">
        <w:rPr>
          <w:rFonts w:cs="Callibri"/>
          <w:spacing w:val="-2"/>
          <w:sz w:val="18"/>
          <w:szCs w:val="18"/>
          <w:lang w:val="en-US"/>
        </w:rPr>
        <w:t>considered an offense is also an offense in Peru and a criminal punishment of any kind equal</w:t>
      </w:r>
      <w:r w:rsidR="006B70BB">
        <w:rPr>
          <w:rFonts w:cs="Callibri"/>
          <w:spacing w:val="-2"/>
          <w:sz w:val="18"/>
          <w:szCs w:val="18"/>
          <w:lang w:val="en-US"/>
        </w:rPr>
        <w:t xml:space="preserve"> to</w:t>
      </w:r>
      <w:r w:rsidR="00650A5D" w:rsidRPr="008A1DB4">
        <w:rPr>
          <w:rFonts w:cs="Callibri"/>
          <w:spacing w:val="-2"/>
          <w:sz w:val="18"/>
          <w:szCs w:val="18"/>
          <w:lang w:val="en-US"/>
        </w:rPr>
        <w:t xml:space="preserve"> or in excess of one year’s imprisonment has not been established. If the perpetration of several offenses has been mentioned, it shall be sufficient that one of them complies with this condition in order for it to be in order for the other offenses. The decision issued shall be noti</w:t>
      </w:r>
      <w:r w:rsidR="0079515C">
        <w:rPr>
          <w:rFonts w:cs="Callibri"/>
          <w:spacing w:val="-2"/>
          <w:sz w:val="18"/>
          <w:szCs w:val="18"/>
          <w:lang w:val="en-US"/>
        </w:rPr>
        <w:t>fi</w:t>
      </w:r>
      <w:r w:rsidR="00650A5D" w:rsidRPr="008A1DB4">
        <w:rPr>
          <w:rFonts w:cs="Callibri"/>
          <w:spacing w:val="-2"/>
          <w:sz w:val="18"/>
          <w:szCs w:val="18"/>
          <w:lang w:val="en-US"/>
        </w:rPr>
        <w:t>ed to the prosecutor and advised to the Prosecutor General and the local INTERPOL office.</w:t>
      </w:r>
    </w:p>
    <w:p w14:paraId="630CC93E" w14:textId="77777777" w:rsidR="005E53CB" w:rsidRPr="008A1DB4" w:rsidRDefault="005E53CB" w:rsidP="00650A5D">
      <w:pPr>
        <w:ind w:right="615"/>
        <w:rPr>
          <w:rFonts w:cs="Callibri"/>
          <w:spacing w:val="-2"/>
          <w:sz w:val="18"/>
          <w:szCs w:val="18"/>
          <w:lang w:val="en-US"/>
        </w:rPr>
      </w:pPr>
    </w:p>
    <w:p w14:paraId="17260085" w14:textId="55551F16" w:rsidR="00650A5D" w:rsidRPr="008A1DB4" w:rsidRDefault="00601B3D" w:rsidP="00956E97">
      <w:pPr>
        <w:ind w:left="567" w:right="615"/>
        <w:rPr>
          <w:rFonts w:cs="Callibri"/>
          <w:spacing w:val="-2"/>
          <w:sz w:val="18"/>
          <w:szCs w:val="18"/>
          <w:lang w:val="en-US"/>
        </w:rPr>
      </w:pPr>
      <w:r w:rsidRPr="008A1DB4">
        <w:rPr>
          <w:rFonts w:cs="Callibri"/>
          <w:spacing w:val="-2"/>
          <w:sz w:val="18"/>
          <w:szCs w:val="18"/>
          <w:lang w:val="en-US"/>
        </w:rPr>
        <w:t xml:space="preserve">5. </w:t>
      </w:r>
      <w:r w:rsidR="00650A5D" w:rsidRPr="008A1DB4">
        <w:rPr>
          <w:rFonts w:cs="Callibri"/>
          <w:spacing w:val="-2"/>
          <w:sz w:val="18"/>
          <w:szCs w:val="18"/>
          <w:lang w:val="en-US"/>
        </w:rPr>
        <w:t>In the case of paragraph 1(b), the border police shall immediately bring the detainee before the competent preliminary investigation judge of the place where the arrest is made, advising the provincial prosecutor. The judge, using the fastest means, which may be telephone, fax or electronic mail, shall advis</w:t>
      </w:r>
      <w:r w:rsidR="00450EC8" w:rsidRPr="008A1DB4">
        <w:rPr>
          <w:rFonts w:cs="Callibri"/>
          <w:spacing w:val="-2"/>
          <w:sz w:val="18"/>
          <w:szCs w:val="18"/>
          <w:lang w:val="en-US"/>
        </w:rPr>
        <w:t>e</w:t>
      </w:r>
      <w:r w:rsidR="00650A5D" w:rsidRPr="008A1DB4">
        <w:rPr>
          <w:rFonts w:cs="Callibri"/>
          <w:spacing w:val="-2"/>
          <w:sz w:val="18"/>
          <w:szCs w:val="18"/>
          <w:lang w:val="en-US"/>
        </w:rPr>
        <w:t xml:space="preserve"> the Prosecutor General and the diplomatic or consular official of the country </w:t>
      </w:r>
      <w:r w:rsidR="00450EC8" w:rsidRPr="008A1DB4">
        <w:rPr>
          <w:rFonts w:cs="Callibri"/>
          <w:spacing w:val="-2"/>
          <w:sz w:val="18"/>
          <w:szCs w:val="18"/>
          <w:lang w:val="en-US"/>
        </w:rPr>
        <w:t>seeking the detainee. The diplomatic or consular representative shall have two days to require the continuation of the provisional arrest, accompanying his request with the conditions established in paragraph 2 of this article. If this is not done, the person arrested shall be released immediately.</w:t>
      </w:r>
    </w:p>
    <w:p w14:paraId="7C914AA1" w14:textId="77777777" w:rsidR="005E53CB" w:rsidRPr="008A1DB4" w:rsidRDefault="005E53CB" w:rsidP="00956E97">
      <w:pPr>
        <w:ind w:left="567" w:right="615"/>
        <w:rPr>
          <w:rFonts w:cs="Callibri"/>
          <w:spacing w:val="-2"/>
          <w:sz w:val="18"/>
          <w:szCs w:val="18"/>
          <w:lang w:val="en-US"/>
        </w:rPr>
      </w:pPr>
    </w:p>
    <w:p w14:paraId="08B46EFE" w14:textId="117F5F56" w:rsidR="00601B3D" w:rsidRPr="008A1DB4" w:rsidRDefault="00601B3D" w:rsidP="00956E97">
      <w:pPr>
        <w:ind w:left="567" w:right="615"/>
        <w:rPr>
          <w:rFonts w:cs="Callibri"/>
          <w:spacing w:val="-2"/>
          <w:sz w:val="18"/>
          <w:szCs w:val="18"/>
          <w:lang w:val="en-US"/>
        </w:rPr>
      </w:pPr>
      <w:r w:rsidRPr="008A1DB4">
        <w:rPr>
          <w:rFonts w:cs="Callibri"/>
          <w:spacing w:val="-2"/>
          <w:sz w:val="18"/>
          <w:szCs w:val="18"/>
          <w:lang w:val="en-US"/>
        </w:rPr>
        <w:t xml:space="preserve">6. </w:t>
      </w:r>
      <w:r w:rsidR="00450EC8" w:rsidRPr="008A1DB4">
        <w:rPr>
          <w:rFonts w:cs="Callibri"/>
          <w:spacing w:val="-2"/>
          <w:sz w:val="18"/>
          <w:szCs w:val="18"/>
          <w:lang w:val="en-US"/>
        </w:rPr>
        <w:t>Once</w:t>
      </w:r>
      <w:r w:rsidRPr="008A1DB4">
        <w:rPr>
          <w:rFonts w:cs="Callibri"/>
          <w:spacing w:val="-2"/>
          <w:sz w:val="18"/>
          <w:szCs w:val="18"/>
          <w:lang w:val="en-US"/>
        </w:rPr>
        <w:t xml:space="preserve"> </w:t>
      </w:r>
      <w:r w:rsidR="004257EF" w:rsidRPr="008A1DB4">
        <w:rPr>
          <w:rFonts w:cs="Callibri"/>
          <w:spacing w:val="-2"/>
          <w:sz w:val="18"/>
          <w:szCs w:val="18"/>
          <w:lang w:val="en-US"/>
        </w:rPr>
        <w:t>the provisional arrest</w:t>
      </w:r>
      <w:r w:rsidR="00450EC8" w:rsidRPr="008A1DB4">
        <w:rPr>
          <w:rFonts w:cs="Callibri"/>
          <w:spacing w:val="-2"/>
          <w:sz w:val="18"/>
          <w:szCs w:val="18"/>
          <w:lang w:val="en-US"/>
        </w:rPr>
        <w:t xml:space="preserve"> has been ordered</w:t>
      </w:r>
      <w:r w:rsidRPr="008A1DB4">
        <w:rPr>
          <w:rFonts w:cs="Callibri"/>
          <w:spacing w:val="-2"/>
          <w:sz w:val="18"/>
          <w:szCs w:val="18"/>
          <w:lang w:val="en-US"/>
        </w:rPr>
        <w:t xml:space="preserve">, </w:t>
      </w:r>
      <w:r w:rsidR="00450EC8" w:rsidRPr="008A1DB4">
        <w:rPr>
          <w:rFonts w:cs="Callibri"/>
          <w:spacing w:val="-2"/>
          <w:sz w:val="18"/>
          <w:szCs w:val="18"/>
          <w:lang w:val="en-US"/>
        </w:rPr>
        <w:t>the pre</w:t>
      </w:r>
      <w:r w:rsidR="006B70BB">
        <w:rPr>
          <w:rFonts w:cs="Callibri"/>
          <w:spacing w:val="-2"/>
          <w:sz w:val="18"/>
          <w:szCs w:val="18"/>
          <w:lang w:val="en-US"/>
        </w:rPr>
        <w:t>liminary</w:t>
      </w:r>
      <w:r w:rsidR="00450EC8" w:rsidRPr="008A1DB4">
        <w:rPr>
          <w:rFonts w:cs="Callibri"/>
          <w:spacing w:val="-2"/>
          <w:sz w:val="18"/>
          <w:szCs w:val="18"/>
          <w:lang w:val="en-US"/>
        </w:rPr>
        <w:t xml:space="preserve"> investigation judge</w:t>
      </w:r>
      <w:r w:rsidRPr="008A1DB4">
        <w:rPr>
          <w:rFonts w:cs="Callibri"/>
          <w:spacing w:val="-2"/>
          <w:sz w:val="18"/>
          <w:szCs w:val="18"/>
          <w:lang w:val="en-US"/>
        </w:rPr>
        <w:t xml:space="preserve"> </w:t>
      </w:r>
      <w:r w:rsidR="00450EC8" w:rsidRPr="008A1DB4">
        <w:rPr>
          <w:rFonts w:cs="Callibri"/>
          <w:spacing w:val="-2"/>
          <w:sz w:val="18"/>
          <w:szCs w:val="18"/>
          <w:lang w:val="en-US"/>
        </w:rPr>
        <w:t xml:space="preserve">shall hear the person arrested within 24 hours, and shall appoint a defense lawyers </w:t>
      </w:r>
      <w:r w:rsidR="00450EC8" w:rsidRPr="008A1DB4">
        <w:rPr>
          <w:rFonts w:cs="Callibri"/>
          <w:i/>
          <w:spacing w:val="-2"/>
          <w:sz w:val="18"/>
          <w:szCs w:val="18"/>
          <w:lang w:val="en-US"/>
        </w:rPr>
        <w:t>ex officio</w:t>
      </w:r>
      <w:r w:rsidR="006B70BB">
        <w:rPr>
          <w:rFonts w:cs="Callibri"/>
          <w:spacing w:val="-2"/>
          <w:sz w:val="18"/>
          <w:szCs w:val="18"/>
          <w:lang w:val="en-US"/>
        </w:rPr>
        <w:t>, if that person</w:t>
      </w:r>
      <w:r w:rsidR="00450EC8" w:rsidRPr="008A1DB4">
        <w:rPr>
          <w:rFonts w:cs="Callibri"/>
          <w:spacing w:val="-2"/>
          <w:sz w:val="18"/>
          <w:szCs w:val="18"/>
          <w:lang w:val="en-US"/>
        </w:rPr>
        <w:t xml:space="preserve"> does not appoint </w:t>
      </w:r>
      <w:r w:rsidRPr="008A1DB4">
        <w:rPr>
          <w:rFonts w:cs="Callibri"/>
          <w:spacing w:val="-2"/>
          <w:sz w:val="18"/>
          <w:szCs w:val="18"/>
          <w:lang w:val="en-US"/>
        </w:rPr>
        <w:t>o</w:t>
      </w:r>
      <w:r w:rsidR="00450EC8" w:rsidRPr="008A1DB4">
        <w:rPr>
          <w:rFonts w:cs="Callibri"/>
          <w:spacing w:val="-2"/>
          <w:sz w:val="18"/>
          <w:szCs w:val="18"/>
          <w:lang w:val="en-US"/>
        </w:rPr>
        <w:t xml:space="preserve">ne of his own choice. The arrest shall be lifted if, initially, the judge notes that the conditions indicated in </w:t>
      </w:r>
      <w:r w:rsidR="00450EC8" w:rsidRPr="00F26E60">
        <w:rPr>
          <w:rFonts w:cs="Callibri"/>
          <w:spacing w:val="-2"/>
          <w:sz w:val="18"/>
          <w:szCs w:val="18"/>
          <w:lang w:val="en-US"/>
        </w:rPr>
        <w:t xml:space="preserve">paragraph 4 of this article have not been met, becoming </w:t>
      </w:r>
      <w:r w:rsidR="00F26E60" w:rsidRPr="00F26E60">
        <w:rPr>
          <w:spacing w:val="-2"/>
          <w:sz w:val="18"/>
          <w:szCs w:val="18"/>
          <w:lang w:val="en-US"/>
        </w:rPr>
        <w:t>an order to appear in court periodically</w:t>
      </w:r>
      <w:r w:rsidR="00450EC8" w:rsidRPr="00F26E60">
        <w:rPr>
          <w:rFonts w:cs="Callibri"/>
          <w:spacing w:val="-2"/>
          <w:sz w:val="18"/>
          <w:szCs w:val="18"/>
          <w:lang w:val="en-US"/>
        </w:rPr>
        <w:t>, with</w:t>
      </w:r>
      <w:r w:rsidR="00450EC8" w:rsidRPr="008A1DB4">
        <w:rPr>
          <w:rFonts w:cs="Callibri"/>
          <w:spacing w:val="-2"/>
          <w:sz w:val="18"/>
          <w:szCs w:val="18"/>
          <w:lang w:val="en-US"/>
        </w:rPr>
        <w:t xml:space="preserve"> the prohibition to leave the country. The arrest shall cease if it is proved that the person arrested is not the person sought, or when 30 days have passed without the formal submission of the extradition request.</w:t>
      </w:r>
    </w:p>
    <w:p w14:paraId="6CE8ED09" w14:textId="77777777" w:rsidR="005E53CB" w:rsidRPr="008A1DB4" w:rsidRDefault="005E53CB" w:rsidP="00956E97">
      <w:pPr>
        <w:ind w:left="567" w:right="615"/>
        <w:rPr>
          <w:rFonts w:cs="Callibri"/>
          <w:spacing w:val="-2"/>
          <w:sz w:val="18"/>
          <w:szCs w:val="18"/>
          <w:lang w:val="en-US"/>
        </w:rPr>
      </w:pPr>
    </w:p>
    <w:p w14:paraId="0D12C67E" w14:textId="1E895332" w:rsidR="00601B3D" w:rsidRPr="008A1DB4" w:rsidRDefault="005E53CB" w:rsidP="00956E97">
      <w:pPr>
        <w:ind w:left="567" w:right="615"/>
        <w:rPr>
          <w:rFonts w:cs="Callibri"/>
          <w:spacing w:val="-2"/>
          <w:sz w:val="18"/>
          <w:szCs w:val="18"/>
          <w:lang w:val="en-US"/>
        </w:rPr>
      </w:pPr>
      <w:r w:rsidRPr="008A1DB4">
        <w:rPr>
          <w:rFonts w:cs="Callibri"/>
          <w:spacing w:val="-2"/>
          <w:sz w:val="18"/>
          <w:szCs w:val="18"/>
          <w:lang w:val="en-US"/>
        </w:rPr>
        <w:t xml:space="preserve">7. </w:t>
      </w:r>
      <w:r w:rsidR="00450EC8" w:rsidRPr="008A1DB4">
        <w:rPr>
          <w:rFonts w:cs="Callibri"/>
          <w:spacing w:val="-2"/>
          <w:sz w:val="18"/>
          <w:szCs w:val="18"/>
          <w:lang w:val="en-US"/>
        </w:rPr>
        <w:t xml:space="preserve">The person arrested who is released because the extradition request was not submitted in time may be arrested again for the same offense, provided that a formal extradition request is received. </w:t>
      </w:r>
    </w:p>
    <w:p w14:paraId="3EDA5759" w14:textId="77777777" w:rsidR="005E53CB" w:rsidRPr="008A1DB4" w:rsidRDefault="005E53CB" w:rsidP="00956E97">
      <w:pPr>
        <w:ind w:left="567"/>
        <w:rPr>
          <w:spacing w:val="-2"/>
          <w:lang w:val="en-US"/>
        </w:rPr>
      </w:pPr>
    </w:p>
    <w:p w14:paraId="24557670" w14:textId="54C6C0A2" w:rsidR="00601B3D" w:rsidRPr="008A1DB4" w:rsidRDefault="005E53CB" w:rsidP="00956E97">
      <w:pPr>
        <w:ind w:left="567" w:right="615"/>
        <w:rPr>
          <w:rFonts w:cs="Callibri"/>
          <w:spacing w:val="-2"/>
          <w:sz w:val="18"/>
          <w:szCs w:val="18"/>
          <w:lang w:val="en-US"/>
        </w:rPr>
      </w:pPr>
      <w:r w:rsidRPr="008A1DB4">
        <w:rPr>
          <w:rFonts w:cs="Callibri"/>
          <w:spacing w:val="-2"/>
          <w:sz w:val="18"/>
          <w:szCs w:val="18"/>
          <w:lang w:val="en-US"/>
        </w:rPr>
        <w:t xml:space="preserve">8. </w:t>
      </w:r>
      <w:r w:rsidR="00450EC8" w:rsidRPr="008A1DB4">
        <w:rPr>
          <w:rFonts w:cs="Callibri"/>
          <w:spacing w:val="-2"/>
          <w:sz w:val="18"/>
          <w:szCs w:val="18"/>
          <w:lang w:val="en-US"/>
        </w:rPr>
        <w:t>While</w:t>
      </w:r>
      <w:r w:rsidR="00601B3D" w:rsidRPr="008A1DB4">
        <w:rPr>
          <w:rFonts w:cs="Callibri"/>
          <w:spacing w:val="-2"/>
          <w:sz w:val="18"/>
          <w:szCs w:val="18"/>
          <w:lang w:val="en-US"/>
        </w:rPr>
        <w:t xml:space="preserve"> </w:t>
      </w:r>
      <w:r w:rsidR="004257EF" w:rsidRPr="008A1DB4">
        <w:rPr>
          <w:rFonts w:cs="Callibri"/>
          <w:spacing w:val="-2"/>
          <w:sz w:val="18"/>
          <w:szCs w:val="18"/>
          <w:lang w:val="en-US"/>
        </w:rPr>
        <w:t>the provisional arrest</w:t>
      </w:r>
      <w:r w:rsidR="00450EC8" w:rsidRPr="008A1DB4">
        <w:rPr>
          <w:rFonts w:cs="Callibri"/>
          <w:spacing w:val="-2"/>
          <w:sz w:val="18"/>
          <w:szCs w:val="18"/>
          <w:lang w:val="en-US"/>
        </w:rPr>
        <w:t xml:space="preserve"> lasts</w:t>
      </w:r>
      <w:r w:rsidR="00601B3D" w:rsidRPr="008A1DB4">
        <w:rPr>
          <w:rFonts w:cs="Callibri"/>
          <w:spacing w:val="-2"/>
          <w:sz w:val="18"/>
          <w:szCs w:val="18"/>
          <w:lang w:val="en-US"/>
        </w:rPr>
        <w:t xml:space="preserve">, </w:t>
      </w:r>
      <w:r w:rsidR="00450EC8" w:rsidRPr="008A1DB4">
        <w:rPr>
          <w:rFonts w:cs="Callibri"/>
          <w:spacing w:val="-2"/>
          <w:sz w:val="18"/>
          <w:szCs w:val="18"/>
          <w:lang w:val="en-US"/>
        </w:rPr>
        <w:t xml:space="preserve">the person arrested may consent to be transferred to the </w:t>
      </w:r>
      <w:r w:rsidR="001E7113" w:rsidRPr="008A1DB4">
        <w:rPr>
          <w:rFonts w:cs="Callibri"/>
          <w:spacing w:val="-2"/>
          <w:sz w:val="18"/>
          <w:szCs w:val="18"/>
          <w:lang w:val="en-US"/>
        </w:rPr>
        <w:t>Requesting State</w:t>
      </w:r>
      <w:r w:rsidR="00601B3D" w:rsidRPr="008A1DB4">
        <w:rPr>
          <w:rFonts w:cs="Callibri"/>
          <w:spacing w:val="-2"/>
          <w:sz w:val="18"/>
          <w:szCs w:val="18"/>
          <w:lang w:val="en-US"/>
        </w:rPr>
        <w:t xml:space="preserve">. </w:t>
      </w:r>
      <w:r w:rsidR="00450EC8" w:rsidRPr="008A1DB4">
        <w:rPr>
          <w:rFonts w:cs="Callibri"/>
          <w:spacing w:val="-2"/>
          <w:sz w:val="18"/>
          <w:szCs w:val="18"/>
          <w:lang w:val="en-US"/>
        </w:rPr>
        <w:t xml:space="preserve">In this case, the provisions of article 521(6) shall be followed. </w:t>
      </w:r>
    </w:p>
    <w:p w14:paraId="7FABBAC2" w14:textId="77777777" w:rsidR="005E53CB" w:rsidRPr="008A1DB4" w:rsidRDefault="005E53CB" w:rsidP="00956E97">
      <w:pPr>
        <w:ind w:left="567"/>
        <w:rPr>
          <w:spacing w:val="-2"/>
          <w:lang w:val="en-US"/>
        </w:rPr>
      </w:pPr>
    </w:p>
    <w:p w14:paraId="7DAD7608" w14:textId="61BD7F08" w:rsidR="00601B3D" w:rsidRPr="008A1DB4" w:rsidRDefault="00450EC8" w:rsidP="00450EC8">
      <w:pPr>
        <w:suppressAutoHyphens/>
        <w:ind w:left="567" w:right="615"/>
        <w:rPr>
          <w:rFonts w:cs="Callibri"/>
          <w:spacing w:val="-2"/>
          <w:sz w:val="18"/>
          <w:szCs w:val="18"/>
          <w:lang w:val="en-US"/>
        </w:rPr>
      </w:pPr>
      <w:r w:rsidRPr="008A1DB4">
        <w:rPr>
          <w:rFonts w:cs="Callibri"/>
          <w:spacing w:val="-2"/>
          <w:sz w:val="18"/>
          <w:szCs w:val="18"/>
          <w:lang w:val="en-US"/>
        </w:rPr>
        <w:t xml:space="preserve">9. The person arrested may obtain </w:t>
      </w:r>
      <w:r w:rsidR="00343472" w:rsidRPr="008A1DB4">
        <w:rPr>
          <w:rFonts w:cs="Callibri"/>
          <w:spacing w:val="-2"/>
          <w:sz w:val="18"/>
          <w:szCs w:val="18"/>
          <w:lang w:val="en-US"/>
        </w:rPr>
        <w:t>provisional release</w:t>
      </w:r>
      <w:r w:rsidR="00601B3D" w:rsidRPr="008A1DB4">
        <w:rPr>
          <w:rFonts w:cs="Callibri"/>
          <w:spacing w:val="-2"/>
          <w:sz w:val="18"/>
          <w:szCs w:val="18"/>
          <w:lang w:val="en-US"/>
        </w:rPr>
        <w:t xml:space="preserve">, </w:t>
      </w:r>
      <w:r w:rsidRPr="008A1DB4">
        <w:rPr>
          <w:rFonts w:cs="Callibri"/>
          <w:spacing w:val="-2"/>
          <w:sz w:val="18"/>
          <w:szCs w:val="18"/>
          <w:lang w:val="en-US"/>
        </w:rPr>
        <w:t xml:space="preserve">if the legal time </w:t>
      </w:r>
      <w:r w:rsidR="003D2FF4">
        <w:rPr>
          <w:rFonts w:cs="Callibri"/>
          <w:spacing w:val="-2"/>
          <w:sz w:val="18"/>
          <w:szCs w:val="18"/>
          <w:lang w:val="en-US"/>
        </w:rPr>
        <w:t>frames</w:t>
      </w:r>
      <w:r w:rsidRPr="008A1DB4">
        <w:rPr>
          <w:rFonts w:cs="Callibri"/>
          <w:spacing w:val="-2"/>
          <w:sz w:val="18"/>
          <w:szCs w:val="18"/>
          <w:lang w:val="en-US"/>
        </w:rPr>
        <w:t xml:space="preserve"> of the Treaty or of the law that justify the extradition request expire, or if the person whose extradition is requested meets the procedural conditions for this measure. In this case, an order of prohibition to leave the country shall be issued and his passport shall be retained, without prejudice to other measures of control that the judge may decide on a discretionary basis. The procedure established for the cessation of preventive detention shall be followed.</w:t>
      </w:r>
      <w:r w:rsidR="00601B3D" w:rsidRPr="008A1DB4">
        <w:rPr>
          <w:rStyle w:val="FootnoteReference"/>
          <w:rFonts w:cs="Callibri"/>
          <w:spacing w:val="-2"/>
          <w:sz w:val="18"/>
          <w:szCs w:val="18"/>
          <w:lang w:val="en-US"/>
        </w:rPr>
        <w:footnoteReference w:id="329"/>
      </w:r>
    </w:p>
    <w:p w14:paraId="02961ED3" w14:textId="77777777" w:rsidR="00601B3D" w:rsidRPr="008A1DB4" w:rsidRDefault="00601B3D" w:rsidP="00956E97">
      <w:pPr>
        <w:pStyle w:val="ListParagraph"/>
        <w:tabs>
          <w:tab w:val="left" w:pos="567"/>
        </w:tabs>
        <w:ind w:left="0"/>
        <w:contextualSpacing w:val="0"/>
        <w:rPr>
          <w:spacing w:val="-2"/>
          <w:szCs w:val="20"/>
          <w:lang w:val="en-US"/>
        </w:rPr>
      </w:pPr>
    </w:p>
    <w:p w14:paraId="54293953" w14:textId="49EEC476" w:rsidR="00601B3D" w:rsidRPr="008A1DB4" w:rsidRDefault="00450EC8" w:rsidP="00956E97">
      <w:pPr>
        <w:pStyle w:val="PrrafodeSentencia"/>
        <w:rPr>
          <w:spacing w:val="-2"/>
          <w:lang w:val="en-US"/>
        </w:rPr>
      </w:pPr>
      <w:bookmarkStart w:id="1004" w:name="_Ref419386574"/>
      <w:r w:rsidRPr="008A1DB4">
        <w:rPr>
          <w:spacing w:val="-2"/>
          <w:lang w:val="en-US"/>
        </w:rPr>
        <w:t xml:space="preserve">The possibility of obtaining the </w:t>
      </w:r>
      <w:r w:rsidR="00343472" w:rsidRPr="008A1DB4">
        <w:rPr>
          <w:spacing w:val="-2"/>
          <w:lang w:val="en-US"/>
        </w:rPr>
        <w:t>provisional release</w:t>
      </w:r>
      <w:r w:rsidRPr="008A1DB4">
        <w:rPr>
          <w:spacing w:val="-2"/>
          <w:lang w:val="en-US"/>
        </w:rPr>
        <w:t xml:space="preserve"> indicated in paragraph</w:t>
      </w:r>
      <w:r w:rsidR="00601B3D" w:rsidRPr="008A1DB4">
        <w:rPr>
          <w:spacing w:val="-2"/>
          <w:lang w:val="en-US"/>
        </w:rPr>
        <w:t xml:space="preserve"> 9 </w:t>
      </w:r>
      <w:r w:rsidRPr="008A1DB4">
        <w:rPr>
          <w:spacing w:val="-2"/>
          <w:lang w:val="en-US"/>
        </w:rPr>
        <w:t>of a</w:t>
      </w:r>
      <w:r w:rsidR="0058668C" w:rsidRPr="008A1DB4">
        <w:rPr>
          <w:spacing w:val="-2"/>
          <w:lang w:val="en-US"/>
        </w:rPr>
        <w:t>rticle</w:t>
      </w:r>
      <w:r w:rsidR="00601B3D" w:rsidRPr="008A1DB4">
        <w:rPr>
          <w:spacing w:val="-2"/>
          <w:lang w:val="en-US"/>
        </w:rPr>
        <w:t xml:space="preserve"> 523 (</w:t>
      </w:r>
      <w:r w:rsidR="00601B3D" w:rsidRPr="008A1DB4">
        <w:rPr>
          <w:i/>
          <w:spacing w:val="-2"/>
          <w:lang w:val="en-US"/>
        </w:rPr>
        <w:t xml:space="preserve">supra </w:t>
      </w:r>
      <w:r w:rsidR="00C45946" w:rsidRPr="008A1DB4">
        <w:rPr>
          <w:spacing w:val="-2"/>
          <w:lang w:val="en-US"/>
        </w:rPr>
        <w:t xml:space="preserve">para. </w:t>
      </w:r>
      <w:r w:rsidR="00ED08BA" w:rsidRPr="008A1DB4">
        <w:rPr>
          <w:spacing w:val="-2"/>
          <w:lang w:val="en-US"/>
        </w:rPr>
        <w:fldChar w:fldCharType="begin"/>
      </w:r>
      <w:r w:rsidR="00ED08BA" w:rsidRPr="008A1DB4">
        <w:rPr>
          <w:spacing w:val="-2"/>
          <w:lang w:val="en-US"/>
        </w:rPr>
        <w:instrText xml:space="preserve"> REF _Ref419386567 \r \h </w:instrText>
      </w:r>
      <w:r w:rsidR="00DC41F4" w:rsidRPr="008A1DB4">
        <w:rPr>
          <w:spacing w:val="-2"/>
          <w:lang w:val="en-US"/>
        </w:rPr>
        <w:instrText xml:space="preserve"> \* MERGEFORMAT </w:instrText>
      </w:r>
      <w:r w:rsidR="00ED08BA" w:rsidRPr="008A1DB4">
        <w:rPr>
          <w:spacing w:val="-2"/>
          <w:lang w:val="en-US"/>
        </w:rPr>
      </w:r>
      <w:r w:rsidR="00ED08BA" w:rsidRPr="008A1DB4">
        <w:rPr>
          <w:spacing w:val="-2"/>
          <w:lang w:val="en-US"/>
        </w:rPr>
        <w:fldChar w:fldCharType="separate"/>
      </w:r>
      <w:r w:rsidR="00E961FA" w:rsidRPr="008A1DB4">
        <w:rPr>
          <w:spacing w:val="-2"/>
          <w:lang w:val="en-US"/>
        </w:rPr>
        <w:t>241</w:t>
      </w:r>
      <w:r w:rsidR="00ED08BA" w:rsidRPr="008A1DB4">
        <w:rPr>
          <w:spacing w:val="-2"/>
          <w:lang w:val="en-US"/>
        </w:rPr>
        <w:fldChar w:fldCharType="end"/>
      </w:r>
      <w:r w:rsidR="00601B3D" w:rsidRPr="008A1DB4">
        <w:rPr>
          <w:spacing w:val="-2"/>
          <w:lang w:val="en-US"/>
        </w:rPr>
        <w:t xml:space="preserve">), </w:t>
      </w:r>
      <w:r w:rsidRPr="008A1DB4">
        <w:rPr>
          <w:spacing w:val="-2"/>
          <w:lang w:val="en-US"/>
        </w:rPr>
        <w:t>is regulated in a</w:t>
      </w:r>
      <w:r w:rsidR="00F36400" w:rsidRPr="008A1DB4">
        <w:rPr>
          <w:spacing w:val="-2"/>
          <w:lang w:val="en-US"/>
        </w:rPr>
        <w:t>rticle</w:t>
      </w:r>
      <w:r w:rsidR="00601B3D" w:rsidRPr="008A1DB4">
        <w:rPr>
          <w:spacing w:val="-2"/>
          <w:lang w:val="en-US"/>
        </w:rPr>
        <w:t xml:space="preserve"> 182 </w:t>
      </w:r>
      <w:r w:rsidRPr="008A1DB4">
        <w:rPr>
          <w:spacing w:val="-2"/>
          <w:lang w:val="en-US"/>
        </w:rPr>
        <w:t>of the Procedural Code (Legislative Decree</w:t>
      </w:r>
      <w:r w:rsidR="00601B3D" w:rsidRPr="008A1DB4">
        <w:rPr>
          <w:rFonts w:cs="Callibri"/>
          <w:spacing w:val="-2"/>
          <w:lang w:val="en-US"/>
        </w:rPr>
        <w:t xml:space="preserve"> No. 638)</w:t>
      </w:r>
      <w:r w:rsidR="00601B3D" w:rsidRPr="008A1DB4">
        <w:rPr>
          <w:spacing w:val="-2"/>
          <w:lang w:val="en-US"/>
        </w:rPr>
        <w:t xml:space="preserve">, </w:t>
      </w:r>
      <w:r w:rsidRPr="008A1DB4">
        <w:rPr>
          <w:spacing w:val="-2"/>
          <w:lang w:val="en-US"/>
        </w:rPr>
        <w:t>which establishes that the accused who is detained may request</w:t>
      </w:r>
      <w:r w:rsidR="00601B3D" w:rsidRPr="008A1DB4">
        <w:rPr>
          <w:spacing w:val="-2"/>
          <w:lang w:val="en-US"/>
        </w:rPr>
        <w:t xml:space="preserve"> </w:t>
      </w:r>
      <w:r w:rsidR="00343472" w:rsidRPr="008A1DB4">
        <w:rPr>
          <w:spacing w:val="-2"/>
          <w:lang w:val="en-US"/>
        </w:rPr>
        <w:t xml:space="preserve">provisional </w:t>
      </w:r>
      <w:r w:rsidR="00947926" w:rsidRPr="008A1DB4">
        <w:rPr>
          <w:spacing w:val="-2"/>
          <w:lang w:val="en-US"/>
        </w:rPr>
        <w:t>release</w:t>
      </w:r>
      <w:r w:rsidRPr="008A1DB4">
        <w:rPr>
          <w:spacing w:val="-2"/>
          <w:lang w:val="en-US"/>
        </w:rPr>
        <w:t xml:space="preserve"> when new evidence allows it to be reasonably envisaged that:</w:t>
      </w:r>
      <w:bookmarkEnd w:id="1004"/>
    </w:p>
    <w:p w14:paraId="4C891998" w14:textId="77777777" w:rsidR="00601B3D" w:rsidRPr="008A1DB4" w:rsidRDefault="00601B3D" w:rsidP="00956E97">
      <w:pPr>
        <w:tabs>
          <w:tab w:val="left" w:pos="567"/>
        </w:tabs>
        <w:ind w:right="335"/>
        <w:rPr>
          <w:spacing w:val="-2"/>
          <w:sz w:val="18"/>
          <w:szCs w:val="18"/>
          <w:lang w:val="en-US"/>
        </w:rPr>
      </w:pPr>
    </w:p>
    <w:p w14:paraId="42A7B10A" w14:textId="58975547" w:rsidR="00601B3D" w:rsidRPr="008A1DB4" w:rsidRDefault="00601B3D" w:rsidP="00956E97">
      <w:pPr>
        <w:tabs>
          <w:tab w:val="left" w:pos="567"/>
        </w:tabs>
        <w:ind w:left="567" w:right="335"/>
        <w:rPr>
          <w:spacing w:val="-2"/>
          <w:sz w:val="18"/>
          <w:szCs w:val="18"/>
          <w:lang w:val="en-US"/>
        </w:rPr>
      </w:pPr>
      <w:r w:rsidRPr="008A1DB4">
        <w:rPr>
          <w:spacing w:val="-2"/>
          <w:sz w:val="18"/>
          <w:szCs w:val="18"/>
          <w:lang w:val="en-US"/>
        </w:rPr>
        <w:lastRenderedPageBreak/>
        <w:t xml:space="preserve">1. </w:t>
      </w:r>
      <w:r w:rsidR="00450EC8" w:rsidRPr="008A1DB4">
        <w:rPr>
          <w:spacing w:val="-2"/>
          <w:sz w:val="18"/>
          <w:szCs w:val="18"/>
          <w:lang w:val="en-US"/>
        </w:rPr>
        <w:t xml:space="preserve">The prison sentence to be imposed on him will be less than four years, or when the accused has been detained for more than two-thirds of the prison term requested by the prosecutor in the written indictment. </w:t>
      </w:r>
    </w:p>
    <w:p w14:paraId="01FC7273" w14:textId="77777777" w:rsidR="005E53CB" w:rsidRPr="008A1DB4" w:rsidRDefault="005E53CB" w:rsidP="00956E97">
      <w:pPr>
        <w:tabs>
          <w:tab w:val="left" w:pos="567"/>
        </w:tabs>
        <w:ind w:left="567" w:right="335"/>
        <w:rPr>
          <w:spacing w:val="-2"/>
          <w:sz w:val="18"/>
          <w:szCs w:val="18"/>
          <w:lang w:val="en-US"/>
        </w:rPr>
      </w:pPr>
    </w:p>
    <w:p w14:paraId="363F97C9" w14:textId="7C122FE3" w:rsidR="00601B3D" w:rsidRPr="008A1DB4" w:rsidRDefault="00601B3D" w:rsidP="00956E97">
      <w:pPr>
        <w:tabs>
          <w:tab w:val="left" w:pos="567"/>
        </w:tabs>
        <w:ind w:left="567" w:right="335"/>
        <w:rPr>
          <w:spacing w:val="-2"/>
          <w:sz w:val="18"/>
          <w:szCs w:val="18"/>
          <w:lang w:val="en-US"/>
        </w:rPr>
      </w:pPr>
      <w:r w:rsidRPr="008A1DB4">
        <w:rPr>
          <w:spacing w:val="-2"/>
          <w:sz w:val="18"/>
          <w:szCs w:val="18"/>
          <w:lang w:val="en-US"/>
        </w:rPr>
        <w:t xml:space="preserve">2. </w:t>
      </w:r>
      <w:r w:rsidR="00450EC8" w:rsidRPr="008A1DB4">
        <w:rPr>
          <w:spacing w:val="-2"/>
          <w:sz w:val="18"/>
          <w:szCs w:val="18"/>
          <w:lang w:val="en-US"/>
        </w:rPr>
        <w:t xml:space="preserve">The probability that the accused will </w:t>
      </w:r>
      <w:r w:rsidR="007166B1" w:rsidRPr="008A1DB4">
        <w:rPr>
          <w:spacing w:val="-2"/>
          <w:sz w:val="18"/>
          <w:szCs w:val="18"/>
          <w:lang w:val="en-US"/>
        </w:rPr>
        <w:t xml:space="preserve">evade prosecution </w:t>
      </w:r>
      <w:r w:rsidR="00450EC8" w:rsidRPr="008A1DB4">
        <w:rPr>
          <w:spacing w:val="-2"/>
          <w:sz w:val="18"/>
          <w:szCs w:val="18"/>
          <w:lang w:val="en-US"/>
        </w:rPr>
        <w:t>or disrupt the probative activity has ceased</w:t>
      </w:r>
      <w:r w:rsidRPr="008A1DB4">
        <w:rPr>
          <w:spacing w:val="-2"/>
          <w:sz w:val="18"/>
          <w:szCs w:val="18"/>
          <w:lang w:val="en-US"/>
        </w:rPr>
        <w:t xml:space="preserve">. </w:t>
      </w:r>
    </w:p>
    <w:p w14:paraId="4CBF5103" w14:textId="77777777" w:rsidR="005E53CB" w:rsidRPr="008A1DB4" w:rsidRDefault="005E53CB" w:rsidP="00956E97">
      <w:pPr>
        <w:tabs>
          <w:tab w:val="left" w:pos="567"/>
        </w:tabs>
        <w:ind w:left="567" w:right="335"/>
        <w:rPr>
          <w:spacing w:val="-2"/>
          <w:sz w:val="18"/>
          <w:szCs w:val="18"/>
          <w:lang w:val="en-US"/>
        </w:rPr>
      </w:pPr>
    </w:p>
    <w:p w14:paraId="40AEDAFA" w14:textId="6B2466FE" w:rsidR="00601B3D" w:rsidRPr="008A1DB4" w:rsidRDefault="00601B3D" w:rsidP="00956E97">
      <w:pPr>
        <w:tabs>
          <w:tab w:val="left" w:pos="567"/>
        </w:tabs>
        <w:ind w:left="567" w:right="335"/>
        <w:rPr>
          <w:spacing w:val="-2"/>
          <w:sz w:val="18"/>
          <w:szCs w:val="18"/>
          <w:lang w:val="en-US"/>
        </w:rPr>
      </w:pPr>
      <w:r w:rsidRPr="008A1DB4">
        <w:rPr>
          <w:spacing w:val="-2"/>
          <w:sz w:val="18"/>
          <w:szCs w:val="18"/>
          <w:lang w:val="en-US"/>
        </w:rPr>
        <w:t xml:space="preserve">3. </w:t>
      </w:r>
      <w:r w:rsidR="00450EC8" w:rsidRPr="008A1DB4">
        <w:rPr>
          <w:spacing w:val="-2"/>
          <w:sz w:val="18"/>
          <w:szCs w:val="18"/>
          <w:lang w:val="en-US"/>
        </w:rPr>
        <w:t>The accused provides the surety that has been established or, if applicable, the person who is insolvent offers a personal guarantee.</w:t>
      </w:r>
      <w:r w:rsidRPr="008A1DB4">
        <w:rPr>
          <w:rStyle w:val="FootnoteReference"/>
          <w:spacing w:val="-2"/>
          <w:sz w:val="18"/>
          <w:szCs w:val="18"/>
          <w:lang w:val="en-US"/>
        </w:rPr>
        <w:footnoteReference w:id="330"/>
      </w:r>
      <w:r w:rsidRPr="008A1DB4">
        <w:rPr>
          <w:spacing w:val="-2"/>
          <w:sz w:val="18"/>
          <w:szCs w:val="18"/>
          <w:lang w:val="en-US"/>
        </w:rPr>
        <w:t xml:space="preserve"> </w:t>
      </w:r>
    </w:p>
    <w:p w14:paraId="0F138450" w14:textId="77777777" w:rsidR="00601B3D" w:rsidRPr="008A1DB4" w:rsidRDefault="00601B3D" w:rsidP="00956E97">
      <w:pPr>
        <w:pStyle w:val="ListParagraph"/>
        <w:tabs>
          <w:tab w:val="left" w:pos="567"/>
        </w:tabs>
        <w:ind w:left="0"/>
        <w:contextualSpacing w:val="0"/>
        <w:rPr>
          <w:spacing w:val="-2"/>
          <w:szCs w:val="20"/>
          <w:lang w:val="en-US"/>
        </w:rPr>
      </w:pPr>
    </w:p>
    <w:p w14:paraId="7AC79C38" w14:textId="3CD9F5BE" w:rsidR="00601B3D" w:rsidRPr="008A1DB4" w:rsidRDefault="004257EF" w:rsidP="00956E97">
      <w:pPr>
        <w:pStyle w:val="PrrafodeSentencia"/>
        <w:rPr>
          <w:spacing w:val="-2"/>
          <w:lang w:val="en-US"/>
        </w:rPr>
      </w:pPr>
      <w:r w:rsidRPr="008A1DB4">
        <w:rPr>
          <w:spacing w:val="-2"/>
          <w:lang w:val="en-US"/>
        </w:rPr>
        <w:t xml:space="preserve">Based on the foregoing, the Court will analyze the alleged violations as regards: </w:t>
      </w:r>
      <w:r w:rsidR="00601B3D" w:rsidRPr="008A1DB4">
        <w:rPr>
          <w:spacing w:val="-2"/>
          <w:lang w:val="en-US"/>
        </w:rPr>
        <w:t xml:space="preserve">(A) </w:t>
      </w:r>
      <w:r w:rsidRPr="008A1DB4">
        <w:rPr>
          <w:spacing w:val="-2"/>
          <w:lang w:val="en-US"/>
        </w:rPr>
        <w:t>the arbitrary nature of the provisional arrest</w:t>
      </w:r>
      <w:r w:rsidR="00601B3D" w:rsidRPr="008A1DB4">
        <w:rPr>
          <w:spacing w:val="-2"/>
          <w:lang w:val="en-US"/>
        </w:rPr>
        <w:t xml:space="preserve">; (B) </w:t>
      </w:r>
      <w:r w:rsidRPr="008A1DB4">
        <w:rPr>
          <w:spacing w:val="-2"/>
          <w:lang w:val="en-US"/>
        </w:rPr>
        <w:t xml:space="preserve">the alleged unlawful and arbitrary nature of the detention following the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r w:rsidR="00601B3D" w:rsidRPr="008A1DB4">
        <w:rPr>
          <w:spacing w:val="-2"/>
          <w:lang w:val="en-US"/>
        </w:rPr>
        <w:t>; (C)</w:t>
      </w:r>
      <w:r w:rsidR="0079515C">
        <w:rPr>
          <w:spacing w:val="-2"/>
          <w:lang w:val="en-US"/>
        </w:rPr>
        <w:t xml:space="preserve"> the duration </w:t>
      </w:r>
      <w:r w:rsidRPr="008A1DB4">
        <w:rPr>
          <w:spacing w:val="-2"/>
          <w:lang w:val="en-US"/>
        </w:rPr>
        <w:t>of the provisional arrest</w:t>
      </w:r>
      <w:r w:rsidR="00601B3D" w:rsidRPr="008A1DB4">
        <w:rPr>
          <w:spacing w:val="-2"/>
          <w:lang w:val="en-US"/>
        </w:rPr>
        <w:t>,</w:t>
      </w:r>
      <w:r w:rsidR="00F36400" w:rsidRPr="008A1DB4">
        <w:rPr>
          <w:spacing w:val="-2"/>
          <w:lang w:val="en-US"/>
        </w:rPr>
        <w:t xml:space="preserve"> and </w:t>
      </w:r>
      <w:r w:rsidR="00601B3D" w:rsidRPr="008A1DB4">
        <w:rPr>
          <w:spacing w:val="-2"/>
          <w:lang w:val="en-US"/>
        </w:rPr>
        <w:t xml:space="preserve">(D) </w:t>
      </w:r>
      <w:r w:rsidRPr="008A1DB4">
        <w:rPr>
          <w:spacing w:val="-2"/>
          <w:lang w:val="en-US"/>
        </w:rPr>
        <w:t>the right to appeal be</w:t>
      </w:r>
      <w:r w:rsidR="006B70BB">
        <w:rPr>
          <w:spacing w:val="-2"/>
          <w:lang w:val="en-US"/>
        </w:rPr>
        <w:t>fore a competent judge or court</w:t>
      </w:r>
      <w:r w:rsidR="00601B3D" w:rsidRPr="008A1DB4">
        <w:rPr>
          <w:spacing w:val="-2"/>
          <w:lang w:val="en-US"/>
        </w:rPr>
        <w:t xml:space="preserve">. </w:t>
      </w:r>
      <w:r w:rsidRPr="008A1DB4">
        <w:rPr>
          <w:spacing w:val="-2"/>
          <w:lang w:val="en-US"/>
        </w:rPr>
        <w:t xml:space="preserve">Lastly, it will refer to </w:t>
      </w:r>
      <w:r w:rsidR="00601B3D" w:rsidRPr="008A1DB4">
        <w:rPr>
          <w:spacing w:val="-2"/>
          <w:lang w:val="en-US"/>
        </w:rPr>
        <w:t xml:space="preserve">(E) </w:t>
      </w:r>
      <w:r w:rsidRPr="008A1DB4">
        <w:rPr>
          <w:spacing w:val="-2"/>
          <w:lang w:val="en-US"/>
        </w:rPr>
        <w:t>the alleged violation</w:t>
      </w:r>
      <w:r w:rsidR="00601B3D" w:rsidRPr="008A1DB4">
        <w:rPr>
          <w:spacing w:val="-2"/>
          <w:lang w:val="en-US"/>
        </w:rPr>
        <w:t xml:space="preserve"> </w:t>
      </w:r>
      <w:r w:rsidRPr="008A1DB4">
        <w:rPr>
          <w:spacing w:val="-2"/>
          <w:lang w:val="en-US"/>
        </w:rPr>
        <w:t xml:space="preserve">of the </w:t>
      </w:r>
      <w:r w:rsidR="00775124" w:rsidRPr="008A1DB4">
        <w:rPr>
          <w:spacing w:val="-2"/>
          <w:lang w:val="en-US"/>
        </w:rPr>
        <w:t>right to personal</w:t>
      </w:r>
      <w:r w:rsidR="00776D24" w:rsidRPr="008A1DB4">
        <w:rPr>
          <w:spacing w:val="-2"/>
          <w:lang w:val="en-US"/>
        </w:rPr>
        <w:t xml:space="preserve"> integrity</w:t>
      </w:r>
      <w:r w:rsidR="00601B3D" w:rsidRPr="008A1DB4">
        <w:rPr>
          <w:spacing w:val="-2"/>
          <w:lang w:val="en-US"/>
        </w:rPr>
        <w:t>.</w:t>
      </w:r>
    </w:p>
    <w:p w14:paraId="56C10229" w14:textId="77777777" w:rsidR="00601B3D" w:rsidRPr="008A1DB4" w:rsidRDefault="00601B3D" w:rsidP="00956E97">
      <w:pPr>
        <w:tabs>
          <w:tab w:val="left" w:pos="567"/>
        </w:tabs>
        <w:rPr>
          <w:b/>
          <w:i/>
          <w:spacing w:val="-2"/>
          <w:szCs w:val="20"/>
          <w:lang w:val="en-US"/>
        </w:rPr>
      </w:pPr>
    </w:p>
    <w:p w14:paraId="457CB570" w14:textId="3E84E775" w:rsidR="00601B3D" w:rsidRPr="008A1DB4" w:rsidRDefault="00601B3D" w:rsidP="00956E97">
      <w:pPr>
        <w:pStyle w:val="Heading1"/>
        <w:rPr>
          <w:spacing w:val="-2"/>
          <w:lang w:val="en-US"/>
        </w:rPr>
      </w:pPr>
      <w:bookmarkStart w:id="1005" w:name="_Toc418912634"/>
      <w:bookmarkStart w:id="1006" w:name="_Toc419394431"/>
      <w:bookmarkStart w:id="1007" w:name="_Toc429490290"/>
      <w:bookmarkStart w:id="1008" w:name="_Toc429503804"/>
      <w:bookmarkStart w:id="1009" w:name="_Toc429504310"/>
      <w:bookmarkStart w:id="1010" w:name="_Toc429678023"/>
      <w:bookmarkStart w:id="1011" w:name="_Toc430017186"/>
      <w:bookmarkStart w:id="1012" w:name="_Toc430017415"/>
      <w:bookmarkStart w:id="1013" w:name="_Toc430018697"/>
      <w:bookmarkStart w:id="1014" w:name="_Toc430125295"/>
      <w:bookmarkStart w:id="1015" w:name="_Toc430125403"/>
      <w:r w:rsidRPr="008A1DB4">
        <w:rPr>
          <w:spacing w:val="-2"/>
          <w:lang w:val="en-US"/>
        </w:rPr>
        <w:t xml:space="preserve">A. </w:t>
      </w:r>
      <w:r w:rsidR="00992035" w:rsidRPr="008A1DB4">
        <w:rPr>
          <w:spacing w:val="-2"/>
          <w:lang w:val="en-US"/>
        </w:rPr>
        <w:t>Arbitrary nature of</w:t>
      </w:r>
      <w:r w:rsidR="004257EF" w:rsidRPr="008A1DB4">
        <w:rPr>
          <w:spacing w:val="-2"/>
          <w:lang w:val="en-US"/>
        </w:rPr>
        <w:t xml:space="preserve"> the provisional arrest</w:t>
      </w:r>
      <w:bookmarkEnd w:id="1005"/>
      <w:bookmarkEnd w:id="1006"/>
      <w:bookmarkEnd w:id="1007"/>
      <w:bookmarkEnd w:id="1008"/>
      <w:bookmarkEnd w:id="1009"/>
      <w:bookmarkEnd w:id="1010"/>
      <w:bookmarkEnd w:id="1011"/>
      <w:bookmarkEnd w:id="1012"/>
      <w:bookmarkEnd w:id="1013"/>
      <w:bookmarkEnd w:id="1014"/>
      <w:bookmarkEnd w:id="1015"/>
    </w:p>
    <w:p w14:paraId="5C495BA8" w14:textId="77777777" w:rsidR="00601B3D" w:rsidRPr="008A1DB4" w:rsidRDefault="00601B3D" w:rsidP="00956E97">
      <w:pPr>
        <w:pStyle w:val="ListParagraph"/>
        <w:tabs>
          <w:tab w:val="left" w:pos="567"/>
        </w:tabs>
        <w:ind w:left="0"/>
        <w:contextualSpacing w:val="0"/>
        <w:rPr>
          <w:spacing w:val="-2"/>
          <w:szCs w:val="20"/>
          <w:lang w:val="en-US"/>
        </w:rPr>
      </w:pPr>
    </w:p>
    <w:p w14:paraId="054E314C" w14:textId="724410B6" w:rsidR="00601B3D" w:rsidRPr="008A1DB4" w:rsidRDefault="00601B3D" w:rsidP="00956E97">
      <w:pPr>
        <w:pStyle w:val="Heading2"/>
        <w:rPr>
          <w:spacing w:val="-2"/>
          <w:lang w:val="en-US"/>
        </w:rPr>
      </w:pPr>
      <w:bookmarkStart w:id="1016" w:name="_Toc430018698"/>
      <w:bookmarkStart w:id="1017" w:name="_Toc430125296"/>
      <w:bookmarkStart w:id="1018" w:name="_Toc430125404"/>
      <w:bookmarkStart w:id="1019" w:name="_Toc418912635"/>
      <w:bookmarkStart w:id="1020" w:name="_Toc419394432"/>
      <w:bookmarkStart w:id="1021" w:name="_Toc429490291"/>
      <w:bookmarkStart w:id="1022" w:name="_Toc429503805"/>
      <w:bookmarkStart w:id="1023" w:name="_Toc429504311"/>
      <w:bookmarkStart w:id="1024" w:name="_Toc429678024"/>
      <w:bookmarkStart w:id="1025" w:name="_Toc430017187"/>
      <w:bookmarkStart w:id="1026" w:name="_Toc430017416"/>
      <w:r w:rsidRPr="008A1DB4">
        <w:rPr>
          <w:spacing w:val="-2"/>
          <w:lang w:val="en-US"/>
        </w:rPr>
        <w:t xml:space="preserve">A.1) </w:t>
      </w:r>
      <w:r w:rsidR="0058668C" w:rsidRPr="008A1DB4">
        <w:rPr>
          <w:spacing w:val="-2"/>
          <w:lang w:val="en-US"/>
        </w:rPr>
        <w:t>Arguments</w:t>
      </w:r>
      <w:r w:rsidR="009707AA"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1016"/>
      <w:bookmarkEnd w:id="1017"/>
      <w:bookmarkEnd w:id="1018"/>
      <w:r w:rsidRPr="008A1DB4">
        <w:rPr>
          <w:spacing w:val="-2"/>
          <w:lang w:val="en-US"/>
        </w:rPr>
        <w:t xml:space="preserve"> </w:t>
      </w:r>
      <w:bookmarkEnd w:id="1019"/>
      <w:bookmarkEnd w:id="1020"/>
      <w:bookmarkEnd w:id="1021"/>
      <w:bookmarkEnd w:id="1022"/>
      <w:bookmarkEnd w:id="1023"/>
      <w:bookmarkEnd w:id="1024"/>
      <w:bookmarkEnd w:id="1025"/>
      <w:bookmarkEnd w:id="1026"/>
    </w:p>
    <w:p w14:paraId="23C5EE5A" w14:textId="77777777" w:rsidR="00601B3D" w:rsidRPr="008A1DB4" w:rsidRDefault="00601B3D" w:rsidP="00956E97">
      <w:pPr>
        <w:pStyle w:val="ListParagraph"/>
        <w:tabs>
          <w:tab w:val="left" w:pos="567"/>
        </w:tabs>
        <w:ind w:left="0"/>
        <w:contextualSpacing w:val="0"/>
        <w:rPr>
          <w:spacing w:val="-2"/>
          <w:szCs w:val="20"/>
          <w:lang w:val="en-US"/>
        </w:rPr>
      </w:pPr>
    </w:p>
    <w:p w14:paraId="7B55BFF1" w14:textId="30FBB071" w:rsidR="00601B3D" w:rsidRPr="008A1DB4" w:rsidRDefault="00F36400" w:rsidP="00D575AD">
      <w:pPr>
        <w:pStyle w:val="PrrafodeSentencia"/>
        <w:rPr>
          <w:spacing w:val="-2"/>
          <w:lang w:val="en-US"/>
        </w:rPr>
      </w:pPr>
      <w:r w:rsidRPr="006B70BB">
        <w:rPr>
          <w:spacing w:val="-2"/>
          <w:lang w:val="en-US"/>
        </w:rPr>
        <w:t>The Commission</w:t>
      </w:r>
      <w:r w:rsidR="00601B3D" w:rsidRPr="006B70BB">
        <w:rPr>
          <w:b/>
          <w:spacing w:val="-2"/>
          <w:lang w:val="en-US"/>
        </w:rPr>
        <w:t xml:space="preserve"> </w:t>
      </w:r>
      <w:r w:rsidR="00601B3D" w:rsidRPr="006B70BB">
        <w:rPr>
          <w:spacing w:val="-2"/>
          <w:lang w:val="en-US"/>
        </w:rPr>
        <w:t>a</w:t>
      </w:r>
      <w:r w:rsidR="00D575AD" w:rsidRPr="006B70BB">
        <w:rPr>
          <w:spacing w:val="-2"/>
          <w:lang w:val="en-US"/>
        </w:rPr>
        <w:t xml:space="preserve">rgued that, when determining the need for </w:t>
      </w:r>
      <w:r w:rsidR="004257EF" w:rsidRPr="006B70BB">
        <w:rPr>
          <w:spacing w:val="-2"/>
          <w:lang w:val="en-US"/>
        </w:rPr>
        <w:t>provisional arrest</w:t>
      </w:r>
      <w:r w:rsidR="00F752C2" w:rsidRPr="006B70BB">
        <w:rPr>
          <w:spacing w:val="-2"/>
          <w:lang w:val="en-US"/>
        </w:rPr>
        <w:t xml:space="preserve"> </w:t>
      </w:r>
      <w:r w:rsidR="006B70BB" w:rsidRPr="006B70BB">
        <w:rPr>
          <w:spacing w:val="-2"/>
          <w:lang w:val="en-US"/>
        </w:rPr>
        <w:t>wi</w:t>
      </w:r>
      <w:r w:rsidR="006B70BB">
        <w:rPr>
          <w:spacing w:val="-2"/>
          <w:lang w:val="en-US"/>
        </w:rPr>
        <w:t>t</w:t>
      </w:r>
      <w:r w:rsidR="006B70BB" w:rsidRPr="006B70BB">
        <w:rPr>
          <w:spacing w:val="-2"/>
          <w:lang w:val="en-US"/>
        </w:rPr>
        <w:t>h a view to</w:t>
      </w:r>
      <w:r w:rsidR="006B70BB">
        <w:rPr>
          <w:spacing w:val="-2"/>
          <w:lang w:val="en-US"/>
        </w:rPr>
        <w:t xml:space="preserve"> </w:t>
      </w:r>
      <w:r w:rsidR="00D575AD" w:rsidRPr="008A1DB4">
        <w:rPr>
          <w:spacing w:val="-2"/>
          <w:lang w:val="en-US"/>
        </w:rPr>
        <w:t>extradition, the concept of “procedural risk” should also be taken into consideration. Thus, it concluded that</w:t>
      </w:r>
      <w:r w:rsidR="00601B3D" w:rsidRPr="008A1DB4">
        <w:rPr>
          <w:spacing w:val="-2"/>
          <w:lang w:val="en-US"/>
        </w:rPr>
        <w:t xml:space="preserve"> “</w:t>
      </w:r>
      <w:r w:rsidR="00D575AD" w:rsidRPr="008A1DB4">
        <w:rPr>
          <w:spacing w:val="-2"/>
          <w:lang w:val="en-US"/>
        </w:rPr>
        <w:t>the</w:t>
      </w:r>
      <w:r w:rsidR="00601B3D" w:rsidRPr="008A1DB4">
        <w:rPr>
          <w:spacing w:val="-2"/>
          <w:lang w:val="en-US"/>
        </w:rPr>
        <w:t xml:space="preserve"> </w:t>
      </w:r>
      <w:r w:rsidR="00A33F97" w:rsidRPr="008A1DB4">
        <w:rPr>
          <w:spacing w:val="-2"/>
          <w:lang w:val="en-US"/>
        </w:rPr>
        <w:t>decision</w:t>
      </w:r>
      <w:r w:rsidR="00601B3D" w:rsidRPr="008A1DB4">
        <w:rPr>
          <w:spacing w:val="-2"/>
          <w:lang w:val="en-US"/>
        </w:rPr>
        <w:t xml:space="preserve"> </w:t>
      </w:r>
      <w:r w:rsidR="00D575AD" w:rsidRPr="008A1DB4">
        <w:rPr>
          <w:spacing w:val="-2"/>
          <w:lang w:val="en-US"/>
        </w:rPr>
        <w:t>in the appeal of</w:t>
      </w:r>
      <w:r w:rsidR="00601B3D" w:rsidRPr="008A1DB4">
        <w:rPr>
          <w:spacing w:val="-2"/>
          <w:lang w:val="en-US"/>
        </w:rPr>
        <w:t xml:space="preserve"> </w:t>
      </w:r>
      <w:r w:rsidR="00992035" w:rsidRPr="008A1DB4">
        <w:rPr>
          <w:spacing w:val="-2"/>
          <w:lang w:val="en-US"/>
        </w:rPr>
        <w:t>December 11,</w:t>
      </w:r>
      <w:r w:rsidR="00601B3D" w:rsidRPr="008A1DB4">
        <w:rPr>
          <w:spacing w:val="-2"/>
          <w:lang w:val="en-US"/>
        </w:rPr>
        <w:t xml:space="preserve"> 2008</w:t>
      </w:r>
      <w:r w:rsidR="006B70BB">
        <w:rPr>
          <w:spacing w:val="-2"/>
          <w:lang w:val="en-US"/>
        </w:rPr>
        <w:t xml:space="preserve">, was arbitrary” since it </w:t>
      </w:r>
      <w:r w:rsidR="00D575AD" w:rsidRPr="008A1DB4">
        <w:rPr>
          <w:spacing w:val="-2"/>
          <w:lang w:val="en-US"/>
        </w:rPr>
        <w:t>indicated that “</w:t>
      </w:r>
      <w:r w:rsidR="00D575AD" w:rsidRPr="008A1DB4">
        <w:rPr>
          <w:lang w:val="en-US"/>
        </w:rPr>
        <w:t xml:space="preserve">the concept of ‘procedural risk’ did not have to be examined, because this was not a criminal case instituted in Peru, but a ‘provisional arrest made </w:t>
      </w:r>
      <w:r w:rsidR="006B70BB">
        <w:rPr>
          <w:lang w:val="en-US"/>
        </w:rPr>
        <w:t>with a view to</w:t>
      </w:r>
      <w:r w:rsidR="00D575AD" w:rsidRPr="008A1DB4">
        <w:rPr>
          <w:lang w:val="en-US"/>
        </w:rPr>
        <w:t xml:space="preserve"> extradition.’”</w:t>
      </w:r>
      <w:r w:rsidR="00D575AD" w:rsidRPr="008A1DB4">
        <w:rPr>
          <w:rFonts w:ascii="Calibri" w:hAnsi="Calibri"/>
          <w:lang w:val="en-US"/>
        </w:rPr>
        <w:t xml:space="preserve"> </w:t>
      </w:r>
      <w:r w:rsidR="00D575AD" w:rsidRPr="008A1DB4">
        <w:rPr>
          <w:spacing w:val="-2"/>
          <w:lang w:val="en-US"/>
        </w:rPr>
        <w:t xml:space="preserve">The Commission also argued that “the absence of a time </w:t>
      </w:r>
      <w:r w:rsidR="003D2FF4">
        <w:rPr>
          <w:spacing w:val="-2"/>
          <w:lang w:val="en-US"/>
        </w:rPr>
        <w:t>limit</w:t>
      </w:r>
      <w:r w:rsidR="00D575AD" w:rsidRPr="008A1DB4">
        <w:rPr>
          <w:spacing w:val="-2"/>
          <w:lang w:val="en-US"/>
        </w:rPr>
        <w:t xml:space="preserve"> expressly established for a provisional arrest </w:t>
      </w:r>
      <w:r w:rsidR="007166B1" w:rsidRPr="008A1DB4">
        <w:rPr>
          <w:spacing w:val="-2"/>
          <w:lang w:val="en-US"/>
        </w:rPr>
        <w:t xml:space="preserve">with a view to </w:t>
      </w:r>
      <w:r w:rsidR="002D1CFC" w:rsidRPr="008A1DB4">
        <w:rPr>
          <w:spacing w:val="-2"/>
          <w:lang w:val="en-US"/>
        </w:rPr>
        <w:t>extradition</w:t>
      </w:r>
      <w:r w:rsidR="00601B3D" w:rsidRPr="008A1DB4">
        <w:rPr>
          <w:spacing w:val="-2"/>
          <w:lang w:val="en-US"/>
        </w:rPr>
        <w:t xml:space="preserve"> […] </w:t>
      </w:r>
      <w:r w:rsidR="00D575AD" w:rsidRPr="008A1DB4">
        <w:rPr>
          <w:spacing w:val="-2"/>
          <w:lang w:val="en-US"/>
        </w:rPr>
        <w:t>is incompatib</w:t>
      </w:r>
      <w:r w:rsidR="0079515C">
        <w:rPr>
          <w:spacing w:val="-2"/>
          <w:lang w:val="en-US"/>
        </w:rPr>
        <w:t>le with the principle of predicta</w:t>
      </w:r>
      <w:r w:rsidR="00D575AD" w:rsidRPr="008A1DB4">
        <w:rPr>
          <w:spacing w:val="-2"/>
          <w:lang w:val="en-US"/>
        </w:rPr>
        <w:t>bility.”</w:t>
      </w:r>
    </w:p>
    <w:p w14:paraId="23B18B2C" w14:textId="77777777" w:rsidR="00601B3D" w:rsidRPr="008A1DB4" w:rsidRDefault="00601B3D" w:rsidP="00956E97">
      <w:pPr>
        <w:pStyle w:val="ListParagraph"/>
        <w:tabs>
          <w:tab w:val="left" w:pos="567"/>
        </w:tabs>
        <w:ind w:left="0"/>
        <w:contextualSpacing w:val="0"/>
        <w:rPr>
          <w:spacing w:val="-2"/>
          <w:szCs w:val="20"/>
          <w:lang w:val="en-US"/>
        </w:rPr>
      </w:pPr>
    </w:p>
    <w:p w14:paraId="6D34CBF5" w14:textId="7682FCE7" w:rsidR="00601B3D" w:rsidRPr="0079515C" w:rsidRDefault="00C45946" w:rsidP="0079515C">
      <w:pPr>
        <w:pStyle w:val="PrrafodeSentencia"/>
        <w:rPr>
          <w:spacing w:val="-2"/>
          <w:lang w:val="en-US"/>
        </w:rPr>
      </w:pPr>
      <w:r w:rsidRPr="008A1DB4">
        <w:rPr>
          <w:bCs/>
          <w:iCs/>
          <w:spacing w:val="-2"/>
          <w:lang w:val="en-US"/>
        </w:rPr>
        <w:t>The representative</w:t>
      </w:r>
      <w:r w:rsidR="00601B3D" w:rsidRPr="008A1DB4">
        <w:rPr>
          <w:b/>
          <w:bCs/>
          <w:i/>
          <w:iCs/>
          <w:spacing w:val="-2"/>
          <w:lang w:val="en-US"/>
        </w:rPr>
        <w:t xml:space="preserve"> </w:t>
      </w:r>
      <w:r w:rsidR="00601B3D" w:rsidRPr="008A1DB4">
        <w:rPr>
          <w:bCs/>
          <w:iCs/>
          <w:spacing w:val="-2"/>
          <w:lang w:val="en-US"/>
        </w:rPr>
        <w:t>a</w:t>
      </w:r>
      <w:r w:rsidR="007166B1" w:rsidRPr="008A1DB4">
        <w:rPr>
          <w:bCs/>
          <w:iCs/>
          <w:spacing w:val="-2"/>
          <w:lang w:val="en-US"/>
        </w:rPr>
        <w:t xml:space="preserve">rgued that the </w:t>
      </w:r>
      <w:r w:rsidR="0079515C" w:rsidRPr="008A1DB4">
        <w:rPr>
          <w:bCs/>
          <w:iCs/>
          <w:spacing w:val="-2"/>
          <w:lang w:val="en-US"/>
        </w:rPr>
        <w:t>decision</w:t>
      </w:r>
      <w:r w:rsidR="007166B1" w:rsidRPr="008A1DB4">
        <w:rPr>
          <w:bCs/>
          <w:iCs/>
          <w:spacing w:val="-2"/>
          <w:lang w:val="en-US"/>
        </w:rPr>
        <w:t xml:space="preserve"> in the appeal concerning the detention</w:t>
      </w:r>
      <w:r w:rsidR="00601B3D" w:rsidRPr="008A1DB4">
        <w:rPr>
          <w:spacing w:val="-2"/>
          <w:lang w:val="en-US"/>
        </w:rPr>
        <w:t xml:space="preserve"> </w:t>
      </w:r>
      <w:r w:rsidR="00B43F84" w:rsidRPr="008A1DB4">
        <w:rPr>
          <w:spacing w:val="-2"/>
          <w:lang w:val="en-US"/>
        </w:rPr>
        <w:t>of Wong</w:t>
      </w:r>
      <w:r w:rsidR="00601B3D" w:rsidRPr="008A1DB4">
        <w:rPr>
          <w:spacing w:val="-2"/>
          <w:lang w:val="en-US"/>
        </w:rPr>
        <w:t xml:space="preserve"> Ho Wing </w:t>
      </w:r>
      <w:r w:rsidR="007166B1" w:rsidRPr="008A1DB4">
        <w:rPr>
          <w:spacing w:val="-2"/>
          <w:lang w:val="en-US"/>
        </w:rPr>
        <w:t>did not take into account “whether […] he would evade prosecution and interfere with</w:t>
      </w:r>
      <w:r w:rsidR="00671326" w:rsidRPr="008A1DB4">
        <w:rPr>
          <w:spacing w:val="-2"/>
          <w:lang w:val="en-US"/>
        </w:rPr>
        <w:t xml:space="preserve"> the </w:t>
      </w:r>
      <w:r w:rsidR="00FC5891" w:rsidRPr="008A1DB4">
        <w:rPr>
          <w:spacing w:val="-2"/>
          <w:lang w:val="en-US"/>
        </w:rPr>
        <w:t>extradition process</w:t>
      </w:r>
      <w:r w:rsidR="007166B1" w:rsidRPr="008A1DB4">
        <w:rPr>
          <w:spacing w:val="-2"/>
          <w:lang w:val="en-US"/>
        </w:rPr>
        <w:t xml:space="preserve">.” He also underlined that the Chamber had not “verified the existence of other less onerous measures.” Therefore, he argued that since the provisional arrest was “unreasonable, disproportionate and lacking appropriate grounds […] </w:t>
      </w:r>
      <w:r w:rsidR="0079515C">
        <w:rPr>
          <w:spacing w:val="-2"/>
          <w:lang w:val="en-US"/>
        </w:rPr>
        <w:t xml:space="preserve">Peru had violated the rights to </w:t>
      </w:r>
      <w:r w:rsidR="00776D24" w:rsidRPr="0079515C">
        <w:rPr>
          <w:spacing w:val="-2"/>
          <w:lang w:val="en-US"/>
        </w:rPr>
        <w:t>personal liberty</w:t>
      </w:r>
      <w:r w:rsidR="00601B3D" w:rsidRPr="0079515C">
        <w:rPr>
          <w:spacing w:val="-2"/>
          <w:lang w:val="en-US"/>
        </w:rPr>
        <w:t xml:space="preserve"> (</w:t>
      </w:r>
      <w:r w:rsidR="00851076" w:rsidRPr="0079515C">
        <w:rPr>
          <w:spacing w:val="-2"/>
          <w:lang w:val="en-US"/>
        </w:rPr>
        <w:t>Article 7(3)</w:t>
      </w:r>
      <w:r w:rsidR="00601B3D" w:rsidRPr="0079515C">
        <w:rPr>
          <w:spacing w:val="-2"/>
          <w:lang w:val="en-US"/>
        </w:rPr>
        <w:t>)</w:t>
      </w:r>
      <w:r w:rsidR="00F36400" w:rsidRPr="0079515C">
        <w:rPr>
          <w:spacing w:val="-2"/>
          <w:lang w:val="en-US"/>
        </w:rPr>
        <w:t xml:space="preserve"> and </w:t>
      </w:r>
      <w:r w:rsidR="007166B1" w:rsidRPr="0079515C">
        <w:rPr>
          <w:spacing w:val="-2"/>
          <w:lang w:val="en-US"/>
        </w:rPr>
        <w:t xml:space="preserve">judicial guarantees </w:t>
      </w:r>
      <w:r w:rsidR="00601B3D" w:rsidRPr="0079515C">
        <w:rPr>
          <w:spacing w:val="-2"/>
          <w:lang w:val="en-US"/>
        </w:rPr>
        <w:t>(</w:t>
      </w:r>
      <w:r w:rsidR="00F36400" w:rsidRPr="0079515C">
        <w:rPr>
          <w:spacing w:val="-2"/>
          <w:lang w:val="en-US"/>
        </w:rPr>
        <w:t>Article</w:t>
      </w:r>
      <w:r w:rsidR="00A33F97" w:rsidRPr="0079515C">
        <w:rPr>
          <w:spacing w:val="-2"/>
          <w:lang w:val="en-US"/>
        </w:rPr>
        <w:t xml:space="preserve"> 8(1)</w:t>
      </w:r>
      <w:r w:rsidR="00601B3D" w:rsidRPr="0079515C">
        <w:rPr>
          <w:spacing w:val="-2"/>
          <w:lang w:val="en-US"/>
        </w:rPr>
        <w:t xml:space="preserve">) </w:t>
      </w:r>
      <w:r w:rsidR="007166B1" w:rsidRPr="0079515C">
        <w:rPr>
          <w:spacing w:val="-2"/>
          <w:lang w:val="en-US"/>
        </w:rPr>
        <w:t>recognized in</w:t>
      </w:r>
      <w:r w:rsidR="00601B3D" w:rsidRPr="0079515C">
        <w:rPr>
          <w:spacing w:val="-2"/>
          <w:lang w:val="en-US"/>
        </w:rPr>
        <w:t xml:space="preserve"> </w:t>
      </w:r>
      <w:r w:rsidR="00F36400" w:rsidRPr="0079515C">
        <w:rPr>
          <w:spacing w:val="-2"/>
          <w:lang w:val="en-US"/>
        </w:rPr>
        <w:t>the Convention</w:t>
      </w:r>
      <w:r w:rsidR="007166B1" w:rsidRPr="0079515C">
        <w:rPr>
          <w:spacing w:val="-2"/>
          <w:lang w:val="en-US"/>
        </w:rPr>
        <w:t>.”</w:t>
      </w:r>
      <w:r w:rsidR="00601B3D" w:rsidRPr="0079515C">
        <w:rPr>
          <w:spacing w:val="-2"/>
          <w:lang w:val="en-US"/>
        </w:rPr>
        <w:t xml:space="preserve"> </w:t>
      </w:r>
      <w:r w:rsidR="007166B1" w:rsidRPr="0079515C">
        <w:rPr>
          <w:spacing w:val="-2"/>
          <w:lang w:val="en-US"/>
        </w:rPr>
        <w:t xml:space="preserve">He added that “the procedural laws with regard to extradition do not establish a </w:t>
      </w:r>
      <w:r w:rsidR="003D2FF4">
        <w:rPr>
          <w:spacing w:val="-2"/>
          <w:lang w:val="en-US"/>
        </w:rPr>
        <w:t>time limit</w:t>
      </w:r>
      <w:r w:rsidR="007166B1" w:rsidRPr="0079515C">
        <w:rPr>
          <w:spacing w:val="-2"/>
          <w:lang w:val="en-US"/>
        </w:rPr>
        <w:t xml:space="preserve"> for deprivation of liberty during the extradition process or when they should conclude, [which] adds a degree of arbitrariness to the situation </w:t>
      </w:r>
      <w:r w:rsidR="00B43F84" w:rsidRPr="0079515C">
        <w:rPr>
          <w:spacing w:val="-2"/>
          <w:lang w:val="en-US"/>
        </w:rPr>
        <w:t>of Wong</w:t>
      </w:r>
      <w:r w:rsidR="00601B3D" w:rsidRPr="0079515C">
        <w:rPr>
          <w:spacing w:val="-2"/>
          <w:lang w:val="en-US"/>
        </w:rPr>
        <w:t xml:space="preserve"> Ho Wing</w:t>
      </w:r>
      <w:r w:rsidR="007166B1" w:rsidRPr="0079515C">
        <w:rPr>
          <w:spacing w:val="-2"/>
          <w:lang w:val="en-US"/>
        </w:rPr>
        <w:t xml:space="preserve">.” Accordingly, he alleged the violation </w:t>
      </w:r>
      <w:r w:rsidR="0058668C" w:rsidRPr="0079515C">
        <w:rPr>
          <w:spacing w:val="-2"/>
          <w:lang w:val="en-US"/>
        </w:rPr>
        <w:t xml:space="preserve">of </w:t>
      </w:r>
      <w:r w:rsidR="00851076" w:rsidRPr="0079515C">
        <w:rPr>
          <w:spacing w:val="-2"/>
          <w:lang w:val="en-US"/>
        </w:rPr>
        <w:t>Article 7(5)</w:t>
      </w:r>
      <w:r w:rsidR="00601B3D" w:rsidRPr="0079515C">
        <w:rPr>
          <w:spacing w:val="-2"/>
          <w:lang w:val="en-US"/>
        </w:rPr>
        <w:t xml:space="preserve"> </w:t>
      </w:r>
      <w:r w:rsidR="007166B1" w:rsidRPr="0079515C">
        <w:rPr>
          <w:spacing w:val="-2"/>
          <w:lang w:val="en-US"/>
        </w:rPr>
        <w:t>in relation to</w:t>
      </w:r>
      <w:r w:rsidR="00601B3D" w:rsidRPr="0079515C">
        <w:rPr>
          <w:spacing w:val="-2"/>
          <w:lang w:val="en-US"/>
        </w:rPr>
        <w:t xml:space="preserve"> </w:t>
      </w:r>
      <w:r w:rsidR="00992035" w:rsidRPr="0079515C">
        <w:rPr>
          <w:spacing w:val="-2"/>
          <w:lang w:val="en-US"/>
        </w:rPr>
        <w:t>Articles 1(1)</w:t>
      </w:r>
      <w:r w:rsidR="00F36400" w:rsidRPr="0079515C">
        <w:rPr>
          <w:spacing w:val="-2"/>
          <w:lang w:val="en-US"/>
        </w:rPr>
        <w:t xml:space="preserve"> and </w:t>
      </w:r>
      <w:r w:rsidR="00601B3D" w:rsidRPr="0079515C">
        <w:rPr>
          <w:spacing w:val="-2"/>
          <w:lang w:val="en-US"/>
        </w:rPr>
        <w:t>2</w:t>
      </w:r>
      <w:r w:rsidR="00F36400" w:rsidRPr="0079515C">
        <w:rPr>
          <w:spacing w:val="-2"/>
          <w:lang w:val="en-US"/>
        </w:rPr>
        <w:t xml:space="preserve"> of the Convention</w:t>
      </w:r>
      <w:r w:rsidR="00601B3D" w:rsidRPr="0079515C">
        <w:rPr>
          <w:spacing w:val="-2"/>
          <w:lang w:val="en-US"/>
        </w:rPr>
        <w:t xml:space="preserve">. </w:t>
      </w:r>
    </w:p>
    <w:p w14:paraId="1D815FF4" w14:textId="77777777" w:rsidR="00601B3D" w:rsidRPr="008A1DB4" w:rsidRDefault="00601B3D" w:rsidP="00956E97">
      <w:pPr>
        <w:pStyle w:val="ListParagraph"/>
        <w:tabs>
          <w:tab w:val="left" w:pos="567"/>
        </w:tabs>
        <w:ind w:left="0"/>
        <w:contextualSpacing w:val="0"/>
        <w:rPr>
          <w:spacing w:val="-2"/>
          <w:szCs w:val="20"/>
          <w:lang w:val="en-US"/>
        </w:rPr>
      </w:pPr>
    </w:p>
    <w:p w14:paraId="074AE77D" w14:textId="518A9ADF" w:rsidR="00601B3D" w:rsidRPr="008A1DB4" w:rsidRDefault="00F36400" w:rsidP="007166B1">
      <w:pPr>
        <w:pStyle w:val="PrrafodeSentencia"/>
        <w:rPr>
          <w:spacing w:val="-2"/>
          <w:lang w:val="en-US"/>
        </w:rPr>
      </w:pPr>
      <w:bookmarkStart w:id="1027" w:name="_Ref428976982"/>
      <w:r w:rsidRPr="008A1DB4">
        <w:rPr>
          <w:spacing w:val="-2"/>
          <w:lang w:val="en-US"/>
        </w:rPr>
        <w:t>The State</w:t>
      </w:r>
      <w:r w:rsidR="00601B3D" w:rsidRPr="008A1DB4">
        <w:rPr>
          <w:spacing w:val="-2"/>
          <w:lang w:val="en-US"/>
        </w:rPr>
        <w:t xml:space="preserve"> </w:t>
      </w:r>
      <w:r w:rsidR="007166B1" w:rsidRPr="008A1DB4">
        <w:rPr>
          <w:spacing w:val="-2"/>
          <w:lang w:val="en-US"/>
        </w:rPr>
        <w:t>indicated that “[t</w:t>
      </w:r>
      <w:r w:rsidR="00601B3D" w:rsidRPr="008A1DB4">
        <w:rPr>
          <w:spacing w:val="-2"/>
          <w:lang w:val="en-US"/>
        </w:rPr>
        <w:t>]</w:t>
      </w:r>
      <w:r w:rsidR="007166B1" w:rsidRPr="008A1DB4">
        <w:rPr>
          <w:spacing w:val="-2"/>
          <w:lang w:val="en-US"/>
        </w:rPr>
        <w:t xml:space="preserve">he deprivation of liberty </w:t>
      </w:r>
      <w:r w:rsidR="00601B3D" w:rsidRPr="008A1DB4">
        <w:rPr>
          <w:spacing w:val="-2"/>
          <w:lang w:val="en-US"/>
        </w:rPr>
        <w:t>[</w:t>
      </w:r>
      <w:r w:rsidR="00B43F84" w:rsidRPr="008A1DB4">
        <w:rPr>
          <w:spacing w:val="-2"/>
          <w:lang w:val="en-US"/>
        </w:rPr>
        <w:t>of Wong</w:t>
      </w:r>
      <w:r w:rsidR="00601B3D" w:rsidRPr="008A1DB4">
        <w:rPr>
          <w:spacing w:val="-2"/>
          <w:lang w:val="en-US"/>
        </w:rPr>
        <w:t xml:space="preserve"> Ho Wing] </w:t>
      </w:r>
      <w:r w:rsidR="007166B1" w:rsidRPr="008A1DB4">
        <w:rPr>
          <w:spacing w:val="-2"/>
          <w:lang w:val="en-US"/>
        </w:rPr>
        <w:t xml:space="preserve">was the result of a duly founded provisional arrest warrant issued by the competent jurisdictional organ,” so that it was in keeping with the laws of Peru. It also </w:t>
      </w:r>
      <w:r w:rsidR="0079515C" w:rsidRPr="008A1DB4">
        <w:rPr>
          <w:spacing w:val="-2"/>
          <w:lang w:val="en-US"/>
        </w:rPr>
        <w:t>indicated</w:t>
      </w:r>
      <w:r w:rsidR="007166B1" w:rsidRPr="008A1DB4">
        <w:rPr>
          <w:spacing w:val="-2"/>
          <w:lang w:val="en-US"/>
        </w:rPr>
        <w:t xml:space="preserve"> that “th</w:t>
      </w:r>
      <w:r w:rsidR="006B70BB">
        <w:rPr>
          <w:spacing w:val="-2"/>
          <w:lang w:val="en-US"/>
        </w:rPr>
        <w:t>e procedural risk was evaluated and his specific situation</w:t>
      </w:r>
      <w:r w:rsidR="007166B1" w:rsidRPr="008A1DB4">
        <w:rPr>
          <w:spacing w:val="-2"/>
          <w:lang w:val="en-US"/>
        </w:rPr>
        <w:t xml:space="preserve"> analyzed, and it was considered that his personal liberty should be limited to ensure that he could not </w:t>
      </w:r>
      <w:r w:rsidR="006B70BB">
        <w:rPr>
          <w:spacing w:val="-2"/>
          <w:lang w:val="en-US"/>
        </w:rPr>
        <w:t>interfere with</w:t>
      </w:r>
      <w:r w:rsidR="007166B1" w:rsidRPr="008A1DB4">
        <w:rPr>
          <w:spacing w:val="-2"/>
          <w:lang w:val="en-US"/>
        </w:rPr>
        <w:t xml:space="preserve"> the </w:t>
      </w:r>
      <w:r w:rsidR="006B70BB">
        <w:rPr>
          <w:spacing w:val="-2"/>
          <w:lang w:val="en-US"/>
        </w:rPr>
        <w:t>ongoing</w:t>
      </w:r>
      <w:r w:rsidR="007166B1" w:rsidRPr="008A1DB4">
        <w:rPr>
          <w:spacing w:val="-2"/>
          <w:lang w:val="en-US"/>
        </w:rPr>
        <w:t xml:space="preserve"> investigations or avoid prosecution.” It emphasized that, during the appeal proceedings, “</w:t>
      </w:r>
      <w:proofErr w:type="gramStart"/>
      <w:r w:rsidR="00C45946" w:rsidRPr="008A1DB4">
        <w:rPr>
          <w:spacing w:val="-2"/>
          <w:lang w:val="en-US"/>
        </w:rPr>
        <w:t>the</w:t>
      </w:r>
      <w:proofErr w:type="gramEnd"/>
      <w:r w:rsidR="00C45946" w:rsidRPr="008A1DB4">
        <w:rPr>
          <w:spacing w:val="-2"/>
          <w:lang w:val="en-US"/>
        </w:rPr>
        <w:t xml:space="preserve"> </w:t>
      </w:r>
      <w:r w:rsidRPr="008A1DB4">
        <w:rPr>
          <w:spacing w:val="-2"/>
          <w:lang w:val="en-US"/>
        </w:rPr>
        <w:t>presumed victim</w:t>
      </w:r>
      <w:r w:rsidR="007166B1" w:rsidRPr="008A1DB4">
        <w:rPr>
          <w:spacing w:val="-2"/>
          <w:lang w:val="en-US"/>
        </w:rPr>
        <w:t xml:space="preserve">’s defense counsel did not provide evidence in relation to the procedural risk.” The State added that </w:t>
      </w:r>
      <w:r w:rsidR="00C45946" w:rsidRPr="008A1DB4">
        <w:rPr>
          <w:spacing w:val="-2"/>
          <w:lang w:val="en-US"/>
        </w:rPr>
        <w:t>the representative</w:t>
      </w:r>
      <w:r w:rsidR="00601B3D" w:rsidRPr="008A1DB4">
        <w:rPr>
          <w:spacing w:val="-2"/>
          <w:lang w:val="en-US"/>
        </w:rPr>
        <w:t xml:space="preserve"> </w:t>
      </w:r>
      <w:r w:rsidR="007166B1" w:rsidRPr="008A1DB4">
        <w:rPr>
          <w:spacing w:val="-2"/>
          <w:lang w:val="en-US"/>
        </w:rPr>
        <w:t>had not filed any remedy against the second instance decision confirming</w:t>
      </w:r>
      <w:r w:rsidR="00601B3D" w:rsidRPr="008A1DB4">
        <w:rPr>
          <w:spacing w:val="-2"/>
          <w:lang w:val="en-US"/>
        </w:rPr>
        <w:t xml:space="preserve"> </w:t>
      </w:r>
      <w:r w:rsidR="004257EF" w:rsidRPr="008A1DB4">
        <w:rPr>
          <w:spacing w:val="-2"/>
          <w:lang w:val="en-US"/>
        </w:rPr>
        <w:t>the provisional arrest</w:t>
      </w:r>
      <w:r w:rsidR="007166B1" w:rsidRPr="008A1DB4">
        <w:rPr>
          <w:spacing w:val="-2"/>
          <w:lang w:val="en-US"/>
        </w:rPr>
        <w:t xml:space="preserve"> that could have been “contested by an application for </w:t>
      </w:r>
      <w:r w:rsidR="00E022F9" w:rsidRPr="008A1DB4">
        <w:rPr>
          <w:i/>
          <w:spacing w:val="-2"/>
          <w:lang w:val="en-US"/>
        </w:rPr>
        <w:t>habeas corpus</w:t>
      </w:r>
      <w:r w:rsidR="007166B1" w:rsidRPr="008A1DB4">
        <w:rPr>
          <w:i/>
          <w:spacing w:val="-2"/>
          <w:lang w:val="en-US"/>
        </w:rPr>
        <w:t>.</w:t>
      </w:r>
      <w:r w:rsidR="007166B1" w:rsidRPr="008A1DB4">
        <w:rPr>
          <w:spacing w:val="-2"/>
          <w:lang w:val="en-US"/>
        </w:rPr>
        <w:t xml:space="preserve">” Regarding the failure to regulate the </w:t>
      </w:r>
      <w:r w:rsidR="003D2FF4">
        <w:rPr>
          <w:spacing w:val="-2"/>
          <w:lang w:val="en-US"/>
        </w:rPr>
        <w:t xml:space="preserve">time limit for </w:t>
      </w:r>
      <w:r w:rsidR="007166B1" w:rsidRPr="008A1DB4">
        <w:rPr>
          <w:spacing w:val="-2"/>
          <w:lang w:val="en-US"/>
        </w:rPr>
        <w:t>detention, it argued that</w:t>
      </w:r>
      <w:r w:rsidR="00601B3D" w:rsidRPr="008A1DB4">
        <w:rPr>
          <w:b/>
          <w:spacing w:val="-2"/>
          <w:lang w:val="en-US"/>
        </w:rPr>
        <w:t xml:space="preserve"> </w:t>
      </w:r>
      <w:r w:rsidR="00601B3D" w:rsidRPr="008A1DB4">
        <w:rPr>
          <w:spacing w:val="-2"/>
          <w:lang w:val="en-US"/>
        </w:rPr>
        <w:t>“</w:t>
      </w:r>
      <w:r w:rsidR="004257EF" w:rsidRPr="008A1DB4">
        <w:rPr>
          <w:spacing w:val="-2"/>
          <w:lang w:val="en-US"/>
        </w:rPr>
        <w:t xml:space="preserve">the </w:t>
      </w:r>
      <w:r w:rsidR="004D2183" w:rsidRPr="008A1DB4">
        <w:rPr>
          <w:spacing w:val="-2"/>
          <w:lang w:val="en-US"/>
        </w:rPr>
        <w:t>inter-American system</w:t>
      </w:r>
      <w:r w:rsidR="007166B1" w:rsidRPr="008A1DB4">
        <w:rPr>
          <w:spacing w:val="-2"/>
          <w:lang w:val="en-US"/>
        </w:rPr>
        <w:t xml:space="preserve"> does not have a standard or guidelines in its case law rela</w:t>
      </w:r>
      <w:r w:rsidR="0079515C">
        <w:rPr>
          <w:spacing w:val="-2"/>
          <w:lang w:val="en-US"/>
        </w:rPr>
        <w:t>ted to the ‘principle of predicta</w:t>
      </w:r>
      <w:r w:rsidR="007166B1" w:rsidRPr="008A1DB4">
        <w:rPr>
          <w:spacing w:val="-2"/>
          <w:lang w:val="en-US"/>
        </w:rPr>
        <w:t>bility’ that can be used as a reference to determine</w:t>
      </w:r>
      <w:r w:rsidR="00775124" w:rsidRPr="008A1DB4">
        <w:rPr>
          <w:spacing w:val="-2"/>
          <w:lang w:val="en-US"/>
        </w:rPr>
        <w:t xml:space="preserve"> international responsibility</w:t>
      </w:r>
      <w:r w:rsidR="007166B1" w:rsidRPr="008A1DB4">
        <w:rPr>
          <w:spacing w:val="-2"/>
          <w:lang w:val="en-US"/>
        </w:rPr>
        <w:t xml:space="preserve"> for violation </w:t>
      </w:r>
      <w:r w:rsidR="0058668C" w:rsidRPr="008A1DB4">
        <w:rPr>
          <w:spacing w:val="-2"/>
          <w:lang w:val="en-US"/>
        </w:rPr>
        <w:t xml:space="preserve">of </w:t>
      </w:r>
      <w:r w:rsidR="00851076" w:rsidRPr="008A1DB4">
        <w:rPr>
          <w:spacing w:val="-2"/>
          <w:lang w:val="en-US"/>
        </w:rPr>
        <w:t>Article 7(5)</w:t>
      </w:r>
      <w:r w:rsidR="00992035" w:rsidRPr="008A1DB4">
        <w:rPr>
          <w:spacing w:val="-2"/>
          <w:lang w:val="en-US"/>
        </w:rPr>
        <w:t>.”</w:t>
      </w:r>
      <w:r w:rsidR="00601B3D" w:rsidRPr="008A1DB4">
        <w:rPr>
          <w:spacing w:val="-2"/>
          <w:lang w:val="en-US"/>
        </w:rPr>
        <w:t xml:space="preserve"> </w:t>
      </w:r>
      <w:r w:rsidR="007166B1" w:rsidRPr="008A1DB4">
        <w:rPr>
          <w:spacing w:val="-2"/>
          <w:lang w:val="en-US"/>
        </w:rPr>
        <w:t xml:space="preserve">On this point, it affirmed that </w:t>
      </w:r>
      <w:r w:rsidR="00C45946" w:rsidRPr="008A1DB4">
        <w:rPr>
          <w:spacing w:val="-2"/>
          <w:lang w:val="en-US"/>
        </w:rPr>
        <w:lastRenderedPageBreak/>
        <w:t>the representative</w:t>
      </w:r>
      <w:r w:rsidR="00601B3D" w:rsidRPr="008A1DB4">
        <w:rPr>
          <w:spacing w:val="-2"/>
          <w:lang w:val="en-US"/>
        </w:rPr>
        <w:t xml:space="preserve"> </w:t>
      </w:r>
      <w:r w:rsidR="007166B1" w:rsidRPr="008A1DB4">
        <w:rPr>
          <w:spacing w:val="-2"/>
          <w:lang w:val="en-US"/>
        </w:rPr>
        <w:t xml:space="preserve">had alleged a violation </w:t>
      </w:r>
      <w:r w:rsidR="0058668C" w:rsidRPr="008A1DB4">
        <w:rPr>
          <w:spacing w:val="-2"/>
          <w:lang w:val="en-US"/>
        </w:rPr>
        <w:t>of Article</w:t>
      </w:r>
      <w:r w:rsidR="00601B3D" w:rsidRPr="008A1DB4">
        <w:rPr>
          <w:spacing w:val="-2"/>
          <w:lang w:val="en-US"/>
        </w:rPr>
        <w:t xml:space="preserve"> 2</w:t>
      </w:r>
      <w:r w:rsidRPr="008A1DB4">
        <w:rPr>
          <w:spacing w:val="-2"/>
          <w:lang w:val="en-US"/>
        </w:rPr>
        <w:t xml:space="preserve"> of the Convention</w:t>
      </w:r>
      <w:r w:rsidR="00601B3D" w:rsidRPr="008A1DB4">
        <w:rPr>
          <w:spacing w:val="-2"/>
          <w:lang w:val="en-US"/>
        </w:rPr>
        <w:t xml:space="preserve"> </w:t>
      </w:r>
      <w:r w:rsidR="007166B1" w:rsidRPr="008A1DB4">
        <w:rPr>
          <w:spacing w:val="-2"/>
          <w:lang w:val="en-US"/>
        </w:rPr>
        <w:t>without providing grounds for this</w:t>
      </w:r>
      <w:r w:rsidR="00601B3D" w:rsidRPr="008A1DB4">
        <w:rPr>
          <w:spacing w:val="-2"/>
          <w:lang w:val="en-US"/>
        </w:rPr>
        <w:t>.</w:t>
      </w:r>
      <w:bookmarkEnd w:id="1027"/>
      <w:r w:rsidR="00601B3D" w:rsidRPr="008A1DB4">
        <w:rPr>
          <w:spacing w:val="-2"/>
          <w:lang w:val="en-US"/>
        </w:rPr>
        <w:t xml:space="preserve"> </w:t>
      </w:r>
    </w:p>
    <w:p w14:paraId="5F9F63B3" w14:textId="77777777" w:rsidR="00601B3D" w:rsidRPr="008A1DB4" w:rsidRDefault="00601B3D" w:rsidP="00956E97">
      <w:pPr>
        <w:rPr>
          <w:b/>
          <w:spacing w:val="-2"/>
          <w:szCs w:val="20"/>
          <w:lang w:val="en-US"/>
        </w:rPr>
      </w:pPr>
    </w:p>
    <w:p w14:paraId="00C0BA33" w14:textId="071BD132" w:rsidR="00601B3D" w:rsidRPr="008A1DB4" w:rsidRDefault="00601B3D" w:rsidP="00956E97">
      <w:pPr>
        <w:pStyle w:val="Heading2"/>
        <w:rPr>
          <w:spacing w:val="-2"/>
          <w:lang w:val="en-US"/>
        </w:rPr>
      </w:pPr>
      <w:bookmarkStart w:id="1028" w:name="_Toc418912636"/>
      <w:bookmarkStart w:id="1029" w:name="_Toc419394433"/>
      <w:bookmarkStart w:id="1030" w:name="_Toc429490292"/>
      <w:bookmarkStart w:id="1031" w:name="_Toc429503806"/>
      <w:bookmarkStart w:id="1032" w:name="_Toc429504312"/>
      <w:bookmarkStart w:id="1033" w:name="_Toc429678025"/>
      <w:bookmarkStart w:id="1034" w:name="_Toc430017188"/>
      <w:bookmarkStart w:id="1035" w:name="_Toc430017417"/>
      <w:bookmarkStart w:id="1036" w:name="_Toc430018699"/>
      <w:bookmarkStart w:id="1037" w:name="_Toc430125297"/>
      <w:bookmarkStart w:id="1038" w:name="_Toc430125405"/>
      <w:r w:rsidRPr="008A1DB4">
        <w:rPr>
          <w:spacing w:val="-2"/>
          <w:lang w:val="en-US"/>
        </w:rPr>
        <w:t xml:space="preserve">A.2) </w:t>
      </w:r>
      <w:r w:rsidR="00A836C4" w:rsidRPr="008A1DB4">
        <w:rPr>
          <w:spacing w:val="-2"/>
          <w:lang w:val="en-US"/>
        </w:rPr>
        <w:t>Considerations</w:t>
      </w:r>
      <w:r w:rsidR="00F36400" w:rsidRPr="008A1DB4">
        <w:rPr>
          <w:spacing w:val="-2"/>
          <w:lang w:val="en-US"/>
        </w:rPr>
        <w:t xml:space="preserve"> of the Court</w:t>
      </w:r>
      <w:bookmarkEnd w:id="1028"/>
      <w:bookmarkEnd w:id="1029"/>
      <w:bookmarkEnd w:id="1030"/>
      <w:bookmarkEnd w:id="1031"/>
      <w:bookmarkEnd w:id="1032"/>
      <w:bookmarkEnd w:id="1033"/>
      <w:bookmarkEnd w:id="1034"/>
      <w:bookmarkEnd w:id="1035"/>
      <w:bookmarkEnd w:id="1036"/>
      <w:bookmarkEnd w:id="1037"/>
      <w:bookmarkEnd w:id="1038"/>
    </w:p>
    <w:p w14:paraId="7CB3E6C7" w14:textId="77777777" w:rsidR="00601B3D" w:rsidRPr="008A1DB4" w:rsidRDefault="00601B3D" w:rsidP="00956E97">
      <w:pPr>
        <w:pStyle w:val="ListParagraph"/>
        <w:contextualSpacing w:val="0"/>
        <w:rPr>
          <w:spacing w:val="-2"/>
          <w:szCs w:val="20"/>
          <w:lang w:val="en-US"/>
        </w:rPr>
      </w:pPr>
    </w:p>
    <w:p w14:paraId="1CA95F9A" w14:textId="3FF71418" w:rsidR="00601B3D" w:rsidRPr="008A1DB4" w:rsidRDefault="00992035" w:rsidP="007A13CD">
      <w:pPr>
        <w:pStyle w:val="PrrafodeSentencia"/>
        <w:rPr>
          <w:spacing w:val="-2"/>
          <w:lang w:val="en-US"/>
        </w:rPr>
      </w:pPr>
      <w:bookmarkStart w:id="1039" w:name="_Ref419392527"/>
      <w:r w:rsidRPr="008A1DB4">
        <w:rPr>
          <w:spacing w:val="-2"/>
          <w:lang w:val="en-US"/>
        </w:rPr>
        <w:t>On</w:t>
      </w:r>
      <w:r w:rsidR="00601B3D" w:rsidRPr="008A1DB4">
        <w:rPr>
          <w:spacing w:val="-2"/>
          <w:lang w:val="en-US"/>
        </w:rPr>
        <w:t xml:space="preserve"> </w:t>
      </w:r>
      <w:r w:rsidR="001E7113" w:rsidRPr="008A1DB4">
        <w:rPr>
          <w:spacing w:val="-2"/>
          <w:lang w:val="en-US"/>
        </w:rPr>
        <w:t>October 27,</w:t>
      </w:r>
      <w:r w:rsidR="00601B3D" w:rsidRPr="008A1DB4">
        <w:rPr>
          <w:spacing w:val="-2"/>
          <w:lang w:val="en-US"/>
        </w:rPr>
        <w:t xml:space="preserve"> 2008</w:t>
      </w:r>
      <w:r w:rsidRPr="008A1DB4">
        <w:rPr>
          <w:spacing w:val="-2"/>
          <w:lang w:val="en-US"/>
        </w:rPr>
        <w:t>,</w:t>
      </w:r>
      <w:r w:rsidR="00601B3D" w:rsidRPr="008A1DB4">
        <w:rPr>
          <w:spacing w:val="-2"/>
          <w:lang w:val="en-US"/>
        </w:rPr>
        <w:t xml:space="preserve"> </w:t>
      </w:r>
      <w:r w:rsidR="001E7113" w:rsidRPr="008A1DB4">
        <w:rPr>
          <w:spacing w:val="-2"/>
          <w:lang w:val="en-US"/>
        </w:rPr>
        <w:t>Wong</w:t>
      </w:r>
      <w:r w:rsidR="00601B3D" w:rsidRPr="008A1DB4">
        <w:rPr>
          <w:spacing w:val="-2"/>
          <w:lang w:val="en-US"/>
        </w:rPr>
        <w:t xml:space="preserve"> Ho Wing </w:t>
      </w:r>
      <w:r w:rsidR="007A13CD" w:rsidRPr="008A1DB4">
        <w:rPr>
          <w:spacing w:val="-2"/>
          <w:lang w:val="en-US"/>
        </w:rPr>
        <w:t xml:space="preserve">was detained based on an international arrest warrant. The </w:t>
      </w:r>
      <w:r w:rsidR="0079515C" w:rsidRPr="008A1DB4">
        <w:rPr>
          <w:spacing w:val="-2"/>
          <w:lang w:val="en-US"/>
        </w:rPr>
        <w:t>following</w:t>
      </w:r>
      <w:r w:rsidR="007A13CD" w:rsidRPr="008A1DB4">
        <w:rPr>
          <w:spacing w:val="-2"/>
          <w:lang w:val="en-US"/>
        </w:rPr>
        <w:t xml:space="preserve"> day, the special court ordered his provisional arrest and indicated that this </w:t>
      </w:r>
      <w:r w:rsidR="006B70BB">
        <w:rPr>
          <w:spacing w:val="-2"/>
          <w:lang w:val="en-US"/>
        </w:rPr>
        <w:t xml:space="preserve">arrest had been made </w:t>
      </w:r>
      <w:r w:rsidR="007A13CD" w:rsidRPr="008A1DB4">
        <w:rPr>
          <w:spacing w:val="-2"/>
          <w:lang w:val="en-US"/>
        </w:rPr>
        <w:t>“in order to ensure the presence in the country</w:t>
      </w:r>
      <w:r w:rsidR="00601B3D" w:rsidRPr="008A1DB4">
        <w:rPr>
          <w:spacing w:val="-2"/>
          <w:lang w:val="en-US"/>
        </w:rPr>
        <w:t xml:space="preserve"> [</w:t>
      </w:r>
      <w:r w:rsidR="00B43F84" w:rsidRPr="008A1DB4">
        <w:rPr>
          <w:spacing w:val="-2"/>
          <w:lang w:val="en-US"/>
        </w:rPr>
        <w:t>of Wong</w:t>
      </w:r>
      <w:r w:rsidR="00601B3D" w:rsidRPr="008A1DB4">
        <w:rPr>
          <w:spacing w:val="-2"/>
          <w:lang w:val="en-US"/>
        </w:rPr>
        <w:t xml:space="preserve"> Ho Wing] </w:t>
      </w:r>
      <w:r w:rsidR="0056171C">
        <w:rPr>
          <w:spacing w:val="-2"/>
          <w:lang w:val="en-US"/>
        </w:rPr>
        <w:t xml:space="preserve">while </w:t>
      </w:r>
      <w:r w:rsidR="00087CF8" w:rsidRPr="008A1DB4">
        <w:rPr>
          <w:spacing w:val="-2"/>
          <w:lang w:val="en-US"/>
        </w:rPr>
        <w:t>the extradition request</w:t>
      </w:r>
      <w:r w:rsidR="00601B3D" w:rsidRPr="008A1DB4">
        <w:rPr>
          <w:spacing w:val="-2"/>
          <w:lang w:val="en-US"/>
        </w:rPr>
        <w:t xml:space="preserve"> </w:t>
      </w:r>
      <w:r w:rsidR="007A13CD" w:rsidRPr="008A1DB4">
        <w:rPr>
          <w:spacing w:val="-2"/>
          <w:lang w:val="en-US"/>
        </w:rPr>
        <w:t>was fully processed, because he had not proved that he had any known domicile or employment in the country and, because the offense of which he was accused was established in the laws [o</w:t>
      </w:r>
      <w:r w:rsidR="0056171C">
        <w:rPr>
          <w:spacing w:val="-2"/>
          <w:lang w:val="en-US"/>
        </w:rPr>
        <w:t>f Peru] under Customs Offenses:</w:t>
      </w:r>
      <w:r w:rsidR="007A13CD" w:rsidRPr="008A1DB4">
        <w:rPr>
          <w:spacing w:val="-2"/>
          <w:lang w:val="en-US"/>
        </w:rPr>
        <w:t xml:space="preserve"> evasion of customs duty</w:t>
      </w:r>
      <w:r w:rsidR="00601B3D" w:rsidRPr="008A1DB4">
        <w:rPr>
          <w:spacing w:val="-2"/>
          <w:lang w:val="en-US"/>
        </w:rPr>
        <w:t>”</w:t>
      </w:r>
      <w:r w:rsidR="00601B3D" w:rsidRPr="008A1DB4">
        <w:rPr>
          <w:rStyle w:val="FootnoteReference"/>
          <w:spacing w:val="-2"/>
          <w:lang w:val="en-US"/>
        </w:rPr>
        <w:footnoteReference w:id="331"/>
      </w:r>
      <w:r w:rsidR="00ED3578" w:rsidRPr="008A1DB4">
        <w:rPr>
          <w:spacing w:val="-2"/>
          <w:lang w:val="en-US"/>
        </w:rPr>
        <w:t xml:space="preserve"> </w:t>
      </w:r>
      <w:r w:rsidR="00ED3578" w:rsidRPr="008A1DB4">
        <w:rPr>
          <w:rFonts w:cs="Callibri"/>
          <w:spacing w:val="-2"/>
          <w:lang w:val="en-US"/>
        </w:rPr>
        <w:t>(</w:t>
      </w:r>
      <w:r w:rsidR="00ED3578" w:rsidRPr="008A1DB4">
        <w:rPr>
          <w:rFonts w:cs="Callibri"/>
          <w:i/>
          <w:spacing w:val="-2"/>
          <w:lang w:val="en-US"/>
        </w:rPr>
        <w:t xml:space="preserve">supra </w:t>
      </w:r>
      <w:r w:rsidR="00C45946" w:rsidRPr="008A1DB4">
        <w:rPr>
          <w:rFonts w:cs="Callibri"/>
          <w:spacing w:val="-2"/>
          <w:lang w:val="en-US"/>
        </w:rPr>
        <w:t xml:space="preserve">para. </w:t>
      </w:r>
      <w:r w:rsidR="00E30488" w:rsidRPr="008A1DB4">
        <w:rPr>
          <w:spacing w:val="-2"/>
          <w:lang w:val="en-US"/>
        </w:rPr>
        <w:fldChar w:fldCharType="begin"/>
      </w:r>
      <w:r w:rsidR="00E30488" w:rsidRPr="008A1DB4">
        <w:rPr>
          <w:spacing w:val="-2"/>
          <w:lang w:val="en-US"/>
        </w:rPr>
        <w:instrText xml:space="preserve"> REF _Ref428961440 \r \h </w:instrText>
      </w:r>
      <w:r w:rsidR="00DC41F4" w:rsidRPr="008A1DB4">
        <w:rPr>
          <w:spacing w:val="-2"/>
          <w:lang w:val="en-US"/>
        </w:rPr>
        <w:instrText xml:space="preserve"> \* MERGEFORMAT </w:instrText>
      </w:r>
      <w:r w:rsidR="00E30488" w:rsidRPr="008A1DB4">
        <w:rPr>
          <w:spacing w:val="-2"/>
          <w:lang w:val="en-US"/>
        </w:rPr>
      </w:r>
      <w:r w:rsidR="00E30488" w:rsidRPr="008A1DB4">
        <w:rPr>
          <w:spacing w:val="-2"/>
          <w:lang w:val="en-US"/>
        </w:rPr>
        <w:fldChar w:fldCharType="separate"/>
      </w:r>
      <w:r w:rsidR="00E961FA" w:rsidRPr="008A1DB4">
        <w:rPr>
          <w:spacing w:val="-2"/>
          <w:lang w:val="en-US"/>
        </w:rPr>
        <w:t>97</w:t>
      </w:r>
      <w:r w:rsidR="00E30488" w:rsidRPr="008A1DB4">
        <w:rPr>
          <w:spacing w:val="-2"/>
          <w:lang w:val="en-US"/>
        </w:rPr>
        <w:fldChar w:fldCharType="end"/>
      </w:r>
      <w:r w:rsidR="00ED3578" w:rsidRPr="008A1DB4">
        <w:rPr>
          <w:rFonts w:cs="Callibri"/>
          <w:spacing w:val="-2"/>
          <w:lang w:val="en-US"/>
        </w:rPr>
        <w:t>)</w:t>
      </w:r>
      <w:r w:rsidR="00601B3D" w:rsidRPr="008A1DB4">
        <w:rPr>
          <w:spacing w:val="-2"/>
          <w:lang w:val="en-US"/>
        </w:rPr>
        <w:t xml:space="preserve">. </w:t>
      </w:r>
      <w:r w:rsidR="00B43F84" w:rsidRPr="008A1DB4">
        <w:rPr>
          <w:spacing w:val="-2"/>
          <w:lang w:val="en-US"/>
        </w:rPr>
        <w:t>Wong</w:t>
      </w:r>
      <w:r w:rsidR="00601B3D" w:rsidRPr="008A1DB4">
        <w:rPr>
          <w:spacing w:val="-2"/>
          <w:lang w:val="en-US"/>
        </w:rPr>
        <w:t xml:space="preserve"> Ho Wing</w:t>
      </w:r>
      <w:r w:rsidR="007A13CD" w:rsidRPr="008A1DB4">
        <w:rPr>
          <w:spacing w:val="-2"/>
          <w:lang w:val="en-US"/>
        </w:rPr>
        <w:t xml:space="preserve">’s defense lawyer filed an appeal against this measure before </w:t>
      </w:r>
      <w:r w:rsidRPr="008A1DB4">
        <w:rPr>
          <w:rFonts w:cs="Arial"/>
          <w:spacing w:val="-2"/>
          <w:lang w:val="en-US"/>
        </w:rPr>
        <w:t xml:space="preserve">the First </w:t>
      </w:r>
      <w:r w:rsidR="007A13CD" w:rsidRPr="008A1DB4">
        <w:rPr>
          <w:rFonts w:cs="Arial"/>
          <w:spacing w:val="-2"/>
          <w:lang w:val="en-US"/>
        </w:rPr>
        <w:t>Transitory</w:t>
      </w:r>
      <w:r w:rsidRPr="008A1DB4">
        <w:rPr>
          <w:rFonts w:cs="Arial"/>
          <w:spacing w:val="-2"/>
          <w:lang w:val="en-US"/>
        </w:rPr>
        <w:t xml:space="preserve"> </w:t>
      </w:r>
      <w:r w:rsidR="007A13CD" w:rsidRPr="008A1DB4">
        <w:rPr>
          <w:rFonts w:cs="Arial"/>
          <w:spacing w:val="-2"/>
          <w:lang w:val="en-US"/>
        </w:rPr>
        <w:t xml:space="preserve">Combined </w:t>
      </w:r>
      <w:r w:rsidRPr="008A1DB4">
        <w:rPr>
          <w:rFonts w:cs="Arial"/>
          <w:spacing w:val="-2"/>
          <w:lang w:val="en-US"/>
        </w:rPr>
        <w:t>Superior Chamber</w:t>
      </w:r>
      <w:r w:rsidR="00601B3D" w:rsidRPr="008A1DB4">
        <w:rPr>
          <w:spacing w:val="-2"/>
          <w:lang w:val="en-US"/>
        </w:rPr>
        <w:t xml:space="preserve">. </w:t>
      </w:r>
      <w:r w:rsidR="00A3310A" w:rsidRPr="008A1DB4">
        <w:rPr>
          <w:rFonts w:cs="Arial"/>
          <w:spacing w:val="-2"/>
          <w:lang w:val="en-US"/>
        </w:rPr>
        <w:t>On December 11,</w:t>
      </w:r>
      <w:r w:rsidR="00601B3D" w:rsidRPr="008A1DB4">
        <w:rPr>
          <w:rFonts w:cs="Arial"/>
          <w:spacing w:val="-2"/>
          <w:lang w:val="en-US"/>
        </w:rPr>
        <w:t xml:space="preserve"> 2008</w:t>
      </w:r>
      <w:r w:rsidRPr="008A1DB4">
        <w:rPr>
          <w:rFonts w:cs="Arial"/>
          <w:spacing w:val="-2"/>
          <w:lang w:val="en-US"/>
        </w:rPr>
        <w:t>,</w:t>
      </w:r>
      <w:r w:rsidR="00601B3D" w:rsidRPr="008A1DB4">
        <w:rPr>
          <w:rFonts w:cs="Arial"/>
          <w:spacing w:val="-2"/>
          <w:lang w:val="en-US"/>
        </w:rPr>
        <w:t xml:space="preserve"> </w:t>
      </w:r>
      <w:r w:rsidRPr="008A1DB4">
        <w:rPr>
          <w:rFonts w:cs="Arial"/>
          <w:spacing w:val="-2"/>
          <w:lang w:val="en-US"/>
        </w:rPr>
        <w:t>the First Combined Superior Chamber</w:t>
      </w:r>
      <w:r w:rsidR="00601B3D" w:rsidRPr="008A1DB4">
        <w:rPr>
          <w:rFonts w:cs="Arial"/>
          <w:spacing w:val="-2"/>
          <w:lang w:val="en-US"/>
        </w:rPr>
        <w:t xml:space="preserve"> </w:t>
      </w:r>
      <w:r w:rsidR="007A13CD" w:rsidRPr="008A1DB4">
        <w:rPr>
          <w:rFonts w:cs="Arial"/>
          <w:spacing w:val="-2"/>
          <w:lang w:val="en-US"/>
        </w:rPr>
        <w:t>confirmed the</w:t>
      </w:r>
      <w:r w:rsidR="00601B3D" w:rsidRPr="008A1DB4">
        <w:rPr>
          <w:rFonts w:cs="Arial"/>
          <w:spacing w:val="-2"/>
          <w:lang w:val="en-US"/>
        </w:rPr>
        <w:t xml:space="preserve"> </w:t>
      </w:r>
      <w:r w:rsidR="007A13CD" w:rsidRPr="008A1DB4">
        <w:rPr>
          <w:rFonts w:cs="Arial"/>
          <w:spacing w:val="-2"/>
          <w:lang w:val="en-US"/>
        </w:rPr>
        <w:t>p</w:t>
      </w:r>
      <w:r w:rsidR="00A3310A" w:rsidRPr="008A1DB4">
        <w:rPr>
          <w:rFonts w:cs="Arial"/>
          <w:spacing w:val="-2"/>
          <w:lang w:val="en-US"/>
        </w:rPr>
        <w:t>rovisional arrest warrant</w:t>
      </w:r>
      <w:r w:rsidR="00601B3D" w:rsidRPr="008A1DB4">
        <w:rPr>
          <w:rStyle w:val="FootnoteReference"/>
          <w:rFonts w:cs="Arial"/>
          <w:spacing w:val="-2"/>
          <w:lang w:val="en-US"/>
        </w:rPr>
        <w:footnoteReference w:id="332"/>
      </w:r>
      <w:r w:rsidR="00ED3578" w:rsidRPr="008A1DB4">
        <w:rPr>
          <w:rFonts w:cs="Arial"/>
          <w:spacing w:val="-2"/>
          <w:lang w:val="en-US"/>
        </w:rPr>
        <w:t xml:space="preserve"> </w:t>
      </w:r>
      <w:r w:rsidR="00ED3578" w:rsidRPr="008A1DB4">
        <w:rPr>
          <w:rFonts w:cs="Callibri"/>
          <w:spacing w:val="-2"/>
          <w:lang w:val="en-US"/>
        </w:rPr>
        <w:t>(</w:t>
      </w:r>
      <w:r w:rsidR="00ED3578" w:rsidRPr="008A1DB4">
        <w:rPr>
          <w:rFonts w:cs="Callibri"/>
          <w:i/>
          <w:spacing w:val="-2"/>
          <w:lang w:val="en-US"/>
        </w:rPr>
        <w:t xml:space="preserve">supra </w:t>
      </w:r>
      <w:r w:rsidR="00C45946" w:rsidRPr="008A1DB4">
        <w:rPr>
          <w:rFonts w:cs="Callibri"/>
          <w:spacing w:val="-2"/>
          <w:lang w:val="en-US"/>
        </w:rPr>
        <w:t xml:space="preserve">para. </w:t>
      </w:r>
      <w:r w:rsidR="00ED3578" w:rsidRPr="008A1DB4">
        <w:rPr>
          <w:rFonts w:cs="Callibri"/>
          <w:spacing w:val="-2"/>
          <w:lang w:val="en-US"/>
        </w:rPr>
        <w:fldChar w:fldCharType="begin"/>
      </w:r>
      <w:r w:rsidR="00ED3578" w:rsidRPr="008A1DB4">
        <w:rPr>
          <w:rFonts w:cs="Callibri"/>
          <w:spacing w:val="-2"/>
          <w:lang w:val="en-US"/>
        </w:rPr>
        <w:instrText xml:space="preserve"> REF _Ref428894505 \r \h </w:instrText>
      </w:r>
      <w:r w:rsidR="00DC41F4" w:rsidRPr="008A1DB4">
        <w:rPr>
          <w:rFonts w:cs="Callibri"/>
          <w:spacing w:val="-2"/>
          <w:lang w:val="en-US"/>
        </w:rPr>
        <w:instrText xml:space="preserve"> \* MERGEFORMAT </w:instrText>
      </w:r>
      <w:r w:rsidR="00ED3578" w:rsidRPr="008A1DB4">
        <w:rPr>
          <w:rFonts w:cs="Callibri"/>
          <w:spacing w:val="-2"/>
          <w:lang w:val="en-US"/>
        </w:rPr>
      </w:r>
      <w:r w:rsidR="00ED3578" w:rsidRPr="008A1DB4">
        <w:rPr>
          <w:rFonts w:cs="Callibri"/>
          <w:spacing w:val="-2"/>
          <w:lang w:val="en-US"/>
        </w:rPr>
        <w:fldChar w:fldCharType="separate"/>
      </w:r>
      <w:r w:rsidR="00E961FA" w:rsidRPr="008A1DB4">
        <w:rPr>
          <w:rFonts w:cs="Callibri"/>
          <w:spacing w:val="-2"/>
          <w:lang w:val="en-US"/>
        </w:rPr>
        <w:t>100</w:t>
      </w:r>
      <w:r w:rsidR="00ED3578" w:rsidRPr="008A1DB4">
        <w:rPr>
          <w:rFonts w:cs="Callibri"/>
          <w:spacing w:val="-2"/>
          <w:lang w:val="en-US"/>
        </w:rPr>
        <w:fldChar w:fldCharType="end"/>
      </w:r>
      <w:r w:rsidR="00ED3578" w:rsidRPr="008A1DB4">
        <w:rPr>
          <w:rFonts w:cs="Callibri"/>
          <w:spacing w:val="-2"/>
          <w:lang w:val="en-US"/>
        </w:rPr>
        <w:t>)</w:t>
      </w:r>
      <w:r w:rsidR="00601B3D" w:rsidRPr="008A1DB4">
        <w:rPr>
          <w:spacing w:val="-2"/>
          <w:lang w:val="en-US"/>
        </w:rPr>
        <w:t xml:space="preserve">. </w:t>
      </w:r>
      <w:r w:rsidR="007A13CD" w:rsidRPr="008A1DB4">
        <w:rPr>
          <w:spacing w:val="-2"/>
          <w:lang w:val="en-US"/>
        </w:rPr>
        <w:t>Both decisions were delivered taking into account a</w:t>
      </w:r>
      <w:r w:rsidR="00F36400" w:rsidRPr="008A1DB4">
        <w:rPr>
          <w:spacing w:val="-2"/>
          <w:lang w:val="en-US"/>
        </w:rPr>
        <w:t>rticle</w:t>
      </w:r>
      <w:r w:rsidR="00601B3D" w:rsidRPr="008A1DB4">
        <w:rPr>
          <w:spacing w:val="-2"/>
          <w:lang w:val="en-US"/>
        </w:rPr>
        <w:t xml:space="preserve"> 523 </w:t>
      </w:r>
      <w:r w:rsidR="00A3310A" w:rsidRPr="008A1DB4">
        <w:rPr>
          <w:spacing w:val="-2"/>
          <w:lang w:val="en-US"/>
        </w:rPr>
        <w:t>of the Code of</w:t>
      </w:r>
      <w:r w:rsidR="00B43F84" w:rsidRPr="008A1DB4">
        <w:rPr>
          <w:spacing w:val="-2"/>
          <w:lang w:val="en-US"/>
        </w:rPr>
        <w:t xml:space="preserve"> Criminal Procedure</w:t>
      </w:r>
      <w:r w:rsidR="00601B3D" w:rsidRPr="008A1DB4">
        <w:rPr>
          <w:rFonts w:cs="Callibri"/>
          <w:spacing w:val="-2"/>
          <w:lang w:val="en-US"/>
        </w:rPr>
        <w:t xml:space="preserve"> (</w:t>
      </w:r>
      <w:r w:rsidR="00601B3D" w:rsidRPr="008A1DB4">
        <w:rPr>
          <w:rFonts w:cs="Callibri"/>
          <w:i/>
          <w:spacing w:val="-2"/>
          <w:lang w:val="en-US"/>
        </w:rPr>
        <w:t xml:space="preserve">supra </w:t>
      </w:r>
      <w:r w:rsidR="00C45946" w:rsidRPr="008A1DB4">
        <w:rPr>
          <w:rFonts w:cs="Callibri"/>
          <w:spacing w:val="-2"/>
          <w:lang w:val="en-US"/>
        </w:rPr>
        <w:t xml:space="preserve">para. </w:t>
      </w:r>
      <w:r w:rsidR="001526EC" w:rsidRPr="008A1DB4">
        <w:rPr>
          <w:rFonts w:cs="Callibri"/>
          <w:spacing w:val="-2"/>
          <w:lang w:val="en-US"/>
        </w:rPr>
        <w:fldChar w:fldCharType="begin"/>
      </w:r>
      <w:r w:rsidR="001526EC" w:rsidRPr="008A1DB4">
        <w:rPr>
          <w:rFonts w:cs="Callibri"/>
          <w:spacing w:val="-2"/>
          <w:lang w:val="en-US"/>
        </w:rPr>
        <w:instrText xml:space="preserve"> REF _Ref419386567 \r \h </w:instrText>
      </w:r>
      <w:r w:rsidR="00DC41F4" w:rsidRPr="008A1DB4">
        <w:rPr>
          <w:rFonts w:cs="Callibri"/>
          <w:spacing w:val="-2"/>
          <w:lang w:val="en-US"/>
        </w:rPr>
        <w:instrText xml:space="preserve"> \* MERGEFORMAT </w:instrText>
      </w:r>
      <w:r w:rsidR="001526EC" w:rsidRPr="008A1DB4">
        <w:rPr>
          <w:rFonts w:cs="Callibri"/>
          <w:spacing w:val="-2"/>
          <w:lang w:val="en-US"/>
        </w:rPr>
      </w:r>
      <w:r w:rsidR="001526EC" w:rsidRPr="008A1DB4">
        <w:rPr>
          <w:rFonts w:cs="Callibri"/>
          <w:spacing w:val="-2"/>
          <w:lang w:val="en-US"/>
        </w:rPr>
        <w:fldChar w:fldCharType="separate"/>
      </w:r>
      <w:r w:rsidR="00E961FA" w:rsidRPr="008A1DB4">
        <w:rPr>
          <w:rFonts w:cs="Callibri"/>
          <w:spacing w:val="-2"/>
          <w:lang w:val="en-US"/>
        </w:rPr>
        <w:t>241</w:t>
      </w:r>
      <w:r w:rsidR="001526EC" w:rsidRPr="008A1DB4">
        <w:rPr>
          <w:rFonts w:cs="Callibri"/>
          <w:spacing w:val="-2"/>
          <w:lang w:val="en-US"/>
        </w:rPr>
        <w:fldChar w:fldCharType="end"/>
      </w:r>
      <w:r w:rsidR="00601B3D" w:rsidRPr="008A1DB4">
        <w:rPr>
          <w:rFonts w:cs="Callibri"/>
          <w:spacing w:val="-2"/>
          <w:lang w:val="en-US"/>
        </w:rPr>
        <w:t>)</w:t>
      </w:r>
      <w:r w:rsidR="007A13CD" w:rsidRPr="008A1DB4">
        <w:rPr>
          <w:spacing w:val="-2"/>
          <w:lang w:val="en-US"/>
        </w:rPr>
        <w:t>. There is no dispute about the conformity of these decisions with Peruvian law</w:t>
      </w:r>
      <w:r w:rsidR="00601B3D" w:rsidRPr="008A1DB4">
        <w:rPr>
          <w:spacing w:val="-2"/>
          <w:lang w:val="en-US"/>
        </w:rPr>
        <w:t>.</w:t>
      </w:r>
      <w:bookmarkEnd w:id="1039"/>
      <w:r w:rsidR="00601B3D" w:rsidRPr="008A1DB4">
        <w:rPr>
          <w:spacing w:val="-2"/>
          <w:lang w:val="en-US"/>
        </w:rPr>
        <w:t xml:space="preserve"> </w:t>
      </w:r>
    </w:p>
    <w:p w14:paraId="28C546FA" w14:textId="77777777" w:rsidR="00601B3D" w:rsidRPr="008A1DB4" w:rsidRDefault="00601B3D" w:rsidP="00956E97">
      <w:pPr>
        <w:rPr>
          <w:spacing w:val="-2"/>
          <w:szCs w:val="20"/>
          <w:lang w:val="en-US"/>
        </w:rPr>
      </w:pPr>
    </w:p>
    <w:p w14:paraId="3340A8DB" w14:textId="2899BA2A" w:rsidR="00601B3D" w:rsidRPr="008A1DB4" w:rsidRDefault="00F36400" w:rsidP="00956E97">
      <w:pPr>
        <w:pStyle w:val="PrrafodeSentencia"/>
        <w:rPr>
          <w:spacing w:val="-2"/>
          <w:lang w:val="en-US"/>
        </w:rPr>
      </w:pPr>
      <w:bookmarkStart w:id="1040" w:name="_Ref428961047"/>
      <w:r w:rsidRPr="008A1DB4">
        <w:rPr>
          <w:spacing w:val="-2"/>
          <w:lang w:val="en-US"/>
        </w:rPr>
        <w:t>The Inter-American Court</w:t>
      </w:r>
      <w:r w:rsidR="00601B3D" w:rsidRPr="008A1DB4">
        <w:rPr>
          <w:rFonts w:eastAsia="Times New Roman" w:cs="Verdana"/>
          <w:spacing w:val="-2"/>
          <w:lang w:val="en-US" w:eastAsia="es-ES"/>
        </w:rPr>
        <w:t xml:space="preserve"> ha</w:t>
      </w:r>
      <w:r w:rsidR="007A13CD" w:rsidRPr="008A1DB4">
        <w:rPr>
          <w:rFonts w:eastAsia="Times New Roman" w:cs="Verdana"/>
          <w:spacing w:val="-2"/>
          <w:lang w:val="en-US" w:eastAsia="es-ES"/>
        </w:rPr>
        <w:t>s indicated that, notwithstanding the lawfulne</w:t>
      </w:r>
      <w:r w:rsidR="0056171C">
        <w:rPr>
          <w:rFonts w:eastAsia="Times New Roman" w:cs="Verdana"/>
          <w:spacing w:val="-2"/>
          <w:lang w:val="en-US" w:eastAsia="es-ES"/>
        </w:rPr>
        <w:t>ss of a detention, in each case</w:t>
      </w:r>
      <w:r w:rsidR="007A13CD" w:rsidRPr="008A1DB4">
        <w:rPr>
          <w:rFonts w:eastAsia="Times New Roman" w:cs="Verdana"/>
          <w:spacing w:val="-2"/>
          <w:lang w:val="en-US" w:eastAsia="es-ES"/>
        </w:rPr>
        <w:t xml:space="preserve"> an analysis must be made of the law’s compatibility with</w:t>
      </w:r>
      <w:r w:rsidR="00601B3D" w:rsidRPr="008A1DB4">
        <w:rPr>
          <w:rFonts w:eastAsia="Times New Roman" w:cs="Verdana"/>
          <w:spacing w:val="-2"/>
          <w:lang w:val="en-US" w:eastAsia="es-ES"/>
        </w:rPr>
        <w:t xml:space="preserve"> </w:t>
      </w:r>
      <w:r w:rsidRPr="008A1DB4">
        <w:rPr>
          <w:spacing w:val="-2"/>
          <w:lang w:val="en-US"/>
        </w:rPr>
        <w:t>the Convention</w:t>
      </w:r>
      <w:r w:rsidR="007A13CD" w:rsidRPr="008A1DB4">
        <w:rPr>
          <w:spacing w:val="-2"/>
          <w:lang w:val="en-US"/>
        </w:rPr>
        <w:t>, in the understanding that the law and its application must respect the</w:t>
      </w:r>
      <w:r w:rsidR="0056171C">
        <w:rPr>
          <w:spacing w:val="-2"/>
          <w:lang w:val="en-US"/>
        </w:rPr>
        <w:t xml:space="preserve"> following requirements </w:t>
      </w:r>
      <w:r w:rsidR="007A13CD" w:rsidRPr="008A1DB4">
        <w:rPr>
          <w:spacing w:val="-2"/>
          <w:lang w:val="en-US"/>
        </w:rPr>
        <w:t>to ensure that the deprivation of liberty is not arbitrary:</w:t>
      </w:r>
      <w:r w:rsidR="00601B3D" w:rsidRPr="008A1DB4">
        <w:rPr>
          <w:rStyle w:val="FootnoteReference"/>
          <w:spacing w:val="-2"/>
          <w:lang w:val="en-US"/>
        </w:rPr>
        <w:footnoteReference w:id="333"/>
      </w:r>
      <w:r w:rsidR="00601B3D" w:rsidRPr="008A1DB4">
        <w:rPr>
          <w:spacing w:val="-2"/>
          <w:lang w:val="en-US"/>
        </w:rPr>
        <w:t xml:space="preserve"> </w:t>
      </w:r>
      <w:r w:rsidR="007A13CD" w:rsidRPr="008A1DB4">
        <w:rPr>
          <w:spacing w:val="-2"/>
          <w:lang w:val="en-US"/>
        </w:rPr>
        <w:t>(</w:t>
      </w:r>
      <w:proofErr w:type="spellStart"/>
      <w:r w:rsidR="00601B3D" w:rsidRPr="008A1DB4">
        <w:rPr>
          <w:spacing w:val="-2"/>
          <w:lang w:val="en-US"/>
        </w:rPr>
        <w:t>i</w:t>
      </w:r>
      <w:proofErr w:type="spellEnd"/>
      <w:r w:rsidR="00601B3D" w:rsidRPr="008A1DB4">
        <w:rPr>
          <w:spacing w:val="-2"/>
          <w:lang w:val="en-US"/>
        </w:rPr>
        <w:t xml:space="preserve">) </w:t>
      </w:r>
      <w:r w:rsidR="007A13CD" w:rsidRPr="008A1DB4">
        <w:rPr>
          <w:spacing w:val="-2"/>
          <w:lang w:val="en-US"/>
        </w:rPr>
        <w:t xml:space="preserve">that the purpose of the measures </w:t>
      </w:r>
      <w:r w:rsidR="0079515C" w:rsidRPr="008A1DB4">
        <w:rPr>
          <w:spacing w:val="-2"/>
          <w:lang w:val="en-US"/>
        </w:rPr>
        <w:t>that</w:t>
      </w:r>
      <w:r w:rsidR="007A13CD" w:rsidRPr="008A1DB4">
        <w:rPr>
          <w:spacing w:val="-2"/>
          <w:lang w:val="en-US"/>
        </w:rPr>
        <w:t xml:space="preserve"> deprive or restrict liberty are </w:t>
      </w:r>
      <w:r w:rsidR="00601B3D" w:rsidRPr="008A1DB4">
        <w:rPr>
          <w:spacing w:val="-2"/>
          <w:lang w:val="en-US"/>
        </w:rPr>
        <w:t xml:space="preserve">compatible </w:t>
      </w:r>
      <w:r w:rsidR="007A13CD" w:rsidRPr="008A1DB4">
        <w:rPr>
          <w:spacing w:val="-2"/>
          <w:lang w:val="en-US"/>
        </w:rPr>
        <w:t>with</w:t>
      </w:r>
      <w:r w:rsidR="00601B3D" w:rsidRPr="008A1DB4">
        <w:rPr>
          <w:spacing w:val="-2"/>
          <w:lang w:val="en-US"/>
        </w:rPr>
        <w:t xml:space="preserve"> </w:t>
      </w:r>
      <w:r w:rsidRPr="008A1DB4">
        <w:rPr>
          <w:spacing w:val="-2"/>
          <w:lang w:val="en-US"/>
        </w:rPr>
        <w:t>the Convention</w:t>
      </w:r>
      <w:r w:rsidR="00601B3D" w:rsidRPr="008A1DB4">
        <w:rPr>
          <w:spacing w:val="-2"/>
          <w:lang w:val="en-US"/>
        </w:rPr>
        <w:t xml:space="preserve">; </w:t>
      </w:r>
      <w:r w:rsidR="0056171C">
        <w:rPr>
          <w:spacing w:val="-2"/>
          <w:lang w:val="en-US"/>
        </w:rPr>
        <w:t>(</w:t>
      </w:r>
      <w:r w:rsidR="00601B3D" w:rsidRPr="008A1DB4">
        <w:rPr>
          <w:spacing w:val="-2"/>
          <w:lang w:val="en-US"/>
        </w:rPr>
        <w:t xml:space="preserve">ii) </w:t>
      </w:r>
      <w:r w:rsidR="007A13CD" w:rsidRPr="008A1DB4">
        <w:rPr>
          <w:spacing w:val="-2"/>
          <w:lang w:val="en-US"/>
        </w:rPr>
        <w:t xml:space="preserve">that the measures adopted are appropriate to achieve the purpose sought; (iii) that they are necessary, in the sense that they are absolutely essential to achieve the purpose sought and that there is no less onerous measure, with regard to the right affected, among all those with the same ability to achieve the proposed purpose - which is why the Court has asserted that the right to </w:t>
      </w:r>
      <w:r w:rsidR="00776D24" w:rsidRPr="008A1DB4">
        <w:rPr>
          <w:spacing w:val="-2"/>
          <w:lang w:val="en-US"/>
        </w:rPr>
        <w:t>personal liberty</w:t>
      </w:r>
      <w:r w:rsidR="00601B3D" w:rsidRPr="008A1DB4">
        <w:rPr>
          <w:spacing w:val="-2"/>
          <w:lang w:val="en-US"/>
        </w:rPr>
        <w:t xml:space="preserve"> </w:t>
      </w:r>
      <w:r w:rsidR="007A13CD" w:rsidRPr="008A1DB4">
        <w:rPr>
          <w:spacing w:val="-2"/>
          <w:lang w:val="en-US"/>
        </w:rPr>
        <w:t>presumes that any restriction of this right must be exceptional,</w:t>
      </w:r>
      <w:r w:rsidR="00601B3D" w:rsidRPr="008A1DB4">
        <w:rPr>
          <w:rStyle w:val="FootnoteReference"/>
          <w:spacing w:val="-2"/>
          <w:lang w:val="en-US"/>
        </w:rPr>
        <w:footnoteReference w:id="334"/>
      </w:r>
      <w:r w:rsidRPr="008A1DB4">
        <w:rPr>
          <w:spacing w:val="-2"/>
          <w:lang w:val="en-US"/>
        </w:rPr>
        <w:t xml:space="preserve"> and </w:t>
      </w:r>
      <w:r w:rsidR="007A13CD" w:rsidRPr="008A1DB4">
        <w:rPr>
          <w:spacing w:val="-2"/>
          <w:lang w:val="en-US"/>
        </w:rPr>
        <w:t>(</w:t>
      </w:r>
      <w:r w:rsidR="00601B3D" w:rsidRPr="008A1DB4">
        <w:rPr>
          <w:spacing w:val="-2"/>
          <w:lang w:val="en-US"/>
        </w:rPr>
        <w:t xml:space="preserve">iv) </w:t>
      </w:r>
      <w:r w:rsidR="007A13CD" w:rsidRPr="008A1DB4">
        <w:rPr>
          <w:spacing w:val="-2"/>
          <w:lang w:val="en-US"/>
        </w:rPr>
        <w:t>that the measures are strictly proportionate,</w:t>
      </w:r>
      <w:r w:rsidR="00601B3D" w:rsidRPr="008A1DB4">
        <w:rPr>
          <w:rStyle w:val="FootnoteReference"/>
          <w:spacing w:val="-2"/>
          <w:lang w:val="en-US"/>
        </w:rPr>
        <w:footnoteReference w:id="335"/>
      </w:r>
      <w:r w:rsidR="007A13CD" w:rsidRPr="008A1DB4">
        <w:rPr>
          <w:spacing w:val="-2"/>
          <w:lang w:val="en-US"/>
        </w:rPr>
        <w:t xml:space="preserve"> so that the sacrifice inherent in the restriction of the right to liberty is not exaggerated or excessive in relation to </w:t>
      </w:r>
      <w:r w:rsidR="0056171C">
        <w:rPr>
          <w:spacing w:val="-2"/>
          <w:lang w:val="en-US"/>
        </w:rPr>
        <w:t>the advantages obtained from its</w:t>
      </w:r>
      <w:r w:rsidR="007A13CD" w:rsidRPr="008A1DB4">
        <w:rPr>
          <w:spacing w:val="-2"/>
          <w:lang w:val="en-US"/>
        </w:rPr>
        <w:t xml:space="preserve"> restriction and achievement of the purpose sought.</w:t>
      </w:r>
      <w:r w:rsidR="00601B3D" w:rsidRPr="008A1DB4">
        <w:rPr>
          <w:rStyle w:val="FootnoteReference"/>
          <w:spacing w:val="-2"/>
          <w:lang w:val="en-US"/>
        </w:rPr>
        <w:footnoteReference w:id="336"/>
      </w:r>
      <w:r w:rsidR="005E194D" w:rsidRPr="008A1DB4">
        <w:rPr>
          <w:spacing w:val="-2"/>
          <w:lang w:val="en-US"/>
        </w:rPr>
        <w:t xml:space="preserve"> </w:t>
      </w:r>
      <w:r w:rsidR="007A13CD" w:rsidRPr="008A1DB4">
        <w:rPr>
          <w:spacing w:val="-2"/>
          <w:lang w:val="en-US"/>
        </w:rPr>
        <w:t xml:space="preserve">Any restriction of liberty that does not contain sufficient grounds </w:t>
      </w:r>
      <w:r w:rsidR="0056171C">
        <w:rPr>
          <w:spacing w:val="-2"/>
          <w:lang w:val="en-US"/>
        </w:rPr>
        <w:t>which</w:t>
      </w:r>
      <w:r w:rsidR="007A13CD" w:rsidRPr="008A1DB4">
        <w:rPr>
          <w:spacing w:val="-2"/>
          <w:lang w:val="en-US"/>
        </w:rPr>
        <w:t xml:space="preserve"> allow it to be evaluated to ensure that it meets these conditions will be arbitrary and, therefore, violate </w:t>
      </w:r>
      <w:r w:rsidR="00851076" w:rsidRPr="008A1DB4">
        <w:rPr>
          <w:spacing w:val="-2"/>
          <w:lang w:val="en-US"/>
        </w:rPr>
        <w:t>Article 7(3)</w:t>
      </w:r>
      <w:r w:rsidRPr="008A1DB4">
        <w:rPr>
          <w:spacing w:val="-2"/>
          <w:lang w:val="en-US"/>
        </w:rPr>
        <w:t xml:space="preserve"> of the Convention</w:t>
      </w:r>
      <w:r w:rsidR="007A13CD" w:rsidRPr="008A1DB4">
        <w:rPr>
          <w:spacing w:val="-2"/>
          <w:lang w:val="en-US"/>
        </w:rPr>
        <w:t>.</w:t>
      </w:r>
      <w:r w:rsidR="00601B3D" w:rsidRPr="008A1DB4">
        <w:rPr>
          <w:rStyle w:val="FootnoteReference"/>
          <w:spacing w:val="-2"/>
          <w:lang w:val="en-US"/>
        </w:rPr>
        <w:footnoteReference w:id="337"/>
      </w:r>
      <w:bookmarkEnd w:id="1040"/>
    </w:p>
    <w:p w14:paraId="529AB0B3" w14:textId="77777777" w:rsidR="00601B3D" w:rsidRPr="008A1DB4" w:rsidRDefault="00601B3D" w:rsidP="00956E97">
      <w:pPr>
        <w:pStyle w:val="PrrafodeSentencia"/>
        <w:numPr>
          <w:ilvl w:val="0"/>
          <w:numId w:val="0"/>
        </w:numPr>
        <w:rPr>
          <w:spacing w:val="-2"/>
          <w:lang w:val="en-US"/>
        </w:rPr>
      </w:pPr>
    </w:p>
    <w:p w14:paraId="1379A663" w14:textId="1C0B932B" w:rsidR="00601B3D" w:rsidRPr="008A1DB4" w:rsidRDefault="00F36400" w:rsidP="00956E97">
      <w:pPr>
        <w:pStyle w:val="PrrafodeSentencia"/>
        <w:rPr>
          <w:spacing w:val="-2"/>
          <w:lang w:val="en-US"/>
        </w:rPr>
      </w:pPr>
      <w:r w:rsidRPr="008A1DB4">
        <w:rPr>
          <w:spacing w:val="-2"/>
          <w:lang w:val="en-US"/>
        </w:rPr>
        <w:t>The Court</w:t>
      </w:r>
      <w:r w:rsidR="00601B3D" w:rsidRPr="008A1DB4">
        <w:rPr>
          <w:spacing w:val="-2"/>
          <w:lang w:val="en-US"/>
        </w:rPr>
        <w:t xml:space="preserve"> </w:t>
      </w:r>
      <w:r w:rsidR="007A13CD" w:rsidRPr="008A1DB4">
        <w:rPr>
          <w:spacing w:val="-2"/>
          <w:lang w:val="en-US"/>
        </w:rPr>
        <w:t xml:space="preserve">notes that the arguments </w:t>
      </w:r>
      <w:r w:rsidR="00C45946" w:rsidRPr="008A1DB4">
        <w:rPr>
          <w:spacing w:val="-2"/>
          <w:lang w:val="en-US"/>
        </w:rPr>
        <w:t xml:space="preserve">of the </w:t>
      </w:r>
      <w:r w:rsidRPr="008A1DB4">
        <w:rPr>
          <w:spacing w:val="-2"/>
          <w:lang w:val="en-US"/>
        </w:rPr>
        <w:t xml:space="preserve">Commission and </w:t>
      </w:r>
      <w:r w:rsidR="00C45946" w:rsidRPr="008A1DB4">
        <w:rPr>
          <w:spacing w:val="-2"/>
          <w:lang w:val="en-US"/>
        </w:rPr>
        <w:t>the representative</w:t>
      </w:r>
      <w:r w:rsidR="00601B3D" w:rsidRPr="008A1DB4">
        <w:rPr>
          <w:spacing w:val="-2"/>
          <w:lang w:val="en-US"/>
        </w:rPr>
        <w:t xml:space="preserve"> </w:t>
      </w:r>
      <w:r w:rsidR="007A13CD" w:rsidRPr="008A1DB4">
        <w:rPr>
          <w:spacing w:val="-2"/>
          <w:lang w:val="en-US"/>
        </w:rPr>
        <w:t xml:space="preserve">do not refer to the initial detention, or </w:t>
      </w:r>
      <w:r w:rsidR="0056171C">
        <w:rPr>
          <w:spacing w:val="-2"/>
          <w:lang w:val="en-US"/>
        </w:rPr>
        <w:t xml:space="preserve">to </w:t>
      </w:r>
      <w:r w:rsidR="007A13CD" w:rsidRPr="008A1DB4">
        <w:rPr>
          <w:spacing w:val="-2"/>
          <w:lang w:val="en-US"/>
        </w:rPr>
        <w:t xml:space="preserve">the order of </w:t>
      </w:r>
      <w:r w:rsidR="001E7113" w:rsidRPr="008A1DB4">
        <w:rPr>
          <w:spacing w:val="-2"/>
          <w:lang w:val="en-US"/>
        </w:rPr>
        <w:t>October 28,</w:t>
      </w:r>
      <w:r w:rsidR="00601B3D" w:rsidRPr="008A1DB4">
        <w:rPr>
          <w:spacing w:val="-2"/>
          <w:lang w:val="en-US"/>
        </w:rPr>
        <w:t xml:space="preserve"> 2008. </w:t>
      </w:r>
      <w:r w:rsidR="007A13CD" w:rsidRPr="008A1DB4">
        <w:rPr>
          <w:spacing w:val="-2"/>
          <w:lang w:val="en-US"/>
        </w:rPr>
        <w:t>Therefore, the dispute betw</w:t>
      </w:r>
      <w:r w:rsidR="0056171C">
        <w:rPr>
          <w:spacing w:val="-2"/>
          <w:lang w:val="en-US"/>
        </w:rPr>
        <w:t>een the parties does not relate</w:t>
      </w:r>
      <w:r w:rsidR="007A13CD" w:rsidRPr="008A1DB4">
        <w:rPr>
          <w:spacing w:val="-2"/>
          <w:lang w:val="en-US"/>
        </w:rPr>
        <w:t xml:space="preserve"> to the lawfulness or arbitrariness of </w:t>
      </w:r>
      <w:r w:rsidR="00B43F84" w:rsidRPr="008A1DB4">
        <w:rPr>
          <w:spacing w:val="-2"/>
          <w:lang w:val="en-US"/>
        </w:rPr>
        <w:t>Wong</w:t>
      </w:r>
      <w:r w:rsidR="00601B3D" w:rsidRPr="008A1DB4">
        <w:rPr>
          <w:spacing w:val="-2"/>
          <w:lang w:val="en-US"/>
        </w:rPr>
        <w:t xml:space="preserve"> Ho Wing</w:t>
      </w:r>
      <w:r w:rsidR="007A13CD" w:rsidRPr="008A1DB4">
        <w:rPr>
          <w:spacing w:val="-2"/>
          <w:lang w:val="en-US"/>
        </w:rPr>
        <w:t xml:space="preserve">’s initial detention. This appears to have been carried out to meet the State’s international obligations under the Extradition Treaty and also as a member of </w:t>
      </w:r>
      <w:r w:rsidR="00601B3D" w:rsidRPr="008A1DB4">
        <w:rPr>
          <w:spacing w:val="-2"/>
          <w:lang w:val="en-US"/>
        </w:rPr>
        <w:t>INTERPOL (</w:t>
      </w:r>
      <w:r w:rsidR="00601B3D" w:rsidRPr="008A1DB4">
        <w:rPr>
          <w:i/>
          <w:spacing w:val="-2"/>
          <w:lang w:val="en-US"/>
        </w:rPr>
        <w:t>supra</w:t>
      </w:r>
      <w:r w:rsidR="00601B3D" w:rsidRPr="008A1DB4">
        <w:rPr>
          <w:spacing w:val="-2"/>
          <w:lang w:val="en-US"/>
        </w:rPr>
        <w:t xml:space="preserve"> </w:t>
      </w:r>
      <w:r w:rsidR="00C45946" w:rsidRPr="008A1DB4">
        <w:rPr>
          <w:spacing w:val="-2"/>
          <w:lang w:val="en-US"/>
        </w:rPr>
        <w:t xml:space="preserve">para. </w:t>
      </w:r>
      <w:r w:rsidR="00BE2225" w:rsidRPr="008A1DB4">
        <w:rPr>
          <w:spacing w:val="-2"/>
          <w:lang w:val="en-US"/>
        </w:rPr>
        <w:fldChar w:fldCharType="begin"/>
      </w:r>
      <w:r w:rsidR="00BE2225" w:rsidRPr="008A1DB4">
        <w:rPr>
          <w:spacing w:val="-2"/>
          <w:lang w:val="en-US"/>
        </w:rPr>
        <w:instrText xml:space="preserve"> REF _Ref417424628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239</w:t>
      </w:r>
      <w:r w:rsidR="00BE2225" w:rsidRPr="008A1DB4">
        <w:rPr>
          <w:spacing w:val="-2"/>
          <w:lang w:val="en-US"/>
        </w:rPr>
        <w:fldChar w:fldCharType="end"/>
      </w:r>
      <w:r w:rsidR="00601B3D" w:rsidRPr="008A1DB4">
        <w:rPr>
          <w:spacing w:val="-2"/>
          <w:lang w:val="en-US"/>
        </w:rPr>
        <w:t xml:space="preserve">), </w:t>
      </w:r>
      <w:r w:rsidR="007A13CD" w:rsidRPr="008A1DB4">
        <w:rPr>
          <w:spacing w:val="-2"/>
          <w:lang w:val="en-US"/>
        </w:rPr>
        <w:t xml:space="preserve">which has not been questioned before this Court. The dispute between the parties, regarding the alleged arbitrary nature of the </w:t>
      </w:r>
      <w:r w:rsidR="007A13CD" w:rsidRPr="008A1DB4">
        <w:rPr>
          <w:spacing w:val="-2"/>
          <w:lang w:val="en-US"/>
        </w:rPr>
        <w:lastRenderedPageBreak/>
        <w:t>detention of Wong Ho Wing</w:t>
      </w:r>
      <w:r w:rsidR="0056171C">
        <w:rPr>
          <w:spacing w:val="-2"/>
          <w:lang w:val="en-US"/>
        </w:rPr>
        <w:t>,</w:t>
      </w:r>
      <w:r w:rsidR="007A13CD" w:rsidRPr="008A1DB4">
        <w:rPr>
          <w:spacing w:val="-2"/>
          <w:lang w:val="en-US"/>
        </w:rPr>
        <w:t xml:space="preserve"> relates to the grounds for the decision on the appeal issued by </w:t>
      </w:r>
      <w:r w:rsidR="0056171C">
        <w:rPr>
          <w:spacing w:val="-2"/>
          <w:lang w:val="en-US"/>
        </w:rPr>
        <w:t xml:space="preserve">the </w:t>
      </w:r>
      <w:r w:rsidR="00A3310A" w:rsidRPr="008A1DB4">
        <w:rPr>
          <w:spacing w:val="-2"/>
          <w:lang w:val="en-US"/>
        </w:rPr>
        <w:t>First Transitory Combined Superior Chamber of El Callao</w:t>
      </w:r>
      <w:r w:rsidR="007A13CD" w:rsidRPr="008A1DB4">
        <w:rPr>
          <w:spacing w:val="-2"/>
          <w:lang w:val="en-US"/>
        </w:rPr>
        <w:t xml:space="preserve"> on</w:t>
      </w:r>
      <w:r w:rsidR="00601B3D" w:rsidRPr="008A1DB4">
        <w:rPr>
          <w:spacing w:val="-2"/>
          <w:lang w:val="en-US"/>
        </w:rPr>
        <w:t xml:space="preserve"> </w:t>
      </w:r>
      <w:r w:rsidR="00992035" w:rsidRPr="008A1DB4">
        <w:rPr>
          <w:spacing w:val="-2"/>
          <w:lang w:val="en-US"/>
        </w:rPr>
        <w:t>December 11,</w:t>
      </w:r>
      <w:r w:rsidR="00601B3D" w:rsidRPr="008A1DB4">
        <w:rPr>
          <w:spacing w:val="-2"/>
          <w:lang w:val="en-US"/>
        </w:rPr>
        <w:t xml:space="preserve"> 2008, as</w:t>
      </w:r>
      <w:r w:rsidR="007A13CD" w:rsidRPr="008A1DB4">
        <w:rPr>
          <w:spacing w:val="-2"/>
          <w:lang w:val="en-US"/>
        </w:rPr>
        <w:t xml:space="preserve"> well as the </w:t>
      </w:r>
      <w:r w:rsidR="0056171C">
        <w:rPr>
          <w:spacing w:val="-2"/>
          <w:lang w:val="en-US"/>
        </w:rPr>
        <w:t>lack</w:t>
      </w:r>
      <w:r w:rsidR="007A13CD" w:rsidRPr="008A1DB4">
        <w:rPr>
          <w:spacing w:val="-2"/>
          <w:lang w:val="en-US"/>
        </w:rPr>
        <w:t xml:space="preserve"> of a </w:t>
      </w:r>
      <w:r w:rsidR="003D2FF4">
        <w:rPr>
          <w:spacing w:val="-2"/>
          <w:lang w:val="en-US"/>
        </w:rPr>
        <w:t xml:space="preserve">time limit </w:t>
      </w:r>
      <w:r w:rsidR="007A13CD" w:rsidRPr="008A1DB4">
        <w:rPr>
          <w:spacing w:val="-2"/>
          <w:lang w:val="en-US"/>
        </w:rPr>
        <w:t xml:space="preserve">for this detention. Consequently, the Court will analyze whether the grounds for the said decision reveal that it was necessary and proportionate </w:t>
      </w:r>
      <w:r w:rsidR="00601B3D" w:rsidRPr="008A1DB4">
        <w:rPr>
          <w:spacing w:val="-2"/>
          <w:lang w:val="en-US"/>
        </w:rPr>
        <w:t>(</w:t>
      </w:r>
      <w:r w:rsidR="00601B3D" w:rsidRPr="008A1DB4">
        <w:rPr>
          <w:i/>
          <w:spacing w:val="-2"/>
          <w:lang w:val="en-US"/>
        </w:rPr>
        <w:t>supra</w:t>
      </w:r>
      <w:r w:rsidR="00601B3D" w:rsidRPr="008A1DB4">
        <w:rPr>
          <w:spacing w:val="-2"/>
          <w:lang w:val="en-US"/>
        </w:rPr>
        <w:t xml:space="preserve"> </w:t>
      </w:r>
      <w:r w:rsidR="00C45946" w:rsidRPr="008A1DB4">
        <w:rPr>
          <w:spacing w:val="-2"/>
          <w:lang w:val="en-US"/>
        </w:rPr>
        <w:t xml:space="preserve">para. </w:t>
      </w:r>
      <w:r w:rsidR="001447BE" w:rsidRPr="008A1DB4">
        <w:rPr>
          <w:spacing w:val="-2"/>
          <w:lang w:val="en-US"/>
        </w:rPr>
        <w:fldChar w:fldCharType="begin"/>
      </w:r>
      <w:r w:rsidR="001447BE" w:rsidRPr="008A1DB4">
        <w:rPr>
          <w:spacing w:val="-2"/>
          <w:lang w:val="en-US"/>
        </w:rPr>
        <w:instrText xml:space="preserve"> REF _Ref428961047 \r \h </w:instrText>
      </w:r>
      <w:r w:rsidR="00DC41F4" w:rsidRPr="008A1DB4">
        <w:rPr>
          <w:spacing w:val="-2"/>
          <w:lang w:val="en-US"/>
        </w:rPr>
        <w:instrText xml:space="preserve"> \* MERGEFORMAT </w:instrText>
      </w:r>
      <w:r w:rsidR="001447BE" w:rsidRPr="008A1DB4">
        <w:rPr>
          <w:spacing w:val="-2"/>
          <w:lang w:val="en-US"/>
        </w:rPr>
      </w:r>
      <w:r w:rsidR="001447BE" w:rsidRPr="008A1DB4">
        <w:rPr>
          <w:spacing w:val="-2"/>
          <w:lang w:val="en-US"/>
        </w:rPr>
        <w:fldChar w:fldCharType="separate"/>
      </w:r>
      <w:r w:rsidR="00E961FA" w:rsidRPr="008A1DB4">
        <w:rPr>
          <w:spacing w:val="-2"/>
          <w:lang w:val="en-US"/>
        </w:rPr>
        <w:t>248</w:t>
      </w:r>
      <w:r w:rsidR="001447BE" w:rsidRPr="008A1DB4">
        <w:rPr>
          <w:spacing w:val="-2"/>
          <w:lang w:val="en-US"/>
        </w:rPr>
        <w:fldChar w:fldCharType="end"/>
      </w:r>
      <w:r w:rsidR="00601B3D" w:rsidRPr="008A1DB4">
        <w:rPr>
          <w:spacing w:val="-2"/>
          <w:lang w:val="en-US"/>
        </w:rPr>
        <w:t>)</w:t>
      </w:r>
      <w:r w:rsidRPr="008A1DB4">
        <w:rPr>
          <w:spacing w:val="-2"/>
          <w:lang w:val="en-US"/>
        </w:rPr>
        <w:t xml:space="preserve"> and</w:t>
      </w:r>
      <w:r w:rsidR="007A13CD" w:rsidRPr="008A1DB4">
        <w:rPr>
          <w:spacing w:val="-2"/>
          <w:lang w:val="en-US"/>
        </w:rPr>
        <w:t xml:space="preserve"> will then examine the arguments regarding the </w:t>
      </w:r>
      <w:r w:rsidR="0079515C">
        <w:rPr>
          <w:spacing w:val="-2"/>
          <w:lang w:val="en-US"/>
        </w:rPr>
        <w:t xml:space="preserve">unpredictability </w:t>
      </w:r>
      <w:r w:rsidR="007A13CD" w:rsidRPr="008A1DB4">
        <w:rPr>
          <w:spacing w:val="-2"/>
          <w:lang w:val="en-US"/>
        </w:rPr>
        <w:t>of the duration of the detention.</w:t>
      </w:r>
    </w:p>
    <w:p w14:paraId="3CF0D1E5" w14:textId="77777777" w:rsidR="00601B3D" w:rsidRPr="008A1DB4" w:rsidRDefault="00601B3D" w:rsidP="00956E97">
      <w:pPr>
        <w:pStyle w:val="ListParagraph"/>
        <w:tabs>
          <w:tab w:val="left" w:pos="567"/>
        </w:tabs>
        <w:ind w:left="0"/>
        <w:contextualSpacing w:val="0"/>
        <w:rPr>
          <w:spacing w:val="-2"/>
          <w:szCs w:val="20"/>
          <w:lang w:val="en-US"/>
        </w:rPr>
      </w:pPr>
    </w:p>
    <w:p w14:paraId="7DB1254A" w14:textId="2FF7ED0C" w:rsidR="00601B3D" w:rsidRPr="008A1DB4" w:rsidRDefault="007A13CD" w:rsidP="007A13CD">
      <w:pPr>
        <w:pStyle w:val="PrrafodeSentencia"/>
        <w:rPr>
          <w:spacing w:val="-2"/>
          <w:lang w:val="en-US"/>
        </w:rPr>
      </w:pPr>
      <w:r w:rsidRPr="008A1DB4">
        <w:rPr>
          <w:spacing w:val="-2"/>
          <w:lang w:val="en-US"/>
        </w:rPr>
        <w:t>As already established, States have the authority and, in some cases the obligation, to facilitate the extradition of citizens sought by another State using procedures that are compatible with</w:t>
      </w:r>
      <w:r w:rsidR="00601B3D" w:rsidRPr="008A1DB4">
        <w:rPr>
          <w:spacing w:val="-2"/>
          <w:lang w:val="en-US"/>
        </w:rPr>
        <w:t xml:space="preserve"> </w:t>
      </w:r>
      <w:r w:rsidR="00F36400" w:rsidRPr="008A1DB4">
        <w:rPr>
          <w:spacing w:val="-2"/>
          <w:lang w:val="en-US"/>
        </w:rPr>
        <w:t>the American Convention</w:t>
      </w:r>
      <w:r w:rsidR="00601B3D" w:rsidRPr="008A1DB4">
        <w:rPr>
          <w:spacing w:val="-2"/>
          <w:lang w:val="en-US"/>
        </w:rPr>
        <w:t xml:space="preserve"> (</w:t>
      </w:r>
      <w:r w:rsidR="00601B3D" w:rsidRPr="008A1DB4">
        <w:rPr>
          <w:i/>
          <w:spacing w:val="-2"/>
          <w:lang w:val="en-US"/>
        </w:rPr>
        <w:t xml:space="preserve">supra </w:t>
      </w:r>
      <w:r w:rsidR="00C45946" w:rsidRPr="008A1DB4">
        <w:rPr>
          <w:spacing w:val="-2"/>
          <w:lang w:val="en-US"/>
        </w:rPr>
        <w:t xml:space="preserve">para. </w:t>
      </w:r>
      <w:r w:rsidR="001447BE" w:rsidRPr="008A1DB4">
        <w:rPr>
          <w:spacing w:val="-2"/>
          <w:lang w:val="en-US"/>
        </w:rPr>
        <w:fldChar w:fldCharType="begin"/>
      </w:r>
      <w:r w:rsidR="001447BE" w:rsidRPr="008A1DB4">
        <w:rPr>
          <w:spacing w:val="-2"/>
          <w:lang w:val="en-US"/>
        </w:rPr>
        <w:instrText xml:space="preserve"> REF _Ref419136042 \r \h  \* MERGEFORMAT </w:instrText>
      </w:r>
      <w:r w:rsidR="001447BE" w:rsidRPr="008A1DB4">
        <w:rPr>
          <w:spacing w:val="-2"/>
          <w:lang w:val="en-US"/>
        </w:rPr>
      </w:r>
      <w:r w:rsidR="001447BE" w:rsidRPr="008A1DB4">
        <w:rPr>
          <w:spacing w:val="-2"/>
          <w:lang w:val="en-US"/>
        </w:rPr>
        <w:fldChar w:fldCharType="separate"/>
      </w:r>
      <w:r w:rsidR="00E961FA" w:rsidRPr="008A1DB4">
        <w:rPr>
          <w:spacing w:val="-2"/>
          <w:lang w:val="en-US"/>
        </w:rPr>
        <w:t>119</w:t>
      </w:r>
      <w:r w:rsidR="001447BE" w:rsidRPr="008A1DB4">
        <w:rPr>
          <w:spacing w:val="-2"/>
          <w:lang w:val="en-US"/>
        </w:rPr>
        <w:fldChar w:fldCharType="end"/>
      </w:r>
      <w:r w:rsidR="00601B3D" w:rsidRPr="008A1DB4">
        <w:rPr>
          <w:spacing w:val="-2"/>
          <w:lang w:val="en-US"/>
        </w:rPr>
        <w:t xml:space="preserve">). </w:t>
      </w:r>
      <w:r w:rsidRPr="008A1DB4">
        <w:rPr>
          <w:spacing w:val="-2"/>
          <w:lang w:val="en-US"/>
        </w:rPr>
        <w:t>T</w:t>
      </w:r>
      <w:r w:rsidR="0056171C">
        <w:rPr>
          <w:spacing w:val="-2"/>
          <w:lang w:val="en-US"/>
        </w:rPr>
        <w:t>herefore, implementation of the</w:t>
      </w:r>
      <w:r w:rsidRPr="008A1DB4">
        <w:rPr>
          <w:spacing w:val="-2"/>
          <w:lang w:val="en-US"/>
        </w:rPr>
        <w:t xml:space="preserve"> extradition may be a legitimate purpose pursuant to </w:t>
      </w:r>
      <w:r w:rsidR="00F36400" w:rsidRPr="008A1DB4">
        <w:rPr>
          <w:spacing w:val="-2"/>
          <w:lang w:val="en-US"/>
        </w:rPr>
        <w:t>the Convention</w:t>
      </w:r>
      <w:r w:rsidR="00601B3D" w:rsidRPr="008A1DB4">
        <w:rPr>
          <w:spacing w:val="-2"/>
          <w:lang w:val="en-US"/>
        </w:rPr>
        <w:t xml:space="preserve">. </w:t>
      </w:r>
      <w:r w:rsidRPr="008A1DB4">
        <w:rPr>
          <w:spacing w:val="-2"/>
          <w:lang w:val="en-US"/>
        </w:rPr>
        <w:t xml:space="preserve">In this regard, in cases relating to pre-trial detentions during criminal proceedings, the Court has indicated that the deprivation of the accused’s liberty cannot </w:t>
      </w:r>
      <w:r w:rsidR="0056171C">
        <w:rPr>
          <w:spacing w:val="-2"/>
          <w:lang w:val="en-US"/>
        </w:rPr>
        <w:t>be founded</w:t>
      </w:r>
      <w:r w:rsidRPr="008A1DB4">
        <w:rPr>
          <w:spacing w:val="-2"/>
          <w:lang w:val="en-US"/>
        </w:rPr>
        <w:t xml:space="preserve"> on general or special preventive objectives that can be attributed to the punishment, but </w:t>
      </w:r>
      <w:r w:rsidR="0056171C">
        <w:rPr>
          <w:spacing w:val="-2"/>
          <w:lang w:val="en-US"/>
        </w:rPr>
        <w:t>only on</w:t>
      </w:r>
      <w:r w:rsidRPr="008A1DB4">
        <w:rPr>
          <w:spacing w:val="-2"/>
          <w:lang w:val="en-US"/>
        </w:rPr>
        <w:t xml:space="preserve"> a legitimate purpose, namely: to ensure that the accused does not </w:t>
      </w:r>
      <w:r w:rsidR="0056171C">
        <w:rPr>
          <w:spacing w:val="-2"/>
          <w:lang w:val="en-US"/>
        </w:rPr>
        <w:t xml:space="preserve">interfere with </w:t>
      </w:r>
      <w:r w:rsidRPr="008A1DB4">
        <w:rPr>
          <w:spacing w:val="-2"/>
          <w:lang w:val="en-US"/>
        </w:rPr>
        <w:t>the development of the proceedings or evade prosecution.</w:t>
      </w:r>
      <w:r w:rsidR="00601B3D" w:rsidRPr="008A1DB4">
        <w:rPr>
          <w:rStyle w:val="FootnoteReference"/>
          <w:spacing w:val="-2"/>
          <w:lang w:val="en-US"/>
        </w:rPr>
        <w:footnoteReference w:id="338"/>
      </w:r>
      <w:r w:rsidRPr="008A1DB4">
        <w:rPr>
          <w:spacing w:val="-2"/>
          <w:lang w:val="en-US"/>
        </w:rPr>
        <w:t xml:space="preserve"> It has also underscored that procedural risk cannot be presumed, but must be verified in each case, </w:t>
      </w:r>
      <w:r w:rsidR="0056171C">
        <w:rPr>
          <w:spacing w:val="-2"/>
          <w:lang w:val="en-US"/>
        </w:rPr>
        <w:t>based</w:t>
      </w:r>
      <w:r w:rsidRPr="008A1DB4">
        <w:rPr>
          <w:spacing w:val="-2"/>
          <w:lang w:val="en-US"/>
        </w:rPr>
        <w:t xml:space="preserve"> on the objective and evident circumstances of the specific case.</w:t>
      </w:r>
      <w:r w:rsidR="00601B3D" w:rsidRPr="008A1DB4">
        <w:rPr>
          <w:spacing w:val="-2"/>
          <w:vertAlign w:val="superscript"/>
          <w:lang w:val="en-US"/>
        </w:rPr>
        <w:footnoteReference w:id="339"/>
      </w:r>
      <w:r w:rsidR="00601B3D" w:rsidRPr="008A1DB4">
        <w:rPr>
          <w:spacing w:val="-2"/>
          <w:lang w:val="en-US"/>
        </w:rPr>
        <w:t xml:space="preserve"> </w:t>
      </w:r>
    </w:p>
    <w:p w14:paraId="0FF085B1" w14:textId="77777777" w:rsidR="00601B3D" w:rsidRPr="008A1DB4" w:rsidRDefault="00601B3D" w:rsidP="00956E97">
      <w:pPr>
        <w:rPr>
          <w:spacing w:val="-2"/>
          <w:szCs w:val="20"/>
          <w:lang w:val="en-US"/>
        </w:rPr>
      </w:pPr>
    </w:p>
    <w:p w14:paraId="194589E1" w14:textId="3982CE70" w:rsidR="00601B3D" w:rsidRPr="008A1DB4" w:rsidRDefault="00F36400" w:rsidP="007A13CD">
      <w:pPr>
        <w:pStyle w:val="PrrafodeSentencia"/>
        <w:rPr>
          <w:spacing w:val="-2"/>
          <w:lang w:val="en-US"/>
        </w:rPr>
      </w:pPr>
      <w:r w:rsidRPr="008A1DB4">
        <w:rPr>
          <w:spacing w:val="-2"/>
          <w:lang w:val="en-US"/>
        </w:rPr>
        <w:t>This Court</w:t>
      </w:r>
      <w:r w:rsidR="007A13CD" w:rsidRPr="008A1DB4">
        <w:rPr>
          <w:spacing w:val="-2"/>
          <w:lang w:val="en-US"/>
        </w:rPr>
        <w:t xml:space="preserve"> considers that these criteria are also applicable to detentions with a view to extraditio</w:t>
      </w:r>
      <w:r w:rsidR="00601B3D" w:rsidRPr="008A1DB4">
        <w:rPr>
          <w:spacing w:val="-2"/>
          <w:lang w:val="en-US"/>
        </w:rPr>
        <w:t xml:space="preserve">n. </w:t>
      </w:r>
      <w:r w:rsidR="007A13CD" w:rsidRPr="008A1DB4">
        <w:rPr>
          <w:spacing w:val="-2"/>
          <w:lang w:val="en-US"/>
        </w:rPr>
        <w:t xml:space="preserve">Therefore, detention of individuals sought in extradition processes will be arbitrary when the competent </w:t>
      </w:r>
      <w:r w:rsidR="0079515C" w:rsidRPr="008A1DB4">
        <w:rPr>
          <w:spacing w:val="-2"/>
          <w:lang w:val="en-US"/>
        </w:rPr>
        <w:t>authorities</w:t>
      </w:r>
      <w:r w:rsidR="007A13CD" w:rsidRPr="008A1DB4">
        <w:rPr>
          <w:spacing w:val="-2"/>
          <w:lang w:val="en-US"/>
        </w:rPr>
        <w:t xml:space="preserve"> order the individual’s detention without verifying whether, in the objective and evident circumstances of the case, this is necessary to achiev</w:t>
      </w:r>
      <w:r w:rsidR="0056171C">
        <w:rPr>
          <w:spacing w:val="-2"/>
          <w:lang w:val="en-US"/>
        </w:rPr>
        <w:t>e the legitimate purpose of the</w:t>
      </w:r>
      <w:r w:rsidR="007A13CD" w:rsidRPr="008A1DB4">
        <w:rPr>
          <w:spacing w:val="-2"/>
          <w:lang w:val="en-US"/>
        </w:rPr>
        <w:t xml:space="preserve"> measure; that is, the possibility that this person may </w:t>
      </w:r>
      <w:r w:rsidR="0056171C">
        <w:rPr>
          <w:spacing w:val="-2"/>
          <w:lang w:val="en-US"/>
        </w:rPr>
        <w:t>evade</w:t>
      </w:r>
      <w:r w:rsidR="007A13CD" w:rsidRPr="008A1DB4">
        <w:rPr>
          <w:spacing w:val="-2"/>
          <w:lang w:val="en-US"/>
        </w:rPr>
        <w:t xml:space="preserve"> extradition. This analysis must be made in each specific case and by an individualized </w:t>
      </w:r>
      <w:r w:rsidR="0056171C">
        <w:rPr>
          <w:spacing w:val="-2"/>
          <w:lang w:val="en-US"/>
        </w:rPr>
        <w:t xml:space="preserve">and </w:t>
      </w:r>
      <w:r w:rsidR="007A13CD" w:rsidRPr="008A1DB4">
        <w:rPr>
          <w:spacing w:val="-2"/>
          <w:lang w:val="en-US"/>
        </w:rPr>
        <w:t>founded assessment</w:t>
      </w:r>
      <w:r w:rsidR="00601B3D" w:rsidRPr="008A1DB4">
        <w:rPr>
          <w:spacing w:val="-2"/>
          <w:lang w:val="en-US"/>
        </w:rPr>
        <w:t>.</w:t>
      </w:r>
    </w:p>
    <w:p w14:paraId="1BC74785" w14:textId="77777777" w:rsidR="00601B3D" w:rsidRPr="008A1DB4" w:rsidRDefault="00601B3D" w:rsidP="00956E97">
      <w:pPr>
        <w:pStyle w:val="ListParagraph"/>
        <w:tabs>
          <w:tab w:val="left" w:pos="567"/>
        </w:tabs>
        <w:ind w:left="0"/>
        <w:contextualSpacing w:val="0"/>
        <w:rPr>
          <w:spacing w:val="-2"/>
          <w:szCs w:val="20"/>
          <w:lang w:val="en-US"/>
        </w:rPr>
      </w:pPr>
    </w:p>
    <w:p w14:paraId="470F776F" w14:textId="108B740F" w:rsidR="00601B3D" w:rsidRPr="008A1DB4" w:rsidRDefault="00F14D98" w:rsidP="00F14D98">
      <w:pPr>
        <w:pStyle w:val="PrrafodeSentencia"/>
        <w:rPr>
          <w:spacing w:val="-2"/>
          <w:lang w:val="en-US"/>
        </w:rPr>
      </w:pPr>
      <w:r w:rsidRPr="008A1DB4">
        <w:rPr>
          <w:spacing w:val="-2"/>
          <w:lang w:val="en-US"/>
        </w:rPr>
        <w:t>In this case</w:t>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w:t>
      </w:r>
      <w:r w:rsidRPr="008A1DB4">
        <w:rPr>
          <w:spacing w:val="-2"/>
          <w:lang w:val="en-US"/>
        </w:rPr>
        <w:t>notes that</w:t>
      </w:r>
      <w:r w:rsidR="00601B3D" w:rsidRPr="008A1DB4">
        <w:rPr>
          <w:spacing w:val="-2"/>
          <w:lang w:val="en-US"/>
        </w:rPr>
        <w:t xml:space="preserve"> </w:t>
      </w:r>
      <w:r w:rsidRPr="008A1DB4">
        <w:rPr>
          <w:spacing w:val="-2"/>
          <w:lang w:val="en-US"/>
        </w:rPr>
        <w:t>a</w:t>
      </w:r>
      <w:r w:rsidR="00F36400" w:rsidRPr="008A1DB4">
        <w:rPr>
          <w:spacing w:val="-2"/>
          <w:lang w:val="en-US"/>
        </w:rPr>
        <w:t>rticle</w:t>
      </w:r>
      <w:r w:rsidR="00601B3D" w:rsidRPr="008A1DB4">
        <w:rPr>
          <w:spacing w:val="-2"/>
          <w:lang w:val="en-US"/>
        </w:rPr>
        <w:t xml:space="preserve"> 523 </w:t>
      </w:r>
      <w:r w:rsidR="00A3310A" w:rsidRPr="008A1DB4">
        <w:rPr>
          <w:spacing w:val="-2"/>
          <w:lang w:val="en-US"/>
        </w:rPr>
        <w:t>of the Code of</w:t>
      </w:r>
      <w:r w:rsidR="00B43F84" w:rsidRPr="008A1DB4">
        <w:rPr>
          <w:spacing w:val="-2"/>
          <w:lang w:val="en-US"/>
        </w:rPr>
        <w:t xml:space="preserve"> Criminal Procedure</w:t>
      </w:r>
      <w:r w:rsidR="00601B3D" w:rsidRPr="008A1DB4">
        <w:rPr>
          <w:spacing w:val="-2"/>
          <w:lang w:val="en-US"/>
        </w:rPr>
        <w:t xml:space="preserve"> </w:t>
      </w:r>
      <w:r w:rsidRPr="008A1DB4">
        <w:rPr>
          <w:spacing w:val="-2"/>
          <w:lang w:val="en-US"/>
        </w:rPr>
        <w:t xml:space="preserve">does not condition the admissibility </w:t>
      </w:r>
      <w:r w:rsidR="004257EF" w:rsidRPr="008A1DB4">
        <w:rPr>
          <w:spacing w:val="-2"/>
          <w:lang w:val="en-US"/>
        </w:rPr>
        <w:t>of the provisional arrest</w:t>
      </w:r>
      <w:r w:rsidR="00601B3D" w:rsidRPr="008A1DB4">
        <w:rPr>
          <w:spacing w:val="-2"/>
          <w:lang w:val="en-US"/>
        </w:rPr>
        <w:t xml:space="preserve"> </w:t>
      </w:r>
      <w:r w:rsidRPr="008A1DB4">
        <w:rPr>
          <w:spacing w:val="-2"/>
          <w:lang w:val="en-US"/>
        </w:rPr>
        <w:t xml:space="preserve">to the existence of a procedural risk, but merely establishes the possibility that the individual arrested may request his </w:t>
      </w:r>
      <w:r w:rsidR="00343472" w:rsidRPr="008A1DB4">
        <w:rPr>
          <w:spacing w:val="-2"/>
          <w:lang w:val="en-US"/>
        </w:rPr>
        <w:t>provisional release</w:t>
      </w:r>
      <w:r w:rsidR="00601B3D" w:rsidRPr="008A1DB4">
        <w:rPr>
          <w:spacing w:val="-2"/>
          <w:lang w:val="en-US"/>
        </w:rPr>
        <w:t xml:space="preserve"> </w:t>
      </w:r>
      <w:r w:rsidRPr="008A1DB4">
        <w:rPr>
          <w:spacing w:val="-2"/>
          <w:lang w:val="en-US"/>
        </w:rPr>
        <w:t xml:space="preserve">if he meets the corresponding procedural requirements </w:t>
      </w:r>
      <w:r w:rsidR="00601B3D" w:rsidRPr="008A1DB4">
        <w:rPr>
          <w:spacing w:val="-2"/>
          <w:lang w:val="en-US"/>
        </w:rPr>
        <w:t>(</w:t>
      </w:r>
      <w:r w:rsidR="00601B3D" w:rsidRPr="008A1DB4">
        <w:rPr>
          <w:i/>
          <w:spacing w:val="-2"/>
          <w:lang w:val="en-US"/>
        </w:rPr>
        <w:t xml:space="preserve">supra </w:t>
      </w:r>
      <w:r w:rsidR="00C45946" w:rsidRPr="008A1DB4">
        <w:rPr>
          <w:spacing w:val="-2"/>
          <w:lang w:val="en-US"/>
        </w:rPr>
        <w:t xml:space="preserve">para. </w:t>
      </w:r>
      <w:r w:rsidR="00D71D25" w:rsidRPr="008A1DB4">
        <w:rPr>
          <w:spacing w:val="-2"/>
          <w:lang w:val="en-US"/>
        </w:rPr>
        <w:fldChar w:fldCharType="begin"/>
      </w:r>
      <w:r w:rsidR="00D71D25" w:rsidRPr="008A1DB4">
        <w:rPr>
          <w:spacing w:val="-2"/>
          <w:lang w:val="en-US"/>
        </w:rPr>
        <w:instrText xml:space="preserve"> REF _Ref419386567 \r \h </w:instrText>
      </w:r>
      <w:r w:rsidR="00DC41F4" w:rsidRPr="008A1DB4">
        <w:rPr>
          <w:spacing w:val="-2"/>
          <w:lang w:val="en-US"/>
        </w:rPr>
        <w:instrText xml:space="preserve"> \* MERGEFORMAT </w:instrText>
      </w:r>
      <w:r w:rsidR="00D71D25" w:rsidRPr="008A1DB4">
        <w:rPr>
          <w:spacing w:val="-2"/>
          <w:lang w:val="en-US"/>
        </w:rPr>
      </w:r>
      <w:r w:rsidR="00D71D25" w:rsidRPr="008A1DB4">
        <w:rPr>
          <w:spacing w:val="-2"/>
          <w:lang w:val="en-US"/>
        </w:rPr>
        <w:fldChar w:fldCharType="separate"/>
      </w:r>
      <w:r w:rsidR="00E961FA" w:rsidRPr="008A1DB4">
        <w:rPr>
          <w:spacing w:val="-2"/>
          <w:lang w:val="en-US"/>
        </w:rPr>
        <w:t>241</w:t>
      </w:r>
      <w:r w:rsidR="00D71D25" w:rsidRPr="008A1DB4">
        <w:rPr>
          <w:spacing w:val="-2"/>
          <w:lang w:val="en-US"/>
        </w:rPr>
        <w:fldChar w:fldCharType="end"/>
      </w:r>
      <w:r w:rsidR="00601B3D" w:rsidRPr="008A1DB4">
        <w:rPr>
          <w:spacing w:val="-2"/>
          <w:lang w:val="en-US"/>
        </w:rPr>
        <w:t xml:space="preserve">). </w:t>
      </w:r>
      <w:r w:rsidRPr="008A1DB4">
        <w:rPr>
          <w:spacing w:val="-2"/>
          <w:lang w:val="en-US"/>
        </w:rPr>
        <w:t xml:space="preserve">Nevertheless, the Court notes that the arrest warrant of </w:t>
      </w:r>
      <w:r w:rsidR="001E7113" w:rsidRPr="008A1DB4">
        <w:rPr>
          <w:spacing w:val="-2"/>
          <w:lang w:val="en-US"/>
        </w:rPr>
        <w:t>October 28,</w:t>
      </w:r>
      <w:r w:rsidR="00601B3D" w:rsidRPr="008A1DB4">
        <w:rPr>
          <w:spacing w:val="-2"/>
          <w:lang w:val="en-US"/>
        </w:rPr>
        <w:t xml:space="preserve"> 2008</w:t>
      </w:r>
      <w:r w:rsidRPr="008A1DB4">
        <w:rPr>
          <w:spacing w:val="-2"/>
          <w:lang w:val="en-US"/>
        </w:rPr>
        <w:t>,</w:t>
      </w:r>
      <w:r w:rsidR="00601B3D" w:rsidRPr="008A1DB4">
        <w:rPr>
          <w:spacing w:val="-2"/>
          <w:lang w:val="en-US"/>
        </w:rPr>
        <w:t xml:space="preserve"> </w:t>
      </w:r>
      <w:r w:rsidRPr="008A1DB4">
        <w:rPr>
          <w:spacing w:val="-2"/>
          <w:lang w:val="en-US"/>
        </w:rPr>
        <w:t xml:space="preserve">does take the procedural risk into account </w:t>
      </w:r>
      <w:r w:rsidR="00601B3D" w:rsidRPr="008A1DB4">
        <w:rPr>
          <w:spacing w:val="-2"/>
          <w:lang w:val="en-US"/>
        </w:rPr>
        <w:t>(</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7307CC" w:rsidRPr="008A1DB4">
        <w:rPr>
          <w:spacing w:val="-2"/>
          <w:lang w:val="en-US"/>
        </w:rPr>
        <w:fldChar w:fldCharType="begin"/>
      </w:r>
      <w:r w:rsidR="007307CC" w:rsidRPr="008A1DB4">
        <w:rPr>
          <w:spacing w:val="-2"/>
          <w:lang w:val="en-US"/>
        </w:rPr>
        <w:instrText xml:space="preserve"> REF _Ref428961440 \r \h </w:instrText>
      </w:r>
      <w:r w:rsidR="00DC41F4" w:rsidRPr="008A1DB4">
        <w:rPr>
          <w:spacing w:val="-2"/>
          <w:lang w:val="en-US"/>
        </w:rPr>
        <w:instrText xml:space="preserve"> \* MERGEFORMAT </w:instrText>
      </w:r>
      <w:r w:rsidR="007307CC" w:rsidRPr="008A1DB4">
        <w:rPr>
          <w:spacing w:val="-2"/>
          <w:lang w:val="en-US"/>
        </w:rPr>
      </w:r>
      <w:r w:rsidR="007307CC" w:rsidRPr="008A1DB4">
        <w:rPr>
          <w:spacing w:val="-2"/>
          <w:lang w:val="en-US"/>
        </w:rPr>
        <w:fldChar w:fldCharType="separate"/>
      </w:r>
      <w:r w:rsidR="00E961FA" w:rsidRPr="008A1DB4">
        <w:rPr>
          <w:spacing w:val="-2"/>
          <w:lang w:val="en-US"/>
        </w:rPr>
        <w:t>97</w:t>
      </w:r>
      <w:r w:rsidR="007307CC" w:rsidRPr="008A1DB4">
        <w:rPr>
          <w:spacing w:val="-2"/>
          <w:lang w:val="en-US"/>
        </w:rPr>
        <w:fldChar w:fldCharType="end"/>
      </w:r>
      <w:r w:rsidR="00F36400" w:rsidRPr="008A1DB4">
        <w:rPr>
          <w:spacing w:val="-2"/>
          <w:lang w:val="en-US"/>
        </w:rPr>
        <w:t xml:space="preserve"> and </w:t>
      </w:r>
      <w:r w:rsidR="00E30488" w:rsidRPr="008A1DB4">
        <w:rPr>
          <w:spacing w:val="-2"/>
          <w:lang w:val="en-US"/>
        </w:rPr>
        <w:fldChar w:fldCharType="begin"/>
      </w:r>
      <w:r w:rsidR="00E30488" w:rsidRPr="008A1DB4">
        <w:rPr>
          <w:spacing w:val="-2"/>
          <w:lang w:val="en-US"/>
        </w:rPr>
        <w:instrText xml:space="preserve"> REF _Ref419392527 \r \h </w:instrText>
      </w:r>
      <w:r w:rsidR="00DC41F4" w:rsidRPr="008A1DB4">
        <w:rPr>
          <w:spacing w:val="-2"/>
          <w:lang w:val="en-US"/>
        </w:rPr>
        <w:instrText xml:space="preserve"> \* MERGEFORMAT </w:instrText>
      </w:r>
      <w:r w:rsidR="00E30488" w:rsidRPr="008A1DB4">
        <w:rPr>
          <w:spacing w:val="-2"/>
          <w:lang w:val="en-US"/>
        </w:rPr>
      </w:r>
      <w:r w:rsidR="00E30488" w:rsidRPr="008A1DB4">
        <w:rPr>
          <w:spacing w:val="-2"/>
          <w:lang w:val="en-US"/>
        </w:rPr>
        <w:fldChar w:fldCharType="separate"/>
      </w:r>
      <w:r w:rsidR="00E961FA" w:rsidRPr="008A1DB4">
        <w:rPr>
          <w:spacing w:val="-2"/>
          <w:lang w:val="en-US"/>
        </w:rPr>
        <w:t>247</w:t>
      </w:r>
      <w:r w:rsidR="00E30488" w:rsidRPr="008A1DB4">
        <w:rPr>
          <w:spacing w:val="-2"/>
          <w:lang w:val="en-US"/>
        </w:rPr>
        <w:fldChar w:fldCharType="end"/>
      </w:r>
      <w:r w:rsidR="00601B3D" w:rsidRPr="008A1DB4">
        <w:rPr>
          <w:spacing w:val="-2"/>
          <w:lang w:val="en-US"/>
        </w:rPr>
        <w:t xml:space="preserve">). </w:t>
      </w:r>
      <w:r w:rsidRPr="008A1DB4">
        <w:rPr>
          <w:spacing w:val="-2"/>
          <w:lang w:val="en-US"/>
        </w:rPr>
        <w:t>Following the p</w:t>
      </w:r>
      <w:r w:rsidR="00A3310A" w:rsidRPr="008A1DB4">
        <w:rPr>
          <w:spacing w:val="-2"/>
          <w:lang w:val="en-US"/>
        </w:rPr>
        <w:t>rovisional arrest warrant</w:t>
      </w:r>
      <w:r w:rsidRPr="008A1DB4">
        <w:rPr>
          <w:spacing w:val="-2"/>
          <w:lang w:val="en-US"/>
        </w:rPr>
        <w:t xml:space="preserve"> of</w:t>
      </w:r>
      <w:r w:rsidR="00601B3D" w:rsidRPr="008A1DB4">
        <w:rPr>
          <w:spacing w:val="-2"/>
          <w:lang w:val="en-US"/>
        </w:rPr>
        <w:t xml:space="preserve"> </w:t>
      </w:r>
      <w:r w:rsidR="001E7113" w:rsidRPr="008A1DB4">
        <w:rPr>
          <w:spacing w:val="-2"/>
          <w:lang w:val="en-US"/>
        </w:rPr>
        <w:t>October 28,</w:t>
      </w:r>
      <w:r w:rsidR="00601B3D" w:rsidRPr="008A1DB4">
        <w:rPr>
          <w:spacing w:val="-2"/>
          <w:lang w:val="en-US"/>
        </w:rPr>
        <w:t xml:space="preserve"> 2008, </w:t>
      </w:r>
      <w:r w:rsidR="00C45946" w:rsidRPr="008A1DB4">
        <w:rPr>
          <w:spacing w:val="-2"/>
          <w:lang w:val="en-US"/>
        </w:rPr>
        <w:t>the representative</w:t>
      </w:r>
      <w:r w:rsidR="00601B3D" w:rsidRPr="008A1DB4">
        <w:rPr>
          <w:spacing w:val="-2"/>
          <w:lang w:val="en-US"/>
        </w:rPr>
        <w:t xml:space="preserve"> </w:t>
      </w:r>
      <w:r w:rsidR="0079515C">
        <w:rPr>
          <w:spacing w:val="-2"/>
          <w:lang w:val="en-US"/>
        </w:rPr>
        <w:t>file</w:t>
      </w:r>
      <w:r w:rsidRPr="008A1DB4">
        <w:rPr>
          <w:spacing w:val="-2"/>
          <w:lang w:val="en-US"/>
        </w:rPr>
        <w:t>d</w:t>
      </w:r>
      <w:r w:rsidR="0079515C">
        <w:rPr>
          <w:spacing w:val="-2"/>
          <w:lang w:val="en-US"/>
        </w:rPr>
        <w:t xml:space="preserve"> </w:t>
      </w:r>
      <w:r w:rsidRPr="008A1DB4">
        <w:rPr>
          <w:spacing w:val="-2"/>
          <w:lang w:val="en-US"/>
        </w:rPr>
        <w:t xml:space="preserve">an appeal refuting the fact that </w:t>
      </w:r>
      <w:r w:rsidR="001E7113" w:rsidRPr="008A1DB4">
        <w:rPr>
          <w:spacing w:val="-2"/>
          <w:lang w:val="en-US"/>
        </w:rPr>
        <w:t>Wong</w:t>
      </w:r>
      <w:r w:rsidR="00601B3D" w:rsidRPr="008A1DB4">
        <w:rPr>
          <w:spacing w:val="-2"/>
          <w:lang w:val="en-US"/>
        </w:rPr>
        <w:t xml:space="preserve"> Ho Wing </w:t>
      </w:r>
      <w:r w:rsidRPr="008A1DB4">
        <w:rPr>
          <w:spacing w:val="-2"/>
          <w:lang w:val="en-US"/>
        </w:rPr>
        <w:t>did not have any “known employment in the country” because he was th</w:t>
      </w:r>
      <w:r w:rsidR="006E6D91">
        <w:rPr>
          <w:spacing w:val="-2"/>
          <w:lang w:val="en-US"/>
        </w:rPr>
        <w:t>e “founder and main shareholder</w:t>
      </w:r>
      <w:r w:rsidRPr="008A1DB4">
        <w:rPr>
          <w:spacing w:val="-2"/>
          <w:lang w:val="en-US"/>
        </w:rPr>
        <w:t xml:space="preserve"> of a company [that] he administers: the </w:t>
      </w:r>
      <w:r w:rsidR="00601B3D" w:rsidRPr="008A1DB4">
        <w:rPr>
          <w:spacing w:val="-2"/>
          <w:lang w:val="en-US"/>
        </w:rPr>
        <w:t>[…] ‘Hotel Maury</w:t>
      </w:r>
      <w:r w:rsidRPr="008A1DB4">
        <w:rPr>
          <w:spacing w:val="-2"/>
          <w:lang w:val="en-US"/>
        </w:rPr>
        <w:t>.</w:t>
      </w:r>
      <w:r w:rsidR="00601B3D" w:rsidRPr="008A1DB4">
        <w:rPr>
          <w:spacing w:val="-2"/>
          <w:lang w:val="en-US"/>
        </w:rPr>
        <w:t>’”</w:t>
      </w:r>
      <w:r w:rsidRPr="008A1DB4">
        <w:rPr>
          <w:spacing w:val="-2"/>
          <w:lang w:val="en-US"/>
        </w:rPr>
        <w:t xml:space="preserve"> Also, regarding the domicile, he pointed out that, “</w:t>
      </w:r>
      <w:proofErr w:type="gramStart"/>
      <w:r w:rsidRPr="008A1DB4">
        <w:rPr>
          <w:spacing w:val="-2"/>
          <w:lang w:val="en-US"/>
        </w:rPr>
        <w:t>when</w:t>
      </w:r>
      <w:proofErr w:type="gramEnd"/>
      <w:r w:rsidRPr="008A1DB4">
        <w:rPr>
          <w:spacing w:val="-2"/>
          <w:lang w:val="en-US"/>
        </w:rPr>
        <w:t xml:space="preserve"> he is in </w:t>
      </w:r>
      <w:r w:rsidR="00601B3D" w:rsidRPr="008A1DB4">
        <w:rPr>
          <w:spacing w:val="-2"/>
          <w:lang w:val="en-US"/>
        </w:rPr>
        <w:t>[</w:t>
      </w:r>
      <w:r w:rsidR="00FE5E87" w:rsidRPr="008A1DB4">
        <w:rPr>
          <w:spacing w:val="-2"/>
          <w:lang w:val="en-US"/>
        </w:rPr>
        <w:t>Peru</w:t>
      </w:r>
      <w:r w:rsidRPr="008A1DB4">
        <w:rPr>
          <w:spacing w:val="-2"/>
          <w:lang w:val="en-US"/>
        </w:rPr>
        <w:t>,</w:t>
      </w:r>
      <w:r w:rsidR="00601B3D" w:rsidRPr="008A1DB4">
        <w:rPr>
          <w:spacing w:val="-2"/>
          <w:lang w:val="en-US"/>
        </w:rPr>
        <w:t xml:space="preserve">] </w:t>
      </w:r>
      <w:r w:rsidR="006E6D91">
        <w:rPr>
          <w:spacing w:val="-2"/>
          <w:lang w:val="en-US"/>
        </w:rPr>
        <w:t>he stays at</w:t>
      </w:r>
      <w:r w:rsidRPr="008A1DB4">
        <w:rPr>
          <w:spacing w:val="-2"/>
          <w:lang w:val="en-US"/>
        </w:rPr>
        <w:t xml:space="preserve"> this</w:t>
      </w:r>
      <w:r w:rsidR="00601B3D" w:rsidRPr="008A1DB4">
        <w:rPr>
          <w:spacing w:val="-2"/>
          <w:lang w:val="en-US"/>
        </w:rPr>
        <w:t xml:space="preserve"> hotel”</w:t>
      </w:r>
      <w:r w:rsidR="00601B3D" w:rsidRPr="008A1DB4">
        <w:rPr>
          <w:rStyle w:val="FootnoteReference"/>
          <w:spacing w:val="-2"/>
          <w:lang w:val="en-US"/>
        </w:rPr>
        <w:footnoteReference w:id="340"/>
      </w:r>
      <w:r w:rsidR="00601B3D" w:rsidRPr="008A1DB4">
        <w:rPr>
          <w:spacing w:val="-2"/>
          <w:lang w:val="en-US"/>
        </w:rPr>
        <w:t xml:space="preserve"> (</w:t>
      </w:r>
      <w:r w:rsidR="00601B3D" w:rsidRPr="008A1DB4">
        <w:rPr>
          <w:i/>
          <w:spacing w:val="-2"/>
          <w:lang w:val="en-US"/>
        </w:rPr>
        <w:t xml:space="preserve">supra </w:t>
      </w:r>
      <w:r w:rsidR="00C45946" w:rsidRPr="008A1DB4">
        <w:rPr>
          <w:spacing w:val="-2"/>
          <w:lang w:val="en-US"/>
        </w:rPr>
        <w:t xml:space="preserve">para. </w:t>
      </w:r>
      <w:r w:rsidR="009600A6" w:rsidRPr="008A1DB4">
        <w:rPr>
          <w:spacing w:val="-2"/>
          <w:lang w:val="en-US"/>
        </w:rPr>
        <w:fldChar w:fldCharType="begin"/>
      </w:r>
      <w:r w:rsidR="009600A6" w:rsidRPr="008A1DB4">
        <w:rPr>
          <w:spacing w:val="-2"/>
          <w:lang w:val="en-US"/>
        </w:rPr>
        <w:instrText xml:space="preserve"> REF _Ref428894548 \r \h </w:instrText>
      </w:r>
      <w:r w:rsidR="00DC41F4" w:rsidRPr="008A1DB4">
        <w:rPr>
          <w:spacing w:val="-2"/>
          <w:lang w:val="en-US"/>
        </w:rPr>
        <w:instrText xml:space="preserve"> \* MERGEFORMAT </w:instrText>
      </w:r>
      <w:r w:rsidR="009600A6" w:rsidRPr="008A1DB4">
        <w:rPr>
          <w:spacing w:val="-2"/>
          <w:lang w:val="en-US"/>
        </w:rPr>
      </w:r>
      <w:r w:rsidR="009600A6" w:rsidRPr="008A1DB4">
        <w:rPr>
          <w:spacing w:val="-2"/>
          <w:lang w:val="en-US"/>
        </w:rPr>
        <w:fldChar w:fldCharType="separate"/>
      </w:r>
      <w:r w:rsidR="00E961FA" w:rsidRPr="008A1DB4">
        <w:rPr>
          <w:spacing w:val="-2"/>
          <w:lang w:val="en-US"/>
        </w:rPr>
        <w:t>98</w:t>
      </w:r>
      <w:r w:rsidR="009600A6" w:rsidRPr="008A1DB4">
        <w:rPr>
          <w:spacing w:val="-2"/>
          <w:lang w:val="en-US"/>
        </w:rPr>
        <w:fldChar w:fldCharType="end"/>
      </w:r>
      <w:r w:rsidR="00601B3D" w:rsidRPr="008A1DB4">
        <w:rPr>
          <w:spacing w:val="-2"/>
          <w:lang w:val="en-US"/>
        </w:rPr>
        <w:t xml:space="preserve">). </w:t>
      </w:r>
      <w:r w:rsidRPr="008A1DB4">
        <w:rPr>
          <w:spacing w:val="-2"/>
          <w:lang w:val="en-US"/>
        </w:rPr>
        <w:t xml:space="preserve">When deciding the appeal </w:t>
      </w:r>
      <w:r w:rsidR="00A3310A" w:rsidRPr="008A1DB4">
        <w:rPr>
          <w:rFonts w:cs="Arial"/>
          <w:spacing w:val="-2"/>
          <w:lang w:val="en-US"/>
        </w:rPr>
        <w:t>on December 11,</w:t>
      </w:r>
      <w:r w:rsidR="00601B3D" w:rsidRPr="008A1DB4">
        <w:rPr>
          <w:rFonts w:cs="Arial"/>
          <w:spacing w:val="-2"/>
          <w:lang w:val="en-US"/>
        </w:rPr>
        <w:t xml:space="preserve"> 2008</w:t>
      </w:r>
      <w:r w:rsidR="00D33881" w:rsidRPr="008A1DB4">
        <w:rPr>
          <w:rFonts w:cs="Arial"/>
          <w:spacing w:val="-2"/>
          <w:lang w:val="en-US"/>
        </w:rPr>
        <w:t>,</w:t>
      </w:r>
      <w:r w:rsidR="00601B3D" w:rsidRPr="008A1DB4">
        <w:rPr>
          <w:rFonts w:cs="Arial"/>
          <w:spacing w:val="-2"/>
          <w:lang w:val="en-US"/>
        </w:rPr>
        <w:t xml:space="preserve"> </w:t>
      </w:r>
      <w:r w:rsidR="006E6D91" w:rsidRPr="008A1DB4">
        <w:rPr>
          <w:rFonts w:cs="Arial"/>
          <w:spacing w:val="-2"/>
          <w:lang w:val="en-US"/>
        </w:rPr>
        <w:t xml:space="preserve">the Chamber indicated </w:t>
      </w:r>
      <w:r w:rsidRPr="008A1DB4">
        <w:rPr>
          <w:rFonts w:cs="Arial"/>
          <w:spacing w:val="-2"/>
          <w:lang w:val="en-US"/>
        </w:rPr>
        <w:t>with regard to t</w:t>
      </w:r>
      <w:r w:rsidR="006E6D91">
        <w:rPr>
          <w:rFonts w:cs="Arial"/>
          <w:spacing w:val="-2"/>
          <w:lang w:val="en-US"/>
        </w:rPr>
        <w:t>he arguments of procedural risk</w:t>
      </w:r>
      <w:r w:rsidRPr="008A1DB4">
        <w:rPr>
          <w:rFonts w:cs="Arial"/>
          <w:spacing w:val="-2"/>
          <w:lang w:val="en-US"/>
        </w:rPr>
        <w:t xml:space="preserve"> that “regarding the procedural risk […], it was not for the Chamber to analyze this for a provisional arrest with a view to extradition; rather it corresponded to a criminal proceeding instituted in [Peru] for a specific offense, which was not the case with</w:t>
      </w:r>
      <w:r w:rsidR="00601B3D" w:rsidRPr="008A1DB4">
        <w:rPr>
          <w:rFonts w:cs="Arial"/>
          <w:spacing w:val="-2"/>
          <w:lang w:val="en-US"/>
        </w:rPr>
        <w:t xml:space="preserve"> [Wong Ho Wing]</w:t>
      </w:r>
      <w:r w:rsidRPr="008A1DB4">
        <w:rPr>
          <w:rFonts w:cs="Arial"/>
          <w:spacing w:val="-2"/>
          <w:lang w:val="en-US"/>
        </w:rPr>
        <w:t>.</w:t>
      </w:r>
      <w:r w:rsidR="00601B3D" w:rsidRPr="008A1DB4">
        <w:rPr>
          <w:rFonts w:cs="Arial"/>
          <w:spacing w:val="-2"/>
          <w:lang w:val="en-US"/>
        </w:rPr>
        <w:t>”</w:t>
      </w:r>
      <w:r w:rsidR="00601B3D" w:rsidRPr="008A1DB4">
        <w:rPr>
          <w:rStyle w:val="FootnoteReference"/>
          <w:rFonts w:cs="Arial"/>
          <w:spacing w:val="-2"/>
          <w:lang w:val="en-US"/>
        </w:rPr>
        <w:footnoteReference w:id="341"/>
      </w:r>
    </w:p>
    <w:p w14:paraId="3765A70E" w14:textId="77777777" w:rsidR="00601B3D" w:rsidRPr="008A1DB4" w:rsidRDefault="00601B3D" w:rsidP="00956E97">
      <w:pPr>
        <w:rPr>
          <w:spacing w:val="-2"/>
          <w:szCs w:val="20"/>
          <w:lang w:val="en-US"/>
        </w:rPr>
      </w:pPr>
    </w:p>
    <w:p w14:paraId="51C693BC" w14:textId="03CF25A0" w:rsidR="00601B3D" w:rsidRPr="008A1DB4" w:rsidRDefault="00F14D98" w:rsidP="00956E97">
      <w:pPr>
        <w:pStyle w:val="PrrafodeSentencia"/>
        <w:rPr>
          <w:color w:val="000000" w:themeColor="text1"/>
          <w:spacing w:val="-2"/>
          <w:lang w:val="en-US"/>
        </w:rPr>
      </w:pPr>
      <w:bookmarkStart w:id="1041" w:name="_Ref419392557"/>
      <w:r w:rsidRPr="008A1DB4">
        <w:rPr>
          <w:spacing w:val="-2"/>
          <w:lang w:val="en-US"/>
        </w:rPr>
        <w:t xml:space="preserve">The Court finds that, by </w:t>
      </w:r>
      <w:r w:rsidR="006E6D91">
        <w:rPr>
          <w:spacing w:val="-2"/>
          <w:lang w:val="en-US"/>
        </w:rPr>
        <w:t>failing to evaluate</w:t>
      </w:r>
      <w:r w:rsidRPr="008A1DB4">
        <w:rPr>
          <w:spacing w:val="-2"/>
          <w:lang w:val="en-US"/>
        </w:rPr>
        <w:t xml:space="preserve"> the procedural risk in relation to </w:t>
      </w:r>
      <w:r w:rsidR="00B43F84" w:rsidRPr="008A1DB4">
        <w:rPr>
          <w:spacing w:val="-2"/>
          <w:lang w:val="en-US"/>
        </w:rPr>
        <w:t>Wong</w:t>
      </w:r>
      <w:r w:rsidR="00601B3D" w:rsidRPr="008A1DB4">
        <w:rPr>
          <w:spacing w:val="-2"/>
          <w:lang w:val="en-US"/>
        </w:rPr>
        <w:t xml:space="preserve"> Ho Wing, </w:t>
      </w:r>
      <w:r w:rsidRPr="008A1DB4">
        <w:rPr>
          <w:spacing w:val="-2"/>
          <w:lang w:val="en-US"/>
        </w:rPr>
        <w:t xml:space="preserve">it was </w:t>
      </w:r>
      <w:r w:rsidR="0079515C" w:rsidRPr="008A1DB4">
        <w:rPr>
          <w:spacing w:val="-2"/>
          <w:lang w:val="en-US"/>
        </w:rPr>
        <w:t>impossible</w:t>
      </w:r>
      <w:r w:rsidRPr="008A1DB4">
        <w:rPr>
          <w:spacing w:val="-2"/>
          <w:lang w:val="en-US"/>
        </w:rPr>
        <w:t xml:space="preserve"> for the Combined Superior Chamber to examine whether the deprivation of liberty </w:t>
      </w:r>
      <w:r w:rsidRPr="008A1DB4">
        <w:rPr>
          <w:spacing w:val="-2"/>
          <w:lang w:val="en-US"/>
        </w:rPr>
        <w:lastRenderedPageBreak/>
        <w:t xml:space="preserve">was necessary or whether, in the specific case of Wong Ho Wing, less harmful measures existed that would have ensured the implementation of the extradition. Consequently, the </w:t>
      </w:r>
      <w:r w:rsidR="0079515C" w:rsidRPr="008A1DB4">
        <w:rPr>
          <w:spacing w:val="-2"/>
          <w:lang w:val="en-US"/>
        </w:rPr>
        <w:t>grounds</w:t>
      </w:r>
      <w:r w:rsidRPr="008A1DB4">
        <w:rPr>
          <w:spacing w:val="-2"/>
          <w:lang w:val="en-US"/>
        </w:rPr>
        <w:t xml:space="preserve"> for this decision were insufficient to justify the need for the measure of deprivation of liberty. Since it was not properly founded, </w:t>
      </w:r>
      <w:r w:rsidR="00D96E01" w:rsidRPr="008A1DB4">
        <w:rPr>
          <w:color w:val="000000" w:themeColor="text1"/>
          <w:spacing w:val="-2"/>
          <w:lang w:val="en-US"/>
        </w:rPr>
        <w:t>following that decision</w:t>
      </w:r>
      <w:r w:rsidR="00D96E01">
        <w:rPr>
          <w:spacing w:val="-2"/>
          <w:lang w:val="en-US"/>
        </w:rPr>
        <w:t xml:space="preserve"> </w:t>
      </w:r>
      <w:r w:rsidRPr="008A1DB4">
        <w:rPr>
          <w:spacing w:val="-2"/>
          <w:lang w:val="en-US"/>
        </w:rPr>
        <w:t xml:space="preserve">the deprivation of liberty </w:t>
      </w:r>
      <w:r w:rsidR="00B43F84" w:rsidRPr="008A1DB4">
        <w:rPr>
          <w:color w:val="000000" w:themeColor="text1"/>
          <w:spacing w:val="-2"/>
          <w:lang w:val="en-US"/>
        </w:rPr>
        <w:t>of Wong</w:t>
      </w:r>
      <w:r w:rsidR="00601B3D" w:rsidRPr="008A1DB4">
        <w:rPr>
          <w:color w:val="000000" w:themeColor="text1"/>
          <w:spacing w:val="-2"/>
          <w:lang w:val="en-US"/>
        </w:rPr>
        <w:t xml:space="preserve"> Ho Wing </w:t>
      </w:r>
      <w:r w:rsidRPr="008A1DB4">
        <w:rPr>
          <w:color w:val="000000" w:themeColor="text1"/>
          <w:spacing w:val="-2"/>
          <w:lang w:val="en-US"/>
        </w:rPr>
        <w:t xml:space="preserve">was arbitrary in violation of paragraphs 1 and 3 of </w:t>
      </w:r>
      <w:r w:rsidR="00F36400" w:rsidRPr="008A1DB4">
        <w:rPr>
          <w:color w:val="000000" w:themeColor="text1"/>
          <w:spacing w:val="-2"/>
          <w:lang w:val="en-US"/>
        </w:rPr>
        <w:t>Article</w:t>
      </w:r>
      <w:r w:rsidRPr="008A1DB4">
        <w:rPr>
          <w:color w:val="000000" w:themeColor="text1"/>
          <w:spacing w:val="-2"/>
          <w:lang w:val="en-US"/>
        </w:rPr>
        <w:t xml:space="preserve"> 7 </w:t>
      </w:r>
      <w:r w:rsidR="00F36400" w:rsidRPr="008A1DB4">
        <w:rPr>
          <w:color w:val="000000" w:themeColor="text1"/>
          <w:spacing w:val="-2"/>
          <w:lang w:val="en-US"/>
        </w:rPr>
        <w:t>of the Convention</w:t>
      </w:r>
      <w:r w:rsidR="00601B3D" w:rsidRPr="008A1DB4">
        <w:rPr>
          <w:color w:val="000000" w:themeColor="text1"/>
          <w:spacing w:val="-2"/>
          <w:lang w:val="en-US"/>
        </w:rPr>
        <w:t xml:space="preserve">, </w:t>
      </w:r>
      <w:r w:rsidRPr="008A1DB4">
        <w:rPr>
          <w:color w:val="000000" w:themeColor="text1"/>
          <w:spacing w:val="-2"/>
          <w:lang w:val="en-US"/>
        </w:rPr>
        <w:t xml:space="preserve">in relation to Article 1(1) of this instrument, </w:t>
      </w:r>
      <w:r w:rsidR="00F36400" w:rsidRPr="008A1DB4">
        <w:rPr>
          <w:color w:val="000000" w:themeColor="text1"/>
          <w:spacing w:val="-2"/>
          <w:lang w:val="en-US"/>
        </w:rPr>
        <w:t>to the detriment of</w:t>
      </w:r>
      <w:r w:rsidR="00601B3D" w:rsidRPr="008A1DB4">
        <w:rPr>
          <w:color w:val="000000" w:themeColor="text1"/>
          <w:spacing w:val="-2"/>
          <w:lang w:val="en-US"/>
        </w:rPr>
        <w:t xml:space="preserve"> Wong Ho Wing.</w:t>
      </w:r>
      <w:bookmarkEnd w:id="1041"/>
      <w:r w:rsidR="00601B3D" w:rsidRPr="008A1DB4">
        <w:rPr>
          <w:color w:val="000000" w:themeColor="text1"/>
          <w:spacing w:val="-2"/>
          <w:lang w:val="en-US"/>
        </w:rPr>
        <w:t xml:space="preserve"> </w:t>
      </w:r>
      <w:r w:rsidRPr="008A1DB4">
        <w:rPr>
          <w:color w:val="000000" w:themeColor="text1"/>
          <w:spacing w:val="-2"/>
          <w:lang w:val="en-US"/>
        </w:rPr>
        <w:t xml:space="preserve">Based on this </w:t>
      </w:r>
      <w:r w:rsidR="00947926" w:rsidRPr="008A1DB4">
        <w:rPr>
          <w:color w:val="000000" w:themeColor="text1"/>
          <w:spacing w:val="-2"/>
          <w:lang w:val="en-US"/>
        </w:rPr>
        <w:t>conclusion</w:t>
      </w:r>
      <w:r w:rsidRPr="008A1DB4">
        <w:rPr>
          <w:color w:val="000000" w:themeColor="text1"/>
          <w:spacing w:val="-2"/>
          <w:lang w:val="en-US"/>
        </w:rPr>
        <w:t>, the Court consider</w:t>
      </w:r>
      <w:r w:rsidR="00D96E01">
        <w:rPr>
          <w:color w:val="000000" w:themeColor="text1"/>
          <w:spacing w:val="-2"/>
          <w:lang w:val="en-US"/>
        </w:rPr>
        <w:t xml:space="preserve">s </w:t>
      </w:r>
      <w:r w:rsidRPr="008A1DB4">
        <w:rPr>
          <w:color w:val="000000" w:themeColor="text1"/>
          <w:spacing w:val="-2"/>
          <w:lang w:val="en-US"/>
        </w:rPr>
        <w:t>it unnecessary to rule on</w:t>
      </w:r>
      <w:r w:rsidR="006323FD" w:rsidRPr="008A1DB4">
        <w:rPr>
          <w:spacing w:val="-2"/>
          <w:lang w:val="en-US"/>
        </w:rPr>
        <w:t xml:space="preserve"> </w:t>
      </w:r>
      <w:r w:rsidR="004257EF" w:rsidRPr="008A1DB4">
        <w:rPr>
          <w:spacing w:val="-2"/>
          <w:lang w:val="en-US"/>
        </w:rPr>
        <w:t>the alleged violation</w:t>
      </w:r>
      <w:r w:rsidR="006323FD" w:rsidRPr="008A1DB4">
        <w:rPr>
          <w:spacing w:val="-2"/>
          <w:lang w:val="en-US"/>
        </w:rPr>
        <w:t xml:space="preserve"> </w:t>
      </w:r>
      <w:r w:rsidR="0058668C" w:rsidRPr="008A1DB4">
        <w:rPr>
          <w:spacing w:val="-2"/>
          <w:lang w:val="en-US"/>
        </w:rPr>
        <w:t>of Article</w:t>
      </w:r>
      <w:r w:rsidR="00A33F97" w:rsidRPr="008A1DB4">
        <w:rPr>
          <w:spacing w:val="-2"/>
          <w:lang w:val="en-US"/>
        </w:rPr>
        <w:t xml:space="preserve"> 8(1)</w:t>
      </w:r>
      <w:r w:rsidR="00F36400" w:rsidRPr="008A1DB4">
        <w:rPr>
          <w:spacing w:val="-2"/>
          <w:lang w:val="en-US"/>
        </w:rPr>
        <w:t xml:space="preserve"> of the Convention</w:t>
      </w:r>
      <w:r w:rsidR="006323FD" w:rsidRPr="008A1DB4">
        <w:rPr>
          <w:spacing w:val="-2"/>
          <w:lang w:val="en-US"/>
        </w:rPr>
        <w:t xml:space="preserve"> </w:t>
      </w:r>
      <w:r w:rsidRPr="008A1DB4">
        <w:rPr>
          <w:spacing w:val="-2"/>
          <w:lang w:val="en-US"/>
        </w:rPr>
        <w:t>a</w:t>
      </w:r>
      <w:r w:rsidR="00D96E01">
        <w:rPr>
          <w:spacing w:val="-2"/>
          <w:lang w:val="en-US"/>
        </w:rPr>
        <w:t>rgued</w:t>
      </w:r>
      <w:r w:rsidRPr="008A1DB4">
        <w:rPr>
          <w:spacing w:val="-2"/>
          <w:lang w:val="en-US"/>
        </w:rPr>
        <w:t xml:space="preserve"> by </w:t>
      </w:r>
      <w:r w:rsidR="00C45946" w:rsidRPr="008A1DB4">
        <w:rPr>
          <w:spacing w:val="-2"/>
          <w:lang w:val="en-US"/>
        </w:rPr>
        <w:t>the representative</w:t>
      </w:r>
      <w:r w:rsidR="007B7598">
        <w:rPr>
          <w:spacing w:val="-2"/>
          <w:lang w:val="en-US"/>
        </w:rPr>
        <w:t xml:space="preserve"> based on</w:t>
      </w:r>
      <w:r w:rsidRPr="008A1DB4">
        <w:rPr>
          <w:spacing w:val="-2"/>
          <w:lang w:val="en-US"/>
        </w:rPr>
        <w:t xml:space="preserve"> the same facts. </w:t>
      </w:r>
    </w:p>
    <w:p w14:paraId="4A1E705C" w14:textId="77777777" w:rsidR="00601B3D" w:rsidRPr="008A1DB4" w:rsidRDefault="00601B3D" w:rsidP="00956E97">
      <w:pPr>
        <w:pStyle w:val="ListParagraph"/>
        <w:rPr>
          <w:color w:val="000000" w:themeColor="text1"/>
          <w:spacing w:val="-2"/>
          <w:szCs w:val="20"/>
          <w:lang w:val="en-US"/>
        </w:rPr>
      </w:pPr>
    </w:p>
    <w:p w14:paraId="0CC943D4" w14:textId="0D1F1CB9" w:rsidR="00601B3D" w:rsidRPr="008A1DB4" w:rsidRDefault="00F14D98" w:rsidP="00956E97">
      <w:pPr>
        <w:pStyle w:val="PrrafodeSentencia"/>
        <w:rPr>
          <w:spacing w:val="-2"/>
          <w:lang w:val="en-US"/>
        </w:rPr>
      </w:pPr>
      <w:bookmarkStart w:id="1042" w:name="_Ref419392623"/>
      <w:r w:rsidRPr="008A1DB4">
        <w:rPr>
          <w:spacing w:val="-2"/>
          <w:lang w:val="en-US"/>
        </w:rPr>
        <w:t>In addition, regarding the a</w:t>
      </w:r>
      <w:r w:rsidR="0079515C">
        <w:rPr>
          <w:spacing w:val="-2"/>
          <w:lang w:val="en-US"/>
        </w:rPr>
        <w:t>llegation of the</w:t>
      </w:r>
      <w:r w:rsidR="00492349">
        <w:rPr>
          <w:spacing w:val="-2"/>
          <w:lang w:val="en-US"/>
        </w:rPr>
        <w:t xml:space="preserve"> detention’s</w:t>
      </w:r>
      <w:r w:rsidR="0079515C">
        <w:rPr>
          <w:spacing w:val="-2"/>
          <w:lang w:val="en-US"/>
        </w:rPr>
        <w:t xml:space="preserve"> lack of predicta</w:t>
      </w:r>
      <w:r w:rsidRPr="008A1DB4">
        <w:rPr>
          <w:spacing w:val="-2"/>
          <w:lang w:val="en-US"/>
        </w:rPr>
        <w:t xml:space="preserve">bility, this Court has established that the </w:t>
      </w:r>
      <w:r w:rsidR="0079515C">
        <w:rPr>
          <w:spacing w:val="-2"/>
          <w:lang w:val="en-US"/>
        </w:rPr>
        <w:t>unpredicta</w:t>
      </w:r>
      <w:r w:rsidRPr="008A1DB4">
        <w:rPr>
          <w:spacing w:val="-2"/>
          <w:lang w:val="en-US"/>
        </w:rPr>
        <w:t xml:space="preserve">bility of a </w:t>
      </w:r>
      <w:r w:rsidR="0079515C" w:rsidRPr="008A1DB4">
        <w:rPr>
          <w:spacing w:val="-2"/>
          <w:lang w:val="en-US"/>
        </w:rPr>
        <w:t>deprivation of</w:t>
      </w:r>
      <w:r w:rsidRPr="008A1DB4">
        <w:rPr>
          <w:spacing w:val="-2"/>
          <w:lang w:val="en-US"/>
        </w:rPr>
        <w:t xml:space="preserve"> liberty may make it arbitrary </w:t>
      </w:r>
      <w:r w:rsidR="00601B3D" w:rsidRPr="008A1DB4">
        <w:rPr>
          <w:spacing w:val="-2"/>
          <w:lang w:val="en-US"/>
        </w:rPr>
        <w:t>(</w:t>
      </w:r>
      <w:r w:rsidR="00601B3D" w:rsidRPr="008A1DB4">
        <w:rPr>
          <w:i/>
          <w:spacing w:val="-2"/>
          <w:lang w:val="en-US"/>
        </w:rPr>
        <w:t xml:space="preserve">supra </w:t>
      </w:r>
      <w:r w:rsidR="00C45946" w:rsidRPr="008A1DB4">
        <w:rPr>
          <w:spacing w:val="-2"/>
          <w:lang w:val="en-US"/>
        </w:rPr>
        <w:t xml:space="preserve">para. </w:t>
      </w:r>
      <w:r w:rsidR="00FC7CF0" w:rsidRPr="008A1DB4">
        <w:rPr>
          <w:spacing w:val="-2"/>
          <w:lang w:val="en-US"/>
        </w:rPr>
        <w:fldChar w:fldCharType="begin"/>
      </w:r>
      <w:r w:rsidR="00FC7CF0" w:rsidRPr="008A1DB4">
        <w:rPr>
          <w:spacing w:val="-2"/>
          <w:lang w:val="en-US"/>
        </w:rPr>
        <w:instrText xml:space="preserve"> REF _Ref428970414 \r \h </w:instrText>
      </w:r>
      <w:r w:rsidR="00F80B11" w:rsidRPr="008A1DB4">
        <w:rPr>
          <w:spacing w:val="-2"/>
          <w:lang w:val="en-US"/>
        </w:rPr>
        <w:instrText xml:space="preserve"> \* MERGEFORMAT </w:instrText>
      </w:r>
      <w:r w:rsidR="00FC7CF0" w:rsidRPr="008A1DB4">
        <w:rPr>
          <w:spacing w:val="-2"/>
          <w:lang w:val="en-US"/>
        </w:rPr>
      </w:r>
      <w:r w:rsidR="00FC7CF0" w:rsidRPr="008A1DB4">
        <w:rPr>
          <w:spacing w:val="-2"/>
          <w:lang w:val="en-US"/>
        </w:rPr>
        <w:fldChar w:fldCharType="separate"/>
      </w:r>
      <w:r w:rsidR="00E961FA" w:rsidRPr="008A1DB4">
        <w:rPr>
          <w:spacing w:val="-2"/>
          <w:lang w:val="en-US"/>
        </w:rPr>
        <w:t>238</w:t>
      </w:r>
      <w:r w:rsidR="00FC7CF0" w:rsidRPr="008A1DB4">
        <w:rPr>
          <w:spacing w:val="-2"/>
          <w:lang w:val="en-US"/>
        </w:rPr>
        <w:fldChar w:fldCharType="end"/>
      </w:r>
      <w:r w:rsidR="00601B3D" w:rsidRPr="008A1DB4">
        <w:rPr>
          <w:spacing w:val="-2"/>
          <w:lang w:val="en-US"/>
        </w:rPr>
        <w:t xml:space="preserve">). </w:t>
      </w:r>
      <w:r w:rsidRPr="008A1DB4">
        <w:rPr>
          <w:spacing w:val="-2"/>
          <w:lang w:val="en-US"/>
        </w:rPr>
        <w:t xml:space="preserve">Thus, the </w:t>
      </w:r>
      <w:r w:rsidR="003D2FF4">
        <w:rPr>
          <w:spacing w:val="-2"/>
          <w:lang w:val="en-US"/>
        </w:rPr>
        <w:t>Court has indicated that the la</w:t>
      </w:r>
      <w:r w:rsidRPr="008A1DB4">
        <w:rPr>
          <w:spacing w:val="-2"/>
          <w:lang w:val="en-US"/>
        </w:rPr>
        <w:t>w</w:t>
      </w:r>
      <w:r w:rsidR="003D2FF4">
        <w:rPr>
          <w:spacing w:val="-2"/>
          <w:lang w:val="en-US"/>
        </w:rPr>
        <w:t xml:space="preserve"> </w:t>
      </w:r>
      <w:r w:rsidRPr="008A1DB4">
        <w:rPr>
          <w:spacing w:val="-2"/>
          <w:lang w:val="en-US"/>
        </w:rPr>
        <w:t>on which the deprivation of</w:t>
      </w:r>
      <w:r w:rsidR="00601B3D" w:rsidRPr="008A1DB4">
        <w:rPr>
          <w:spacing w:val="-2"/>
          <w:lang w:val="en-US"/>
        </w:rPr>
        <w:t xml:space="preserve"> </w:t>
      </w:r>
      <w:r w:rsidR="00776D24" w:rsidRPr="008A1DB4">
        <w:rPr>
          <w:spacing w:val="-2"/>
          <w:lang w:val="en-US"/>
        </w:rPr>
        <w:t>personal liberty</w:t>
      </w:r>
      <w:r w:rsidR="00601B3D" w:rsidRPr="008A1DB4">
        <w:rPr>
          <w:spacing w:val="-2"/>
          <w:lang w:val="en-US"/>
        </w:rPr>
        <w:t xml:space="preserve"> </w:t>
      </w:r>
      <w:r w:rsidRPr="008A1DB4">
        <w:rPr>
          <w:spacing w:val="-2"/>
          <w:lang w:val="en-US"/>
        </w:rPr>
        <w:t xml:space="preserve">is based must establish as specifically as </w:t>
      </w:r>
      <w:r w:rsidR="00947926" w:rsidRPr="008A1DB4">
        <w:rPr>
          <w:spacing w:val="-2"/>
          <w:lang w:val="en-US"/>
        </w:rPr>
        <w:t>possible</w:t>
      </w:r>
      <w:r w:rsidRPr="008A1DB4">
        <w:rPr>
          <w:spacing w:val="-2"/>
          <w:lang w:val="en-US"/>
        </w:rPr>
        <w:t xml:space="preserve"> and “beforehand” the “reasons” for and “conditions” of the deprivation of physical liberty.</w:t>
      </w:r>
      <w:r w:rsidR="00601B3D" w:rsidRPr="008A1DB4">
        <w:rPr>
          <w:rStyle w:val="FootnoteReference"/>
          <w:color w:val="000000" w:themeColor="text1"/>
          <w:spacing w:val="-2"/>
          <w:lang w:val="en-US"/>
        </w:rPr>
        <w:footnoteReference w:id="342"/>
      </w:r>
      <w:r w:rsidRPr="008A1DB4">
        <w:rPr>
          <w:spacing w:val="-2"/>
          <w:lang w:val="en-US"/>
        </w:rPr>
        <w:t xml:space="preserve"> Compliance with these requirements is designed to </w:t>
      </w:r>
      <w:r w:rsidR="0079515C" w:rsidRPr="008A1DB4">
        <w:rPr>
          <w:spacing w:val="-2"/>
          <w:lang w:val="en-US"/>
        </w:rPr>
        <w:t>protect</w:t>
      </w:r>
      <w:r w:rsidRPr="008A1DB4">
        <w:rPr>
          <w:spacing w:val="-2"/>
          <w:lang w:val="en-US"/>
        </w:rPr>
        <w:t xml:space="preserve"> the individual from arbitrary detention.</w:t>
      </w:r>
      <w:r w:rsidR="00601B3D" w:rsidRPr="008A1DB4">
        <w:rPr>
          <w:rStyle w:val="FootnoteReference"/>
          <w:color w:val="000000" w:themeColor="text1"/>
          <w:spacing w:val="-2"/>
          <w:lang w:val="en-US"/>
        </w:rPr>
        <w:footnoteReference w:id="343"/>
      </w:r>
      <w:r w:rsidRPr="008A1DB4">
        <w:rPr>
          <w:spacing w:val="-2"/>
          <w:lang w:val="en-US"/>
        </w:rPr>
        <w:t xml:space="preserve"> Among the conditions for deprivation of liberty, the applicable law should include criteria </w:t>
      </w:r>
      <w:r w:rsidR="003D2FF4">
        <w:rPr>
          <w:spacing w:val="-2"/>
          <w:lang w:val="en-US"/>
        </w:rPr>
        <w:t>concerning</w:t>
      </w:r>
      <w:r w:rsidRPr="008A1DB4">
        <w:rPr>
          <w:spacing w:val="-2"/>
          <w:lang w:val="en-US"/>
        </w:rPr>
        <w:t xml:space="preserve"> the limits to its duration.</w:t>
      </w:r>
      <w:r w:rsidR="00601B3D" w:rsidRPr="008A1DB4">
        <w:rPr>
          <w:rStyle w:val="FootnoteReference"/>
          <w:color w:val="000000" w:themeColor="text1"/>
          <w:spacing w:val="-2"/>
          <w:lang w:val="en-US"/>
        </w:rPr>
        <w:footnoteReference w:id="344"/>
      </w:r>
      <w:r w:rsidRPr="008A1DB4">
        <w:rPr>
          <w:spacing w:val="-2"/>
          <w:lang w:val="en-US"/>
        </w:rPr>
        <w:t xml:space="preserve"> Similarly, </w:t>
      </w:r>
      <w:r w:rsidR="00127339" w:rsidRPr="008A1DB4">
        <w:rPr>
          <w:spacing w:val="-2"/>
          <w:lang w:val="en-US"/>
        </w:rPr>
        <w:t>expert witness</w:t>
      </w:r>
      <w:r w:rsidR="00601B3D" w:rsidRPr="008A1DB4">
        <w:rPr>
          <w:spacing w:val="-2"/>
          <w:lang w:val="en-US"/>
        </w:rPr>
        <w:t xml:space="preserve"> Ben Saul </w:t>
      </w:r>
      <w:r w:rsidRPr="008A1DB4">
        <w:rPr>
          <w:spacing w:val="-2"/>
          <w:lang w:val="en-US"/>
        </w:rPr>
        <w:t>indicated that laws that do not include t</w:t>
      </w:r>
      <w:r w:rsidR="00BB1D87">
        <w:rPr>
          <w:spacing w:val="-2"/>
          <w:lang w:val="en-US"/>
        </w:rPr>
        <w:t>ime limits for</w:t>
      </w:r>
      <w:r w:rsidRPr="008A1DB4">
        <w:rPr>
          <w:spacing w:val="-2"/>
          <w:lang w:val="en-US"/>
        </w:rPr>
        <w:t xml:space="preserve"> a detention cannot comply with the requirement of pre</w:t>
      </w:r>
      <w:r w:rsidR="0079515C">
        <w:rPr>
          <w:spacing w:val="-2"/>
          <w:lang w:val="en-US"/>
        </w:rPr>
        <w:t>dicta</w:t>
      </w:r>
      <w:r w:rsidRPr="008A1DB4">
        <w:rPr>
          <w:spacing w:val="-2"/>
          <w:lang w:val="en-US"/>
        </w:rPr>
        <w:t>bility.</w:t>
      </w:r>
      <w:r w:rsidR="00601B3D" w:rsidRPr="008A1DB4">
        <w:rPr>
          <w:rStyle w:val="FootnoteReference"/>
          <w:spacing w:val="-2"/>
          <w:lang w:val="en-US"/>
        </w:rPr>
        <w:footnoteReference w:id="345"/>
      </w:r>
      <w:r w:rsidRPr="008A1DB4">
        <w:rPr>
          <w:spacing w:val="-2"/>
          <w:lang w:val="en-US"/>
        </w:rPr>
        <w:t xml:space="preserve"> In addition</w:t>
      </w:r>
      <w:r w:rsidR="00601B3D" w:rsidRPr="008A1DB4">
        <w:rPr>
          <w:spacing w:val="-2"/>
          <w:lang w:val="en-US"/>
        </w:rPr>
        <w:t xml:space="preserve">, </w:t>
      </w:r>
      <w:r w:rsidR="00C168D8" w:rsidRPr="008A1DB4">
        <w:rPr>
          <w:spacing w:val="-2"/>
          <w:lang w:val="en-US"/>
        </w:rPr>
        <w:t>the Seventh Criminal Court</w:t>
      </w:r>
      <w:r w:rsidR="003D2FF4">
        <w:rPr>
          <w:spacing w:val="-2"/>
          <w:lang w:val="en-US"/>
        </w:rPr>
        <w:t>, which decided the</w:t>
      </w:r>
      <w:r w:rsidRPr="008A1DB4">
        <w:rPr>
          <w:spacing w:val="-2"/>
          <w:lang w:val="en-US"/>
        </w:rPr>
        <w:t xml:space="preserve"> request to modify </w:t>
      </w:r>
      <w:r w:rsidR="004257EF" w:rsidRPr="008A1DB4">
        <w:rPr>
          <w:spacing w:val="-2"/>
          <w:lang w:val="en-US"/>
        </w:rPr>
        <w:t>the provisional arrest</w:t>
      </w:r>
      <w:r w:rsidRPr="008A1DB4">
        <w:rPr>
          <w:spacing w:val="-2"/>
          <w:lang w:val="en-US"/>
        </w:rPr>
        <w:t>, indicat</w:t>
      </w:r>
      <w:r w:rsidR="00482633" w:rsidRPr="008A1DB4">
        <w:rPr>
          <w:spacing w:val="-2"/>
          <w:lang w:val="en-US"/>
        </w:rPr>
        <w:t>e</w:t>
      </w:r>
      <w:r w:rsidRPr="008A1DB4">
        <w:rPr>
          <w:spacing w:val="-2"/>
          <w:lang w:val="en-US"/>
        </w:rPr>
        <w:t xml:space="preserve">d that “the absence of a </w:t>
      </w:r>
      <w:r w:rsidR="003D2FF4">
        <w:rPr>
          <w:spacing w:val="-2"/>
          <w:lang w:val="en-US"/>
        </w:rPr>
        <w:t>time limit</w:t>
      </w:r>
      <w:r w:rsidRPr="008A1DB4">
        <w:rPr>
          <w:spacing w:val="-2"/>
          <w:lang w:val="en-US"/>
        </w:rPr>
        <w:t xml:space="preserve"> expressly established for the mechanism </w:t>
      </w:r>
      <w:r w:rsidR="004257EF" w:rsidRPr="008A1DB4">
        <w:rPr>
          <w:spacing w:val="-2"/>
          <w:lang w:val="en-US"/>
        </w:rPr>
        <w:t>of the provisional arrest</w:t>
      </w:r>
      <w:r w:rsidR="00601B3D" w:rsidRPr="008A1DB4">
        <w:rPr>
          <w:spacing w:val="-2"/>
          <w:lang w:val="en-US"/>
        </w:rPr>
        <w:t xml:space="preserve"> </w:t>
      </w:r>
      <w:r w:rsidRPr="008A1DB4">
        <w:rPr>
          <w:spacing w:val="-2"/>
          <w:lang w:val="en-US"/>
        </w:rPr>
        <w:t xml:space="preserve">with a view to extradition is incompatible with the principle of </w:t>
      </w:r>
      <w:r w:rsidR="0079515C" w:rsidRPr="008A1DB4">
        <w:rPr>
          <w:spacing w:val="-2"/>
          <w:lang w:val="en-US"/>
        </w:rPr>
        <w:t>pre</w:t>
      </w:r>
      <w:r w:rsidR="0079515C">
        <w:rPr>
          <w:spacing w:val="-2"/>
          <w:lang w:val="en-US"/>
        </w:rPr>
        <w:t>dicta</w:t>
      </w:r>
      <w:r w:rsidR="0079515C" w:rsidRPr="008A1DB4">
        <w:rPr>
          <w:spacing w:val="-2"/>
          <w:lang w:val="en-US"/>
        </w:rPr>
        <w:t>bility</w:t>
      </w:r>
      <w:r w:rsidRPr="008A1DB4">
        <w:rPr>
          <w:spacing w:val="-2"/>
          <w:lang w:val="en-US"/>
        </w:rPr>
        <w:t>.</w:t>
      </w:r>
      <w:r w:rsidR="00601B3D" w:rsidRPr="008A1DB4">
        <w:rPr>
          <w:spacing w:val="-2"/>
          <w:lang w:val="en-US"/>
        </w:rPr>
        <w:t>”</w:t>
      </w:r>
      <w:r w:rsidR="00601B3D" w:rsidRPr="008A1DB4">
        <w:rPr>
          <w:rStyle w:val="FootnoteReference"/>
          <w:spacing w:val="-2"/>
          <w:lang w:val="en-US"/>
        </w:rPr>
        <w:footnoteReference w:id="346"/>
      </w:r>
      <w:bookmarkEnd w:id="1042"/>
    </w:p>
    <w:p w14:paraId="203BDDA8" w14:textId="77777777" w:rsidR="00601B3D" w:rsidRPr="008A1DB4" w:rsidRDefault="00601B3D" w:rsidP="00956E97">
      <w:pPr>
        <w:tabs>
          <w:tab w:val="left" w:pos="567"/>
        </w:tabs>
        <w:rPr>
          <w:spacing w:val="-2"/>
          <w:sz w:val="18"/>
          <w:szCs w:val="18"/>
          <w:lang w:val="en-US"/>
        </w:rPr>
      </w:pPr>
    </w:p>
    <w:p w14:paraId="33B32E01" w14:textId="314550E6" w:rsidR="00601B3D" w:rsidRPr="008A1DB4" w:rsidRDefault="004F0750" w:rsidP="004F0750">
      <w:pPr>
        <w:pStyle w:val="PrrafodeSentencia"/>
        <w:rPr>
          <w:spacing w:val="-2"/>
          <w:lang w:val="en-US"/>
        </w:rPr>
      </w:pPr>
      <w:bookmarkStart w:id="1043" w:name="_Ref419392670"/>
      <w:bookmarkStart w:id="1044" w:name="_Ref428982605"/>
      <w:r w:rsidRPr="008A1DB4">
        <w:rPr>
          <w:spacing w:val="-2"/>
          <w:lang w:val="en-US"/>
        </w:rPr>
        <w:t>As the State has recognized</w:t>
      </w:r>
      <w:r w:rsidR="00601B3D" w:rsidRPr="008A1DB4">
        <w:rPr>
          <w:spacing w:val="-2"/>
          <w:lang w:val="en-US"/>
        </w:rPr>
        <w:t>, “</w:t>
      </w:r>
      <w:r w:rsidRPr="008A1DB4">
        <w:rPr>
          <w:spacing w:val="-2"/>
          <w:lang w:val="en-US"/>
        </w:rPr>
        <w:t xml:space="preserve">there is no </w:t>
      </w:r>
      <w:r w:rsidR="003D2FF4">
        <w:rPr>
          <w:spacing w:val="-2"/>
          <w:lang w:val="en-US"/>
        </w:rPr>
        <w:t>time limit for</w:t>
      </w:r>
      <w:r w:rsidRPr="008A1DB4">
        <w:rPr>
          <w:spacing w:val="-2"/>
          <w:lang w:val="en-US"/>
        </w:rPr>
        <w:t xml:space="preserve"> deprivation of liberty during the passive extradition proceedings, or a time limit for the final </w:t>
      </w:r>
      <w:r w:rsidR="0079515C" w:rsidRPr="008A1DB4">
        <w:rPr>
          <w:spacing w:val="-2"/>
          <w:lang w:val="en-US"/>
        </w:rPr>
        <w:t>decision</w:t>
      </w:r>
      <w:r w:rsidRPr="008A1DB4">
        <w:rPr>
          <w:spacing w:val="-2"/>
          <w:lang w:val="en-US"/>
        </w:rPr>
        <w:t xml:space="preserve"> on it.” This Court notes that neither the Extradition Treaty</w:t>
      </w:r>
      <w:r w:rsidR="0079515C">
        <w:rPr>
          <w:spacing w:val="-2"/>
          <w:lang w:val="en-US"/>
        </w:rPr>
        <w:t xml:space="preserve"> signed between China and</w:t>
      </w:r>
      <w:r w:rsidRPr="008A1DB4">
        <w:rPr>
          <w:spacing w:val="-2"/>
          <w:lang w:val="en-US"/>
        </w:rPr>
        <w:t xml:space="preserve"> Peru, nor the Peruvian Code</w:t>
      </w:r>
      <w:r w:rsidRPr="008A1DB4">
        <w:rPr>
          <w:bCs/>
          <w:spacing w:val="-2"/>
          <w:lang w:val="en-US"/>
        </w:rPr>
        <w:t xml:space="preserve"> of Criminal Procedure establish a </w:t>
      </w:r>
      <w:r w:rsidR="003D2FF4">
        <w:rPr>
          <w:bCs/>
          <w:spacing w:val="-2"/>
          <w:lang w:val="en-US"/>
        </w:rPr>
        <w:t>time limit for</w:t>
      </w:r>
      <w:r w:rsidRPr="008A1DB4">
        <w:rPr>
          <w:bCs/>
          <w:spacing w:val="-2"/>
          <w:lang w:val="en-US"/>
        </w:rPr>
        <w:t xml:space="preserve"> the provisional detention in </w:t>
      </w:r>
      <w:r w:rsidR="003D2FF4">
        <w:rPr>
          <w:bCs/>
          <w:spacing w:val="-2"/>
          <w:lang w:val="en-US"/>
        </w:rPr>
        <w:t xml:space="preserve">an </w:t>
      </w:r>
      <w:r w:rsidRPr="008A1DB4">
        <w:rPr>
          <w:bCs/>
          <w:spacing w:val="-2"/>
          <w:lang w:val="en-US"/>
        </w:rPr>
        <w:t xml:space="preserve">extradition process once the formal extradition request is </w:t>
      </w:r>
      <w:r w:rsidR="0079515C">
        <w:rPr>
          <w:bCs/>
          <w:spacing w:val="-2"/>
          <w:lang w:val="en-US"/>
        </w:rPr>
        <w:t>received or, if applicable, a ti</w:t>
      </w:r>
      <w:r w:rsidRPr="008A1DB4">
        <w:rPr>
          <w:bCs/>
          <w:spacing w:val="-2"/>
          <w:lang w:val="en-US"/>
        </w:rPr>
        <w:t xml:space="preserve">me </w:t>
      </w:r>
      <w:r w:rsidR="003D2FF4">
        <w:rPr>
          <w:bCs/>
          <w:spacing w:val="-2"/>
          <w:lang w:val="en-US"/>
        </w:rPr>
        <w:t>frame</w:t>
      </w:r>
      <w:r w:rsidRPr="008A1DB4">
        <w:rPr>
          <w:bCs/>
          <w:spacing w:val="-2"/>
          <w:lang w:val="en-US"/>
        </w:rPr>
        <w:t xml:space="preserve"> for </w:t>
      </w:r>
      <w:r w:rsidR="00FC5891" w:rsidRPr="008A1DB4">
        <w:rPr>
          <w:bCs/>
          <w:spacing w:val="-2"/>
          <w:lang w:val="en-US"/>
        </w:rPr>
        <w:t>the extradition process</w:t>
      </w:r>
      <w:r w:rsidR="00601B3D" w:rsidRPr="008A1DB4">
        <w:rPr>
          <w:bCs/>
          <w:spacing w:val="-2"/>
          <w:lang w:val="en-US"/>
        </w:rPr>
        <w:t xml:space="preserve"> </w:t>
      </w:r>
      <w:r w:rsidRPr="008A1DB4">
        <w:rPr>
          <w:bCs/>
          <w:spacing w:val="-2"/>
          <w:lang w:val="en-US"/>
        </w:rPr>
        <w:t>that could limit the duration of the detention.</w:t>
      </w:r>
      <w:r w:rsidR="00601B3D" w:rsidRPr="008A1DB4">
        <w:rPr>
          <w:rStyle w:val="FootnoteReference"/>
          <w:bCs/>
          <w:spacing w:val="-2"/>
          <w:lang w:val="en-US"/>
        </w:rPr>
        <w:footnoteReference w:id="347"/>
      </w:r>
      <w:r w:rsidR="00601B3D" w:rsidRPr="008A1DB4">
        <w:rPr>
          <w:spacing w:val="-2"/>
          <w:lang w:val="en-US"/>
        </w:rPr>
        <w:t xml:space="preserve"> </w:t>
      </w:r>
      <w:r w:rsidRPr="008A1DB4">
        <w:rPr>
          <w:spacing w:val="-2"/>
          <w:lang w:val="en-US"/>
        </w:rPr>
        <w:t>The</w:t>
      </w:r>
      <w:r w:rsidR="00F36400" w:rsidRPr="008A1DB4">
        <w:rPr>
          <w:spacing w:val="-2"/>
          <w:lang w:val="en-US"/>
        </w:rPr>
        <w:t xml:space="preserve"> Court</w:t>
      </w:r>
      <w:r w:rsidRPr="008A1DB4">
        <w:rPr>
          <w:spacing w:val="-2"/>
          <w:lang w:val="en-US"/>
        </w:rPr>
        <w:t xml:space="preserve"> considers that the </w:t>
      </w:r>
      <w:r w:rsidR="0079515C" w:rsidRPr="008A1DB4">
        <w:rPr>
          <w:spacing w:val="-2"/>
          <w:lang w:val="en-US"/>
        </w:rPr>
        <w:t>inclusion</w:t>
      </w:r>
      <w:r w:rsidRPr="008A1DB4">
        <w:rPr>
          <w:spacing w:val="-2"/>
          <w:lang w:val="en-US"/>
        </w:rPr>
        <w:t xml:space="preserve"> of t</w:t>
      </w:r>
      <w:r w:rsidR="003D2FF4">
        <w:rPr>
          <w:spacing w:val="-2"/>
          <w:lang w:val="en-US"/>
        </w:rPr>
        <w:t>ime</w:t>
      </w:r>
      <w:r w:rsidRPr="008A1DB4">
        <w:rPr>
          <w:spacing w:val="-2"/>
          <w:lang w:val="en-US"/>
        </w:rPr>
        <w:t xml:space="preserve"> limits for a detention is a safeguard against the arbitrariness</w:t>
      </w:r>
      <w:r w:rsidR="00601B3D" w:rsidRPr="008A1DB4">
        <w:rPr>
          <w:spacing w:val="-2"/>
          <w:lang w:val="en-US"/>
        </w:rPr>
        <w:t xml:space="preserve"> </w:t>
      </w:r>
      <w:r w:rsidRPr="008A1DB4">
        <w:rPr>
          <w:spacing w:val="-2"/>
          <w:lang w:val="en-US"/>
        </w:rPr>
        <w:t xml:space="preserve">of the deprivation of liberty and, in this case, its omission also permitted the excessive duration of the detention of Wong Ho Wing, as the Court will analyze </w:t>
      </w:r>
      <w:r w:rsidR="00601B3D" w:rsidRPr="008A1DB4">
        <w:rPr>
          <w:bCs/>
          <w:i/>
          <w:spacing w:val="-2"/>
          <w:lang w:val="en-US"/>
        </w:rPr>
        <w:t>infra</w:t>
      </w:r>
      <w:r w:rsidR="003A3D18" w:rsidRPr="008A1DB4">
        <w:rPr>
          <w:bCs/>
          <w:i/>
          <w:spacing w:val="-2"/>
          <w:lang w:val="en-US"/>
        </w:rPr>
        <w:t xml:space="preserve"> </w:t>
      </w:r>
      <w:r w:rsidR="003A3D18" w:rsidRPr="008A1DB4">
        <w:rPr>
          <w:bCs/>
          <w:spacing w:val="-2"/>
          <w:lang w:val="en-US"/>
        </w:rPr>
        <w:t>(</w:t>
      </w:r>
      <w:r w:rsidR="00631F9C" w:rsidRPr="008A1DB4">
        <w:rPr>
          <w:bCs/>
          <w:spacing w:val="-2"/>
          <w:lang w:val="en-US"/>
        </w:rPr>
        <w:t>paras.</w:t>
      </w:r>
      <w:r w:rsidR="003A3D18" w:rsidRPr="008A1DB4">
        <w:rPr>
          <w:bCs/>
          <w:spacing w:val="-2"/>
          <w:lang w:val="en-US"/>
        </w:rPr>
        <w:t xml:space="preserve"> </w:t>
      </w:r>
      <w:r w:rsidR="003A3D18" w:rsidRPr="008A1DB4">
        <w:rPr>
          <w:bCs/>
          <w:spacing w:val="-2"/>
          <w:lang w:val="en-US"/>
        </w:rPr>
        <w:fldChar w:fldCharType="begin"/>
      </w:r>
      <w:r w:rsidR="003A3D18" w:rsidRPr="008A1DB4">
        <w:rPr>
          <w:bCs/>
          <w:spacing w:val="-2"/>
          <w:lang w:val="en-US"/>
        </w:rPr>
        <w:instrText xml:space="preserve"> REF _Ref419393019 \r \h  \* MERGEFORMAT </w:instrText>
      </w:r>
      <w:r w:rsidR="003A3D18" w:rsidRPr="008A1DB4">
        <w:rPr>
          <w:bCs/>
          <w:spacing w:val="-2"/>
          <w:lang w:val="en-US"/>
        </w:rPr>
      </w:r>
      <w:r w:rsidR="003A3D18" w:rsidRPr="008A1DB4">
        <w:rPr>
          <w:bCs/>
          <w:spacing w:val="-2"/>
          <w:lang w:val="en-US"/>
        </w:rPr>
        <w:fldChar w:fldCharType="separate"/>
      </w:r>
      <w:r w:rsidR="00E961FA" w:rsidRPr="008A1DB4">
        <w:rPr>
          <w:bCs/>
          <w:spacing w:val="-2"/>
          <w:lang w:val="en-US"/>
        </w:rPr>
        <w:t>267</w:t>
      </w:r>
      <w:r w:rsidR="003A3D18" w:rsidRPr="008A1DB4">
        <w:rPr>
          <w:bCs/>
          <w:spacing w:val="-2"/>
          <w:lang w:val="en-US"/>
        </w:rPr>
        <w:fldChar w:fldCharType="end"/>
      </w:r>
      <w:r w:rsidRPr="008A1DB4">
        <w:rPr>
          <w:bCs/>
          <w:spacing w:val="-2"/>
          <w:lang w:val="en-US"/>
        </w:rPr>
        <w:t xml:space="preserve"> to</w:t>
      </w:r>
      <w:r w:rsidR="003A3D18" w:rsidRPr="008A1DB4">
        <w:rPr>
          <w:bCs/>
          <w:spacing w:val="-2"/>
          <w:lang w:val="en-US"/>
        </w:rPr>
        <w:t xml:space="preserve"> </w:t>
      </w:r>
      <w:r w:rsidR="003A3D18" w:rsidRPr="008A1DB4">
        <w:rPr>
          <w:bCs/>
          <w:spacing w:val="-2"/>
          <w:lang w:val="en-US"/>
        </w:rPr>
        <w:fldChar w:fldCharType="begin"/>
      </w:r>
      <w:r w:rsidR="003A3D18" w:rsidRPr="008A1DB4">
        <w:rPr>
          <w:bCs/>
          <w:spacing w:val="-2"/>
          <w:lang w:val="en-US"/>
        </w:rPr>
        <w:instrText xml:space="preserve"> REF _Ref419393036 \r \h  \* MERGEFORMAT </w:instrText>
      </w:r>
      <w:r w:rsidR="003A3D18" w:rsidRPr="008A1DB4">
        <w:rPr>
          <w:bCs/>
          <w:spacing w:val="-2"/>
          <w:lang w:val="en-US"/>
        </w:rPr>
      </w:r>
      <w:r w:rsidR="003A3D18" w:rsidRPr="008A1DB4">
        <w:rPr>
          <w:bCs/>
          <w:spacing w:val="-2"/>
          <w:lang w:val="en-US"/>
        </w:rPr>
        <w:fldChar w:fldCharType="separate"/>
      </w:r>
      <w:r w:rsidR="00E961FA" w:rsidRPr="008A1DB4">
        <w:rPr>
          <w:bCs/>
          <w:spacing w:val="-2"/>
          <w:lang w:val="en-US"/>
        </w:rPr>
        <w:t>275</w:t>
      </w:r>
      <w:r w:rsidR="003A3D18" w:rsidRPr="008A1DB4">
        <w:rPr>
          <w:bCs/>
          <w:spacing w:val="-2"/>
          <w:lang w:val="en-US"/>
        </w:rPr>
        <w:fldChar w:fldCharType="end"/>
      </w:r>
      <w:r w:rsidR="003A3D18" w:rsidRPr="008A1DB4">
        <w:rPr>
          <w:bCs/>
          <w:spacing w:val="-2"/>
          <w:lang w:val="en-US"/>
        </w:rPr>
        <w:t>)</w:t>
      </w:r>
      <w:r w:rsidR="00601B3D" w:rsidRPr="008A1DB4">
        <w:rPr>
          <w:bCs/>
          <w:i/>
          <w:spacing w:val="-2"/>
          <w:lang w:val="en-US"/>
        </w:rPr>
        <w:t xml:space="preserve">. </w:t>
      </w:r>
      <w:r w:rsidR="00467AFC" w:rsidRPr="008A1DB4">
        <w:rPr>
          <w:bCs/>
          <w:spacing w:val="-2"/>
          <w:lang w:val="en-US"/>
        </w:rPr>
        <w:t>In this case</w:t>
      </w:r>
      <w:r w:rsidR="00601B3D" w:rsidRPr="008A1DB4">
        <w:rPr>
          <w:bCs/>
          <w:spacing w:val="-2"/>
          <w:lang w:val="en-US"/>
        </w:rPr>
        <w:t xml:space="preserve">, </w:t>
      </w:r>
      <w:r w:rsidRPr="008A1DB4">
        <w:rPr>
          <w:bCs/>
          <w:spacing w:val="-2"/>
          <w:lang w:val="en-US"/>
        </w:rPr>
        <w:t xml:space="preserve">the absence of a precise time limit to </w:t>
      </w:r>
      <w:r w:rsidR="00B43F84" w:rsidRPr="008A1DB4">
        <w:rPr>
          <w:bCs/>
          <w:spacing w:val="-2"/>
          <w:lang w:val="en-US"/>
        </w:rPr>
        <w:t>Wong</w:t>
      </w:r>
      <w:r w:rsidR="00601B3D" w:rsidRPr="008A1DB4">
        <w:rPr>
          <w:bCs/>
          <w:spacing w:val="-2"/>
          <w:lang w:val="en-US"/>
        </w:rPr>
        <w:t xml:space="preserve"> Ho </w:t>
      </w:r>
      <w:r w:rsidR="00601B3D" w:rsidRPr="008A1DB4">
        <w:rPr>
          <w:bCs/>
          <w:spacing w:val="-2"/>
          <w:lang w:val="en-US"/>
        </w:rPr>
        <w:lastRenderedPageBreak/>
        <w:t>Wing</w:t>
      </w:r>
      <w:r w:rsidRPr="008A1DB4">
        <w:rPr>
          <w:bCs/>
          <w:spacing w:val="-2"/>
          <w:lang w:val="en-US"/>
        </w:rPr>
        <w:t>’s detention</w:t>
      </w:r>
      <w:r w:rsidR="00601B3D" w:rsidRPr="008A1DB4">
        <w:rPr>
          <w:bCs/>
          <w:spacing w:val="-2"/>
          <w:lang w:val="en-US"/>
        </w:rPr>
        <w:t xml:space="preserve"> </w:t>
      </w:r>
      <w:r w:rsidRPr="008A1DB4">
        <w:rPr>
          <w:bCs/>
          <w:spacing w:val="-2"/>
          <w:lang w:val="en-US"/>
        </w:rPr>
        <w:t xml:space="preserve">was used by the judicial authorities as an element to justify keeping him detained </w:t>
      </w:r>
      <w:r w:rsidR="00601B3D" w:rsidRPr="008A1DB4">
        <w:rPr>
          <w:bCs/>
          <w:spacing w:val="-2"/>
          <w:lang w:val="en-US"/>
        </w:rPr>
        <w:t>(</w:t>
      </w:r>
      <w:r w:rsidR="00601B3D" w:rsidRPr="008A1DB4">
        <w:rPr>
          <w:bCs/>
          <w:i/>
          <w:spacing w:val="-2"/>
          <w:lang w:val="en-US"/>
        </w:rPr>
        <w:t xml:space="preserve">supra </w:t>
      </w:r>
      <w:r w:rsidR="00C45946" w:rsidRPr="008A1DB4">
        <w:rPr>
          <w:bCs/>
          <w:spacing w:val="-2"/>
          <w:lang w:val="en-US"/>
        </w:rPr>
        <w:t xml:space="preserve">para. </w:t>
      </w:r>
      <w:r w:rsidR="002F47E7" w:rsidRPr="008A1DB4">
        <w:rPr>
          <w:bCs/>
          <w:spacing w:val="-2"/>
          <w:lang w:val="en-US"/>
        </w:rPr>
        <w:fldChar w:fldCharType="begin"/>
      </w:r>
      <w:r w:rsidR="002F47E7" w:rsidRPr="008A1DB4">
        <w:rPr>
          <w:bCs/>
          <w:spacing w:val="-2"/>
          <w:lang w:val="en-US"/>
        </w:rPr>
        <w:instrText xml:space="preserve"> REF _Ref428975269 \r \h  \* MERGEFORMAT </w:instrText>
      </w:r>
      <w:r w:rsidR="002F47E7" w:rsidRPr="008A1DB4">
        <w:rPr>
          <w:bCs/>
          <w:spacing w:val="-2"/>
          <w:lang w:val="en-US"/>
        </w:rPr>
      </w:r>
      <w:r w:rsidR="002F47E7" w:rsidRPr="008A1DB4">
        <w:rPr>
          <w:bCs/>
          <w:spacing w:val="-2"/>
          <w:lang w:val="en-US"/>
        </w:rPr>
        <w:fldChar w:fldCharType="separate"/>
      </w:r>
      <w:r w:rsidR="00E961FA" w:rsidRPr="008A1DB4">
        <w:rPr>
          <w:bCs/>
          <w:spacing w:val="-2"/>
          <w:lang w:val="en-US"/>
        </w:rPr>
        <w:t>103</w:t>
      </w:r>
      <w:r w:rsidR="002F47E7" w:rsidRPr="008A1DB4">
        <w:rPr>
          <w:bCs/>
          <w:spacing w:val="-2"/>
          <w:lang w:val="en-US"/>
        </w:rPr>
        <w:fldChar w:fldCharType="end"/>
      </w:r>
      <w:r w:rsidR="00601B3D" w:rsidRPr="008A1DB4">
        <w:rPr>
          <w:bCs/>
          <w:spacing w:val="-2"/>
          <w:lang w:val="en-US"/>
        </w:rPr>
        <w:t>).</w:t>
      </w:r>
      <w:r w:rsidR="00601B3D" w:rsidRPr="008A1DB4">
        <w:rPr>
          <w:bCs/>
          <w:i/>
          <w:spacing w:val="-2"/>
          <w:lang w:val="en-US"/>
        </w:rPr>
        <w:t xml:space="preserve"> </w:t>
      </w:r>
      <w:r w:rsidRPr="008A1DB4">
        <w:rPr>
          <w:bCs/>
          <w:spacing w:val="-2"/>
          <w:lang w:val="en-US"/>
        </w:rPr>
        <w:t xml:space="preserve">Thus, since it was used as a factor to continue his detention, the lack of </w:t>
      </w:r>
      <w:r w:rsidR="0079515C">
        <w:rPr>
          <w:bCs/>
          <w:spacing w:val="-2"/>
          <w:lang w:val="en-US"/>
        </w:rPr>
        <w:t>predictab</w:t>
      </w:r>
      <w:r w:rsidR="0079515C" w:rsidRPr="008A1DB4">
        <w:rPr>
          <w:bCs/>
          <w:spacing w:val="-2"/>
          <w:lang w:val="en-US"/>
        </w:rPr>
        <w:t>ility</w:t>
      </w:r>
      <w:r w:rsidRPr="008A1DB4">
        <w:rPr>
          <w:bCs/>
          <w:spacing w:val="-2"/>
          <w:lang w:val="en-US"/>
        </w:rPr>
        <w:t xml:space="preserve"> of the duration of the detention constituted an addit</w:t>
      </w:r>
      <w:r w:rsidR="003D2FF4">
        <w:rPr>
          <w:bCs/>
          <w:spacing w:val="-2"/>
          <w:lang w:val="en-US"/>
        </w:rPr>
        <w:t>ional element of the arbitrariness</w:t>
      </w:r>
      <w:r w:rsidRPr="008A1DB4">
        <w:rPr>
          <w:bCs/>
          <w:spacing w:val="-2"/>
          <w:lang w:val="en-US"/>
        </w:rPr>
        <w:t xml:space="preserve"> of the detention, which </w:t>
      </w:r>
      <w:r w:rsidR="0079515C" w:rsidRPr="008A1DB4">
        <w:rPr>
          <w:bCs/>
          <w:spacing w:val="-2"/>
          <w:lang w:val="en-US"/>
        </w:rPr>
        <w:t>has</w:t>
      </w:r>
      <w:r w:rsidRPr="008A1DB4">
        <w:rPr>
          <w:bCs/>
          <w:spacing w:val="-2"/>
          <w:lang w:val="en-US"/>
        </w:rPr>
        <w:t xml:space="preserve"> already been declared in </w:t>
      </w:r>
      <w:bookmarkEnd w:id="1043"/>
      <w:r w:rsidR="00776D24" w:rsidRPr="008A1DB4">
        <w:rPr>
          <w:bCs/>
          <w:spacing w:val="-2"/>
          <w:lang w:val="en-US"/>
        </w:rPr>
        <w:t>paragraph</w:t>
      </w:r>
      <w:r w:rsidR="00023C52" w:rsidRPr="008A1DB4">
        <w:rPr>
          <w:bCs/>
          <w:spacing w:val="-2"/>
          <w:lang w:val="en-US"/>
        </w:rPr>
        <w:t xml:space="preserve"> </w:t>
      </w:r>
      <w:r w:rsidR="00023C52" w:rsidRPr="008A1DB4">
        <w:rPr>
          <w:bCs/>
          <w:spacing w:val="-2"/>
          <w:lang w:val="en-US"/>
        </w:rPr>
        <w:fldChar w:fldCharType="begin"/>
      </w:r>
      <w:r w:rsidR="00023C52" w:rsidRPr="008A1DB4">
        <w:rPr>
          <w:bCs/>
          <w:spacing w:val="-2"/>
          <w:lang w:val="en-US"/>
        </w:rPr>
        <w:instrText xml:space="preserve"> REF _Ref419392557 \r \h </w:instrText>
      </w:r>
      <w:r w:rsidR="00DC41F4" w:rsidRPr="008A1DB4">
        <w:rPr>
          <w:bCs/>
          <w:spacing w:val="-2"/>
          <w:lang w:val="en-US"/>
        </w:rPr>
        <w:instrText xml:space="preserve"> \* MERGEFORMAT </w:instrText>
      </w:r>
      <w:r w:rsidR="00023C52" w:rsidRPr="008A1DB4">
        <w:rPr>
          <w:bCs/>
          <w:spacing w:val="-2"/>
          <w:lang w:val="en-US"/>
        </w:rPr>
      </w:r>
      <w:r w:rsidR="00023C52" w:rsidRPr="008A1DB4">
        <w:rPr>
          <w:bCs/>
          <w:spacing w:val="-2"/>
          <w:lang w:val="en-US"/>
        </w:rPr>
        <w:fldChar w:fldCharType="separate"/>
      </w:r>
      <w:r w:rsidR="00E961FA" w:rsidRPr="008A1DB4">
        <w:rPr>
          <w:bCs/>
          <w:spacing w:val="-2"/>
          <w:lang w:val="en-US"/>
        </w:rPr>
        <w:t>253</w:t>
      </w:r>
      <w:r w:rsidR="00023C52" w:rsidRPr="008A1DB4">
        <w:rPr>
          <w:bCs/>
          <w:spacing w:val="-2"/>
          <w:lang w:val="en-US"/>
        </w:rPr>
        <w:fldChar w:fldCharType="end"/>
      </w:r>
      <w:r w:rsidR="00023C52" w:rsidRPr="008A1DB4">
        <w:rPr>
          <w:bCs/>
          <w:spacing w:val="-2"/>
          <w:lang w:val="en-US"/>
        </w:rPr>
        <w:t xml:space="preserve"> </w:t>
      </w:r>
      <w:r w:rsidR="00023C52" w:rsidRPr="008A1DB4">
        <w:rPr>
          <w:bCs/>
          <w:i/>
          <w:spacing w:val="-2"/>
          <w:lang w:val="en-US"/>
        </w:rPr>
        <w:t>supra</w:t>
      </w:r>
      <w:r w:rsidR="00023C52" w:rsidRPr="008A1DB4">
        <w:rPr>
          <w:bCs/>
          <w:spacing w:val="-2"/>
          <w:lang w:val="en-US"/>
        </w:rPr>
        <w:t>.</w:t>
      </w:r>
      <w:bookmarkEnd w:id="1044"/>
    </w:p>
    <w:p w14:paraId="7BF8AA23" w14:textId="77777777" w:rsidR="00601B3D" w:rsidRPr="008A1DB4" w:rsidRDefault="00601B3D" w:rsidP="00956E97">
      <w:pPr>
        <w:pStyle w:val="ListParagraph"/>
        <w:tabs>
          <w:tab w:val="left" w:pos="567"/>
        </w:tabs>
        <w:ind w:left="0"/>
        <w:contextualSpacing w:val="0"/>
        <w:rPr>
          <w:color w:val="000000" w:themeColor="text1"/>
          <w:spacing w:val="-2"/>
          <w:szCs w:val="20"/>
          <w:lang w:val="en-US"/>
        </w:rPr>
      </w:pPr>
    </w:p>
    <w:p w14:paraId="0DA3EF63" w14:textId="532EC317" w:rsidR="00601B3D" w:rsidRPr="008A1DB4" w:rsidRDefault="004F0750" w:rsidP="00956E97">
      <w:pPr>
        <w:pStyle w:val="PrrafodeSentencia"/>
        <w:rPr>
          <w:spacing w:val="-2"/>
          <w:lang w:val="en-US"/>
        </w:rPr>
      </w:pPr>
      <w:bookmarkStart w:id="1045" w:name="_Ref419392682"/>
      <w:r w:rsidRPr="008A1DB4">
        <w:rPr>
          <w:spacing w:val="-2"/>
          <w:lang w:val="en-US"/>
        </w:rPr>
        <w:t>Nevertheless, the Court notes that, although it is not expressly established in the pertinent laws, the duration of the proceedings was analyzed in at least</w:t>
      </w:r>
      <w:r w:rsidR="003D2FF4">
        <w:rPr>
          <w:spacing w:val="-2"/>
          <w:lang w:val="en-US"/>
        </w:rPr>
        <w:t xml:space="preserve"> three decisions concerning </w:t>
      </w:r>
      <w:r w:rsidRPr="008A1DB4">
        <w:rPr>
          <w:spacing w:val="-2"/>
          <w:lang w:val="en-US"/>
        </w:rPr>
        <w:t>Wong Ho Win</w:t>
      </w:r>
      <w:r w:rsidR="003D2FF4">
        <w:rPr>
          <w:spacing w:val="-2"/>
          <w:lang w:val="en-US"/>
        </w:rPr>
        <w:t>g’s detention</w:t>
      </w:r>
      <w:r w:rsidRPr="008A1DB4">
        <w:rPr>
          <w:spacing w:val="-2"/>
          <w:lang w:val="en-US"/>
        </w:rPr>
        <w:t>.</w:t>
      </w:r>
      <w:r w:rsidR="00601B3D" w:rsidRPr="008A1DB4">
        <w:rPr>
          <w:rStyle w:val="FootnoteReference"/>
          <w:spacing w:val="-2"/>
          <w:lang w:val="en-US"/>
        </w:rPr>
        <w:footnoteReference w:id="348"/>
      </w:r>
      <w:r w:rsidRPr="008A1DB4">
        <w:rPr>
          <w:spacing w:val="-2"/>
          <w:lang w:val="en-US"/>
        </w:rPr>
        <w:t xml:space="preserve"> Although only o</w:t>
      </w:r>
      <w:r w:rsidR="003D2FF4">
        <w:rPr>
          <w:spacing w:val="-2"/>
          <w:lang w:val="en-US"/>
        </w:rPr>
        <w:t>ne of tho</w:t>
      </w:r>
      <w:r w:rsidRPr="008A1DB4">
        <w:rPr>
          <w:spacing w:val="-2"/>
          <w:lang w:val="en-US"/>
        </w:rPr>
        <w:t>se decisions was in favor of</w:t>
      </w:r>
      <w:r w:rsidR="00601B3D" w:rsidRPr="008A1DB4">
        <w:rPr>
          <w:spacing w:val="-2"/>
          <w:lang w:val="en-US"/>
        </w:rPr>
        <w:t xml:space="preserve"> </w:t>
      </w:r>
      <w:r w:rsidR="00C45946" w:rsidRPr="008A1DB4">
        <w:rPr>
          <w:spacing w:val="-2"/>
          <w:lang w:val="en-US"/>
        </w:rPr>
        <w:t xml:space="preserve">the </w:t>
      </w:r>
      <w:r w:rsidR="00F36400" w:rsidRPr="008A1DB4">
        <w:rPr>
          <w:spacing w:val="-2"/>
          <w:lang w:val="en-US"/>
        </w:rPr>
        <w:t>presumed victim</w:t>
      </w:r>
      <w:r w:rsidR="00601B3D" w:rsidRPr="008A1DB4">
        <w:rPr>
          <w:spacing w:val="-2"/>
          <w:lang w:val="en-US"/>
        </w:rPr>
        <w:t xml:space="preserve">, </w:t>
      </w:r>
      <w:r w:rsidR="00C45946" w:rsidRPr="008A1DB4">
        <w:rPr>
          <w:spacing w:val="-2"/>
          <w:lang w:val="en-US"/>
        </w:rPr>
        <w:t>the representative</w:t>
      </w:r>
      <w:r w:rsidR="00601B3D" w:rsidRPr="008A1DB4">
        <w:rPr>
          <w:spacing w:val="-2"/>
          <w:lang w:val="en-US"/>
        </w:rPr>
        <w:t xml:space="preserve"> </w:t>
      </w:r>
      <w:r w:rsidRPr="008A1DB4">
        <w:rPr>
          <w:spacing w:val="-2"/>
          <w:lang w:val="en-US"/>
        </w:rPr>
        <w:t xml:space="preserve">has not </w:t>
      </w:r>
      <w:r w:rsidR="003D2FF4">
        <w:rPr>
          <w:spacing w:val="-2"/>
          <w:lang w:val="en-US"/>
        </w:rPr>
        <w:t>provided sufficient arguments as to</w:t>
      </w:r>
      <w:r w:rsidRPr="008A1DB4">
        <w:rPr>
          <w:spacing w:val="-2"/>
          <w:lang w:val="en-US"/>
        </w:rPr>
        <w:t xml:space="preserve"> why the absence of express regulation would violate </w:t>
      </w:r>
      <w:r w:rsidR="00F36400" w:rsidRPr="008A1DB4">
        <w:rPr>
          <w:spacing w:val="-2"/>
          <w:lang w:val="en-US"/>
        </w:rPr>
        <w:t>Article</w:t>
      </w:r>
      <w:r w:rsidR="00601B3D" w:rsidRPr="008A1DB4">
        <w:rPr>
          <w:spacing w:val="-2"/>
          <w:lang w:val="en-US"/>
        </w:rPr>
        <w:t xml:space="preserve"> 2</w:t>
      </w:r>
      <w:r w:rsidR="00F8797B" w:rsidRPr="008A1DB4">
        <w:rPr>
          <w:rStyle w:val="FootnoteReference"/>
          <w:spacing w:val="-2"/>
          <w:lang w:val="en-US"/>
        </w:rPr>
        <w:footnoteReference w:id="349"/>
      </w:r>
      <w:r w:rsidR="00F36400" w:rsidRPr="008A1DB4">
        <w:rPr>
          <w:spacing w:val="-2"/>
          <w:lang w:val="en-US"/>
        </w:rPr>
        <w:t xml:space="preserve"> of the Convention</w:t>
      </w:r>
      <w:r w:rsidR="00601B3D" w:rsidRPr="008A1DB4">
        <w:rPr>
          <w:spacing w:val="-2"/>
          <w:lang w:val="en-US"/>
        </w:rPr>
        <w:t>.</w:t>
      </w:r>
      <w:bookmarkEnd w:id="1045"/>
      <w:r w:rsidR="00601B3D" w:rsidRPr="008A1DB4">
        <w:rPr>
          <w:spacing w:val="-2"/>
          <w:lang w:val="en-US"/>
        </w:rPr>
        <w:t xml:space="preserve"> </w:t>
      </w:r>
      <w:r w:rsidRPr="008A1DB4">
        <w:rPr>
          <w:spacing w:val="-2"/>
          <w:lang w:val="en-US"/>
        </w:rPr>
        <w:t xml:space="preserve">Consequently, this Court finds that it is not in order to rule on the alleged failure to comply with the obligation to adopt domestic legal provisions established in </w:t>
      </w:r>
      <w:r w:rsidR="00F36400" w:rsidRPr="008A1DB4">
        <w:rPr>
          <w:spacing w:val="-2"/>
          <w:lang w:val="en-US"/>
        </w:rPr>
        <w:t>Article</w:t>
      </w:r>
      <w:r w:rsidR="00DB539A" w:rsidRPr="008A1DB4">
        <w:rPr>
          <w:spacing w:val="-2"/>
          <w:lang w:val="en-US"/>
        </w:rPr>
        <w:t xml:space="preserve"> 2</w:t>
      </w:r>
      <w:r w:rsidR="00F36400" w:rsidRPr="008A1DB4">
        <w:rPr>
          <w:spacing w:val="-2"/>
          <w:lang w:val="en-US"/>
        </w:rPr>
        <w:t xml:space="preserve"> of the Convention</w:t>
      </w:r>
      <w:r w:rsidR="00DB539A" w:rsidRPr="008A1DB4">
        <w:rPr>
          <w:spacing w:val="-2"/>
          <w:lang w:val="en-US"/>
        </w:rPr>
        <w:t>.</w:t>
      </w:r>
    </w:p>
    <w:p w14:paraId="65236761" w14:textId="77777777" w:rsidR="00601B3D" w:rsidRPr="008A1DB4" w:rsidRDefault="00601B3D" w:rsidP="00956E97">
      <w:pPr>
        <w:rPr>
          <w:spacing w:val="-2"/>
          <w:sz w:val="18"/>
          <w:szCs w:val="18"/>
          <w:lang w:val="en-US"/>
        </w:rPr>
      </w:pPr>
    </w:p>
    <w:p w14:paraId="1A41D9D8" w14:textId="6FE12F61" w:rsidR="00601B3D" w:rsidRPr="008A1DB4" w:rsidRDefault="00601B3D" w:rsidP="00956E97">
      <w:pPr>
        <w:pStyle w:val="PrrafodeSentencia"/>
        <w:rPr>
          <w:spacing w:val="-2"/>
          <w:lang w:val="en-US"/>
        </w:rPr>
      </w:pPr>
      <w:r w:rsidRPr="008A1DB4">
        <w:rPr>
          <w:spacing w:val="-2"/>
          <w:lang w:val="en-US"/>
        </w:rPr>
        <w:t>Re</w:t>
      </w:r>
      <w:r w:rsidR="004F0750" w:rsidRPr="008A1DB4">
        <w:rPr>
          <w:spacing w:val="-2"/>
          <w:lang w:val="en-US"/>
        </w:rPr>
        <w:t xml:space="preserve">garding the State’s arguments in relation to the failure to file an application for </w:t>
      </w:r>
      <w:r w:rsidR="00E022F9" w:rsidRPr="008A1DB4">
        <w:rPr>
          <w:i/>
          <w:spacing w:val="-2"/>
          <w:lang w:val="en-US"/>
        </w:rPr>
        <w:t>habeas corpus</w:t>
      </w:r>
      <w:r w:rsidR="0017753F" w:rsidRPr="008A1DB4">
        <w:rPr>
          <w:spacing w:val="-2"/>
          <w:lang w:val="en-US"/>
        </w:rPr>
        <w:t xml:space="preserve"> </w:t>
      </w:r>
      <w:r w:rsidR="0017753F" w:rsidRPr="008A1DB4">
        <w:rPr>
          <w:bCs/>
          <w:spacing w:val="-2"/>
          <w:lang w:val="en-US"/>
        </w:rPr>
        <w:t>(</w:t>
      </w:r>
      <w:r w:rsidR="0017753F" w:rsidRPr="008A1DB4">
        <w:rPr>
          <w:bCs/>
          <w:i/>
          <w:spacing w:val="-2"/>
          <w:lang w:val="en-US"/>
        </w:rPr>
        <w:t xml:space="preserve">supra </w:t>
      </w:r>
      <w:r w:rsidR="00C45946" w:rsidRPr="008A1DB4">
        <w:rPr>
          <w:bCs/>
          <w:spacing w:val="-2"/>
          <w:lang w:val="en-US"/>
        </w:rPr>
        <w:t xml:space="preserve">para. </w:t>
      </w:r>
      <w:r w:rsidR="0017753F" w:rsidRPr="008A1DB4">
        <w:rPr>
          <w:bCs/>
          <w:spacing w:val="-2"/>
          <w:lang w:val="en-US"/>
        </w:rPr>
        <w:fldChar w:fldCharType="begin"/>
      </w:r>
      <w:r w:rsidR="0017753F" w:rsidRPr="008A1DB4">
        <w:rPr>
          <w:bCs/>
          <w:spacing w:val="-2"/>
          <w:lang w:val="en-US"/>
        </w:rPr>
        <w:instrText xml:space="preserve"> REF _Ref428976982 \r \h </w:instrText>
      </w:r>
      <w:r w:rsidR="00DC41F4" w:rsidRPr="008A1DB4">
        <w:rPr>
          <w:bCs/>
          <w:spacing w:val="-2"/>
          <w:lang w:val="en-US"/>
        </w:rPr>
        <w:instrText xml:space="preserve"> \* MERGEFORMAT </w:instrText>
      </w:r>
      <w:r w:rsidR="0017753F" w:rsidRPr="008A1DB4">
        <w:rPr>
          <w:bCs/>
          <w:spacing w:val="-2"/>
          <w:lang w:val="en-US"/>
        </w:rPr>
      </w:r>
      <w:r w:rsidR="0017753F" w:rsidRPr="008A1DB4">
        <w:rPr>
          <w:bCs/>
          <w:spacing w:val="-2"/>
          <w:lang w:val="en-US"/>
        </w:rPr>
        <w:fldChar w:fldCharType="separate"/>
      </w:r>
      <w:r w:rsidR="00E961FA" w:rsidRPr="008A1DB4">
        <w:rPr>
          <w:bCs/>
          <w:spacing w:val="-2"/>
          <w:lang w:val="en-US"/>
        </w:rPr>
        <w:t>246</w:t>
      </w:r>
      <w:r w:rsidR="0017753F" w:rsidRPr="008A1DB4">
        <w:rPr>
          <w:bCs/>
          <w:spacing w:val="-2"/>
          <w:lang w:val="en-US"/>
        </w:rPr>
        <w:fldChar w:fldCharType="end"/>
      </w:r>
      <w:r w:rsidR="0017753F" w:rsidRPr="008A1DB4">
        <w:rPr>
          <w:bCs/>
          <w:spacing w:val="-2"/>
          <w:lang w:val="en-US"/>
        </w:rPr>
        <w:t>)</w:t>
      </w:r>
      <w:r w:rsidRPr="008A1DB4">
        <w:rPr>
          <w:spacing w:val="-2"/>
          <w:lang w:val="en-US"/>
        </w:rPr>
        <w:t xml:space="preserve">, </w:t>
      </w:r>
      <w:r w:rsidR="004F0750" w:rsidRPr="008A1DB4">
        <w:rPr>
          <w:spacing w:val="-2"/>
          <w:lang w:val="en-US"/>
        </w:rPr>
        <w:t>it should be emphasized that these arguments refer to a discussion on admissibility and not on merits, so that it is not necessary to analyze them at this time.</w:t>
      </w:r>
    </w:p>
    <w:p w14:paraId="6B4EF2A2" w14:textId="77777777" w:rsidR="00601B3D" w:rsidRPr="008A1DB4" w:rsidRDefault="00601B3D" w:rsidP="00956E97">
      <w:pPr>
        <w:pStyle w:val="ListParagraph"/>
        <w:tabs>
          <w:tab w:val="left" w:pos="567"/>
        </w:tabs>
        <w:ind w:left="0"/>
        <w:contextualSpacing w:val="0"/>
        <w:rPr>
          <w:b/>
          <w:spacing w:val="-2"/>
          <w:szCs w:val="20"/>
          <w:lang w:val="en-US"/>
        </w:rPr>
      </w:pPr>
    </w:p>
    <w:p w14:paraId="4EBF0F69" w14:textId="145D2A2B" w:rsidR="00601B3D" w:rsidRPr="008A1DB4" w:rsidRDefault="00601B3D" w:rsidP="00956E97">
      <w:pPr>
        <w:pStyle w:val="Heading1"/>
        <w:rPr>
          <w:spacing w:val="-2"/>
          <w:lang w:val="en-US"/>
        </w:rPr>
      </w:pPr>
      <w:bookmarkStart w:id="1046" w:name="_Toc418912637"/>
      <w:bookmarkStart w:id="1047" w:name="_Toc419394434"/>
      <w:bookmarkStart w:id="1048" w:name="_Toc429490293"/>
      <w:bookmarkStart w:id="1049" w:name="_Toc429503807"/>
      <w:bookmarkStart w:id="1050" w:name="_Toc429504313"/>
      <w:bookmarkStart w:id="1051" w:name="_Toc429678026"/>
      <w:bookmarkStart w:id="1052" w:name="_Toc430017189"/>
      <w:bookmarkStart w:id="1053" w:name="_Toc430017418"/>
      <w:bookmarkStart w:id="1054" w:name="_Toc430018700"/>
      <w:bookmarkStart w:id="1055" w:name="_Toc430125298"/>
      <w:bookmarkStart w:id="1056" w:name="_Toc430125406"/>
      <w:r w:rsidRPr="008A1DB4">
        <w:rPr>
          <w:spacing w:val="-2"/>
          <w:lang w:val="en-US"/>
        </w:rPr>
        <w:t xml:space="preserve">B. </w:t>
      </w:r>
      <w:r w:rsidR="00776774" w:rsidRPr="008A1DB4">
        <w:rPr>
          <w:spacing w:val="-2"/>
          <w:lang w:val="en-US"/>
        </w:rPr>
        <w:t>The alleged unlawful and arbitrary nature of the detention after the</w:t>
      </w:r>
      <w:r w:rsidRPr="008A1DB4">
        <w:rPr>
          <w:spacing w:val="-2"/>
          <w:lang w:val="en-US"/>
        </w:rPr>
        <w:t xml:space="preserv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bookmarkEnd w:id="1046"/>
      <w:bookmarkEnd w:id="1047"/>
      <w:bookmarkEnd w:id="1048"/>
      <w:bookmarkEnd w:id="1049"/>
      <w:bookmarkEnd w:id="1050"/>
      <w:bookmarkEnd w:id="1051"/>
      <w:bookmarkEnd w:id="1052"/>
      <w:bookmarkEnd w:id="1053"/>
      <w:bookmarkEnd w:id="1054"/>
      <w:bookmarkEnd w:id="1055"/>
      <w:bookmarkEnd w:id="1056"/>
    </w:p>
    <w:p w14:paraId="12BF11FA" w14:textId="77777777" w:rsidR="00601B3D" w:rsidRPr="008A1DB4" w:rsidRDefault="00601B3D" w:rsidP="00956E97">
      <w:pPr>
        <w:rPr>
          <w:spacing w:val="-2"/>
          <w:szCs w:val="20"/>
          <w:lang w:val="en-US"/>
        </w:rPr>
      </w:pPr>
    </w:p>
    <w:p w14:paraId="47216DB3" w14:textId="03889D82" w:rsidR="00601B3D" w:rsidRPr="008A1DB4" w:rsidRDefault="00601B3D" w:rsidP="00956E97">
      <w:pPr>
        <w:pStyle w:val="Heading2"/>
        <w:rPr>
          <w:spacing w:val="-2"/>
          <w:lang w:val="en-US"/>
        </w:rPr>
      </w:pPr>
      <w:bookmarkStart w:id="1057" w:name="_Toc430018701"/>
      <w:bookmarkStart w:id="1058" w:name="_Toc430125299"/>
      <w:bookmarkStart w:id="1059" w:name="_Toc430125407"/>
      <w:bookmarkStart w:id="1060" w:name="_Toc418074102"/>
      <w:bookmarkStart w:id="1061" w:name="_Toc418503907"/>
      <w:bookmarkStart w:id="1062" w:name="_Toc418912638"/>
      <w:bookmarkStart w:id="1063" w:name="_Toc419394435"/>
      <w:bookmarkStart w:id="1064" w:name="_Toc429490294"/>
      <w:bookmarkStart w:id="1065" w:name="_Toc429503808"/>
      <w:bookmarkStart w:id="1066" w:name="_Toc429504314"/>
      <w:bookmarkStart w:id="1067" w:name="_Toc429678027"/>
      <w:bookmarkStart w:id="1068" w:name="_Toc430017190"/>
      <w:bookmarkStart w:id="1069" w:name="_Toc430017419"/>
      <w:r w:rsidRPr="008A1DB4">
        <w:rPr>
          <w:spacing w:val="-2"/>
          <w:lang w:val="en-US"/>
        </w:rPr>
        <w:t xml:space="preserve">B.1) </w:t>
      </w:r>
      <w:r w:rsidR="0058668C" w:rsidRPr="008A1DB4">
        <w:rPr>
          <w:spacing w:val="-2"/>
          <w:lang w:val="en-US"/>
        </w:rPr>
        <w:t>Arguments</w:t>
      </w:r>
      <w:r w:rsidR="00FA077F"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1057"/>
      <w:bookmarkEnd w:id="1058"/>
      <w:bookmarkEnd w:id="1059"/>
      <w:r w:rsidRPr="008A1DB4">
        <w:rPr>
          <w:spacing w:val="-2"/>
          <w:lang w:val="en-US"/>
        </w:rPr>
        <w:t xml:space="preserve"> </w:t>
      </w:r>
      <w:bookmarkEnd w:id="1060"/>
      <w:bookmarkEnd w:id="1061"/>
      <w:bookmarkEnd w:id="1062"/>
      <w:bookmarkEnd w:id="1063"/>
      <w:bookmarkEnd w:id="1064"/>
      <w:bookmarkEnd w:id="1065"/>
      <w:bookmarkEnd w:id="1066"/>
      <w:bookmarkEnd w:id="1067"/>
      <w:bookmarkEnd w:id="1068"/>
      <w:bookmarkEnd w:id="1069"/>
    </w:p>
    <w:p w14:paraId="687A499C" w14:textId="77777777" w:rsidR="00601B3D" w:rsidRPr="008A1DB4" w:rsidRDefault="00601B3D" w:rsidP="00956E97">
      <w:pPr>
        <w:pStyle w:val="ListParagraph"/>
        <w:tabs>
          <w:tab w:val="left" w:pos="567"/>
        </w:tabs>
        <w:ind w:left="0"/>
        <w:contextualSpacing w:val="0"/>
        <w:rPr>
          <w:spacing w:val="-2"/>
          <w:szCs w:val="20"/>
          <w:lang w:val="en-US"/>
        </w:rPr>
      </w:pPr>
    </w:p>
    <w:p w14:paraId="3666E0DB" w14:textId="665C0E01" w:rsidR="00601B3D" w:rsidRPr="008A1DB4" w:rsidRDefault="00F36400" w:rsidP="004F0750">
      <w:pPr>
        <w:pStyle w:val="PrrafodeSentencia"/>
        <w:rPr>
          <w:spacing w:val="-2"/>
          <w:lang w:val="en-US"/>
        </w:rPr>
      </w:pPr>
      <w:bookmarkStart w:id="1070" w:name="_Ref428979025"/>
      <w:r w:rsidRPr="00F74C05">
        <w:rPr>
          <w:spacing w:val="-2"/>
          <w:lang w:val="en-US"/>
        </w:rPr>
        <w:t>The Commission</w:t>
      </w:r>
      <w:r w:rsidR="00601B3D" w:rsidRPr="00F74C05">
        <w:rPr>
          <w:b/>
          <w:i/>
          <w:spacing w:val="-2"/>
          <w:lang w:val="en-US"/>
        </w:rPr>
        <w:t xml:space="preserve"> </w:t>
      </w:r>
      <w:r w:rsidR="00601B3D" w:rsidRPr="00F74C05">
        <w:rPr>
          <w:spacing w:val="-2"/>
          <w:lang w:val="en-US"/>
        </w:rPr>
        <w:t>a</w:t>
      </w:r>
      <w:r w:rsidR="004F0750" w:rsidRPr="00F74C05">
        <w:rPr>
          <w:spacing w:val="-2"/>
          <w:lang w:val="en-US"/>
        </w:rPr>
        <w:t xml:space="preserve">rgued that </w:t>
      </w:r>
      <w:r w:rsidR="00601B3D" w:rsidRPr="00F74C05">
        <w:rPr>
          <w:spacing w:val="-2"/>
          <w:lang w:val="en-US"/>
        </w:rPr>
        <w:t>“</w:t>
      </w:r>
      <w:r w:rsidR="001E7113" w:rsidRPr="00F74C05">
        <w:rPr>
          <w:spacing w:val="-2"/>
          <w:lang w:val="en-US"/>
        </w:rPr>
        <w:t>Wong</w:t>
      </w:r>
      <w:r w:rsidR="00601B3D" w:rsidRPr="00F74C05">
        <w:rPr>
          <w:spacing w:val="-2"/>
          <w:lang w:val="en-US"/>
        </w:rPr>
        <w:t xml:space="preserve"> Ho Wing </w:t>
      </w:r>
      <w:r w:rsidR="004F0750" w:rsidRPr="00F74C05">
        <w:rPr>
          <w:spacing w:val="-2"/>
          <w:lang w:val="en-US"/>
        </w:rPr>
        <w:t xml:space="preserve">remains deprived of liberty without </w:t>
      </w:r>
      <w:r w:rsidR="0079515C" w:rsidRPr="00F74C05">
        <w:rPr>
          <w:spacing w:val="-2"/>
          <w:lang w:val="en-US"/>
        </w:rPr>
        <w:t>any</w:t>
      </w:r>
      <w:r w:rsidR="004F0750" w:rsidRPr="00F74C05">
        <w:rPr>
          <w:spacing w:val="-2"/>
          <w:lang w:val="en-US"/>
        </w:rPr>
        <w:t xml:space="preserve"> legal</w:t>
      </w:r>
      <w:r w:rsidR="004F0750" w:rsidRPr="008A1DB4">
        <w:rPr>
          <w:spacing w:val="-2"/>
          <w:lang w:val="en-US"/>
        </w:rPr>
        <w:t xml:space="preserve"> justification […] because the purpose of his arrest – that is, to ensure his eventual extradition – became pointless […] following the order of the Constitutional Court not to extradite him,” and “no criminal proceeding has been instituted in Peru […], under which there would have to be a court order for his pre-trial detention </w:t>
      </w:r>
      <w:r w:rsidR="00F74C05">
        <w:rPr>
          <w:spacing w:val="-2"/>
          <w:lang w:val="en-US"/>
        </w:rPr>
        <w:t>in accordance with</w:t>
      </w:r>
      <w:r w:rsidR="004F0750" w:rsidRPr="008A1DB4">
        <w:rPr>
          <w:spacing w:val="-2"/>
          <w:lang w:val="en-US"/>
        </w:rPr>
        <w:t xml:space="preserve"> the Convention.” Therefore, this “situation of legal limbo […] constitutes an additional element of arbitrariness in light </w:t>
      </w:r>
      <w:r w:rsidR="0058668C" w:rsidRPr="008A1DB4">
        <w:rPr>
          <w:spacing w:val="-2"/>
          <w:lang w:val="en-US"/>
        </w:rPr>
        <w:t xml:space="preserve">of </w:t>
      </w:r>
      <w:r w:rsidR="00851076" w:rsidRPr="008A1DB4">
        <w:rPr>
          <w:spacing w:val="-2"/>
          <w:lang w:val="en-US"/>
        </w:rPr>
        <w:t>Article 7(3)</w:t>
      </w:r>
      <w:r w:rsidRPr="008A1DB4">
        <w:rPr>
          <w:spacing w:val="-2"/>
          <w:lang w:val="en-US"/>
        </w:rPr>
        <w:t xml:space="preserve"> of the Convention</w:t>
      </w:r>
      <w:r w:rsidR="004F0750" w:rsidRPr="008A1DB4">
        <w:rPr>
          <w:spacing w:val="-2"/>
          <w:lang w:val="en-US"/>
        </w:rPr>
        <w:t>.”</w:t>
      </w:r>
      <w:r w:rsidR="00601B3D" w:rsidRPr="008A1DB4">
        <w:rPr>
          <w:spacing w:val="-2"/>
          <w:lang w:val="en-US"/>
        </w:rPr>
        <w:t xml:space="preserve"> </w:t>
      </w:r>
      <w:r w:rsidRPr="008A1DB4">
        <w:rPr>
          <w:spacing w:val="-2"/>
          <w:lang w:val="en-US"/>
        </w:rPr>
        <w:t>The Commission</w:t>
      </w:r>
      <w:r w:rsidR="00601B3D" w:rsidRPr="008A1DB4">
        <w:rPr>
          <w:b/>
          <w:i/>
          <w:spacing w:val="-2"/>
          <w:lang w:val="en-US"/>
        </w:rPr>
        <w:t xml:space="preserve"> </w:t>
      </w:r>
      <w:r w:rsidR="004F0750" w:rsidRPr="008A1DB4">
        <w:rPr>
          <w:spacing w:val="-2"/>
          <w:lang w:val="en-US"/>
        </w:rPr>
        <w:t xml:space="preserve">has not ruled on the alleged unlawfulness of the detention. Meanwhile, </w:t>
      </w:r>
      <w:r w:rsidR="00C45946" w:rsidRPr="008A1DB4">
        <w:rPr>
          <w:spacing w:val="-2"/>
          <w:lang w:val="en-US"/>
        </w:rPr>
        <w:t>the representative</w:t>
      </w:r>
      <w:r w:rsidR="00601B3D" w:rsidRPr="008A1DB4">
        <w:rPr>
          <w:spacing w:val="-2"/>
          <w:lang w:val="en-US"/>
        </w:rPr>
        <w:t xml:space="preserve"> </w:t>
      </w:r>
      <w:r w:rsidR="004F0750" w:rsidRPr="008A1DB4">
        <w:rPr>
          <w:spacing w:val="-2"/>
          <w:lang w:val="en-US"/>
        </w:rPr>
        <w:t xml:space="preserve">argued that </w:t>
      </w:r>
      <w:r w:rsidRPr="008A1DB4">
        <w:rPr>
          <w:spacing w:val="-2"/>
          <w:lang w:val="en-US"/>
        </w:rPr>
        <w:t>the State</w:t>
      </w:r>
      <w:r w:rsidR="00601B3D" w:rsidRPr="008A1DB4">
        <w:rPr>
          <w:spacing w:val="-2"/>
          <w:lang w:val="en-US"/>
        </w:rPr>
        <w:t xml:space="preserve"> </w:t>
      </w:r>
      <w:r w:rsidR="004F0750" w:rsidRPr="008A1DB4">
        <w:rPr>
          <w:spacing w:val="-2"/>
          <w:lang w:val="en-US"/>
        </w:rPr>
        <w:t>had violated</w:t>
      </w:r>
      <w:r w:rsidR="00601B3D" w:rsidRPr="008A1DB4">
        <w:rPr>
          <w:spacing w:val="-2"/>
          <w:lang w:val="en-US"/>
        </w:rPr>
        <w:t xml:space="preserve"> </w:t>
      </w:r>
      <w:r w:rsidRPr="008A1DB4">
        <w:rPr>
          <w:spacing w:val="-2"/>
          <w:lang w:val="en-US"/>
        </w:rPr>
        <w:t>Article</w:t>
      </w:r>
      <w:r w:rsidR="00776774" w:rsidRPr="008A1DB4">
        <w:rPr>
          <w:spacing w:val="-2"/>
          <w:lang w:val="en-US"/>
        </w:rPr>
        <w:t xml:space="preserve"> 7(</w:t>
      </w:r>
      <w:r w:rsidR="00601B3D" w:rsidRPr="008A1DB4">
        <w:rPr>
          <w:spacing w:val="-2"/>
          <w:lang w:val="en-US"/>
        </w:rPr>
        <w:t>2</w:t>
      </w:r>
      <w:r w:rsidR="00776774" w:rsidRPr="008A1DB4">
        <w:rPr>
          <w:spacing w:val="-2"/>
          <w:lang w:val="en-US"/>
        </w:rPr>
        <w:t>)</w:t>
      </w:r>
      <w:r w:rsidRPr="008A1DB4">
        <w:rPr>
          <w:spacing w:val="-2"/>
          <w:lang w:val="en-US"/>
        </w:rPr>
        <w:t xml:space="preserve"> and </w:t>
      </w:r>
      <w:r w:rsidR="00776774" w:rsidRPr="008A1DB4">
        <w:rPr>
          <w:spacing w:val="-2"/>
          <w:lang w:val="en-US"/>
        </w:rPr>
        <w:t>7(</w:t>
      </w:r>
      <w:r w:rsidR="00601B3D" w:rsidRPr="008A1DB4">
        <w:rPr>
          <w:spacing w:val="-2"/>
          <w:lang w:val="en-US"/>
        </w:rPr>
        <w:t>3</w:t>
      </w:r>
      <w:r w:rsidR="00776774" w:rsidRPr="008A1DB4">
        <w:rPr>
          <w:spacing w:val="-2"/>
          <w:lang w:val="en-US"/>
        </w:rPr>
        <w:t>)</w:t>
      </w:r>
      <w:r w:rsidRPr="008A1DB4">
        <w:rPr>
          <w:spacing w:val="-2"/>
          <w:lang w:val="en-US"/>
        </w:rPr>
        <w:t xml:space="preserve"> of the Convention</w:t>
      </w:r>
      <w:r w:rsidR="00601B3D" w:rsidRPr="008A1DB4">
        <w:rPr>
          <w:spacing w:val="-2"/>
          <w:lang w:val="en-US"/>
        </w:rPr>
        <w:t xml:space="preserve"> “</w:t>
      </w:r>
      <w:r w:rsidR="004F0750" w:rsidRPr="008A1DB4">
        <w:rPr>
          <w:spacing w:val="-2"/>
          <w:lang w:val="en-US"/>
        </w:rPr>
        <w:t>because, [following the</w:t>
      </w:r>
      <w:r w:rsidR="00601B3D" w:rsidRPr="008A1DB4">
        <w:rPr>
          <w:spacing w:val="-2"/>
          <w:lang w:val="en-US"/>
        </w:rPr>
        <w:t xml:space="preserve"> </w:t>
      </w:r>
      <w:r w:rsidR="00A33F97" w:rsidRPr="008A1DB4">
        <w:rPr>
          <w:spacing w:val="-2"/>
          <w:lang w:val="en-US"/>
        </w:rPr>
        <w:t>decision</w:t>
      </w:r>
      <w:r w:rsidR="008065B7" w:rsidRPr="008A1DB4">
        <w:rPr>
          <w:spacing w:val="-2"/>
          <w:lang w:val="en-US"/>
        </w:rPr>
        <w:t xml:space="preserve"> of the Constitutional Court</w:t>
      </w:r>
      <w:r w:rsidR="00601B3D" w:rsidRPr="008A1DB4">
        <w:rPr>
          <w:spacing w:val="-2"/>
          <w:lang w:val="en-US"/>
        </w:rPr>
        <w:t>]</w:t>
      </w:r>
      <w:r w:rsidR="004F0750" w:rsidRPr="008A1DB4">
        <w:rPr>
          <w:spacing w:val="-2"/>
          <w:lang w:val="en-US"/>
        </w:rPr>
        <w:t>, there is no criminal proceeding or […] e</w:t>
      </w:r>
      <w:r w:rsidR="00F74C05">
        <w:rPr>
          <w:spacing w:val="-2"/>
          <w:lang w:val="en-US"/>
        </w:rPr>
        <w:t>xtradition proceeding against Wong Ho Wing</w:t>
      </w:r>
      <w:r w:rsidR="004F0750" w:rsidRPr="008A1DB4">
        <w:rPr>
          <w:spacing w:val="-2"/>
          <w:lang w:val="en-US"/>
        </w:rPr>
        <w:t xml:space="preserve"> that would legally justify the restriction of his </w:t>
      </w:r>
      <w:r w:rsidR="00776D24" w:rsidRPr="008A1DB4">
        <w:rPr>
          <w:spacing w:val="-2"/>
          <w:lang w:val="en-US"/>
        </w:rPr>
        <w:t>personal liberty</w:t>
      </w:r>
      <w:r w:rsidR="004F0750" w:rsidRPr="008A1DB4">
        <w:rPr>
          <w:spacing w:val="-2"/>
          <w:lang w:val="en-US"/>
        </w:rPr>
        <w:t>.”</w:t>
      </w:r>
      <w:r w:rsidR="00601B3D" w:rsidRPr="008A1DB4">
        <w:rPr>
          <w:spacing w:val="-2"/>
          <w:lang w:val="en-US"/>
        </w:rPr>
        <w:t xml:space="preserve"> </w:t>
      </w:r>
      <w:r w:rsidRPr="008A1DB4">
        <w:rPr>
          <w:spacing w:val="-2"/>
          <w:lang w:val="en-US"/>
        </w:rPr>
        <w:t>The State</w:t>
      </w:r>
      <w:r w:rsidR="00601B3D" w:rsidRPr="008A1DB4">
        <w:rPr>
          <w:b/>
          <w:spacing w:val="-2"/>
          <w:lang w:val="en-US"/>
        </w:rPr>
        <w:t xml:space="preserve"> </w:t>
      </w:r>
      <w:r w:rsidR="004F0750" w:rsidRPr="008A1DB4">
        <w:rPr>
          <w:spacing w:val="-2"/>
          <w:lang w:val="en-US"/>
        </w:rPr>
        <w:t xml:space="preserve">asked that the representative’s “claim to include in the analysis of the case the presumed violation of the said </w:t>
      </w:r>
      <w:r w:rsidR="004F0750" w:rsidRPr="008A1DB4">
        <w:rPr>
          <w:rFonts w:eastAsiaTheme="minorHAnsi"/>
          <w:spacing w:val="-2"/>
          <w:lang w:val="en-US"/>
        </w:rPr>
        <w:t>Article 7(2)</w:t>
      </w:r>
      <w:r w:rsidR="004F0750" w:rsidRPr="008A1DB4">
        <w:rPr>
          <w:spacing w:val="-2"/>
          <w:lang w:val="en-US"/>
        </w:rPr>
        <w:t xml:space="preserve"> be disregarded, because it </w:t>
      </w:r>
      <w:r w:rsidR="0079515C" w:rsidRPr="008A1DB4">
        <w:rPr>
          <w:spacing w:val="-2"/>
          <w:lang w:val="en-US"/>
        </w:rPr>
        <w:t>relates</w:t>
      </w:r>
      <w:r w:rsidR="004F0750" w:rsidRPr="008A1DB4">
        <w:rPr>
          <w:spacing w:val="-2"/>
          <w:lang w:val="en-US"/>
        </w:rPr>
        <w:t xml:space="preserve"> to facts that are outside </w:t>
      </w:r>
      <w:r w:rsidR="00776D24" w:rsidRPr="008A1DB4">
        <w:rPr>
          <w:rFonts w:eastAsiaTheme="minorHAnsi"/>
          <w:spacing w:val="-2"/>
          <w:lang w:val="en-US"/>
        </w:rPr>
        <w:t>the factual framework</w:t>
      </w:r>
      <w:r w:rsidR="004F0750" w:rsidRPr="008A1DB4">
        <w:rPr>
          <w:rFonts w:eastAsiaTheme="minorHAnsi"/>
          <w:spacing w:val="-2"/>
          <w:lang w:val="en-US"/>
        </w:rPr>
        <w:t xml:space="preserve"> of the case delimited by the [Commission, which] has not raised the </w:t>
      </w:r>
      <w:r w:rsidR="0079515C" w:rsidRPr="008A1DB4">
        <w:rPr>
          <w:rFonts w:eastAsiaTheme="minorHAnsi"/>
          <w:spacing w:val="-2"/>
          <w:lang w:val="en-US"/>
        </w:rPr>
        <w:t>issue</w:t>
      </w:r>
      <w:r w:rsidR="004F0750" w:rsidRPr="008A1DB4">
        <w:rPr>
          <w:rFonts w:eastAsiaTheme="minorHAnsi"/>
          <w:spacing w:val="-2"/>
          <w:lang w:val="en-US"/>
        </w:rPr>
        <w:t xml:space="preserve"> that </w:t>
      </w:r>
      <w:r w:rsidR="00071662" w:rsidRPr="008A1DB4">
        <w:rPr>
          <w:rFonts w:eastAsiaTheme="minorHAnsi"/>
          <w:spacing w:val="-2"/>
          <w:lang w:val="en-US"/>
        </w:rPr>
        <w:t>the Peruvian State</w:t>
      </w:r>
      <w:r w:rsidR="00601B3D" w:rsidRPr="008A1DB4">
        <w:rPr>
          <w:rFonts w:eastAsiaTheme="minorHAnsi"/>
          <w:spacing w:val="-2"/>
          <w:lang w:val="en-US"/>
        </w:rPr>
        <w:t xml:space="preserve"> </w:t>
      </w:r>
      <w:r w:rsidR="004F0750" w:rsidRPr="008A1DB4">
        <w:rPr>
          <w:rFonts w:eastAsiaTheme="minorHAnsi"/>
          <w:spacing w:val="-2"/>
          <w:lang w:val="en-US"/>
        </w:rPr>
        <w:t xml:space="preserve">may have issued a detention </w:t>
      </w:r>
      <w:r w:rsidR="00F74C05">
        <w:rPr>
          <w:rFonts w:eastAsiaTheme="minorHAnsi"/>
          <w:spacing w:val="-2"/>
          <w:lang w:val="en-US"/>
        </w:rPr>
        <w:t>order that was not in keeping with</w:t>
      </w:r>
      <w:r w:rsidR="004F0750" w:rsidRPr="008A1DB4">
        <w:rPr>
          <w:rFonts w:eastAsiaTheme="minorHAnsi"/>
          <w:spacing w:val="-2"/>
          <w:lang w:val="en-US"/>
        </w:rPr>
        <w:t xml:space="preserve"> its domestic law.” Furthermore, it indicated that </w:t>
      </w:r>
      <w:r w:rsidR="00C45946" w:rsidRPr="008A1DB4">
        <w:rPr>
          <w:spacing w:val="-2"/>
          <w:lang w:val="en-US"/>
        </w:rPr>
        <w:t>the representative</w:t>
      </w:r>
      <w:r w:rsidR="00601B3D" w:rsidRPr="008A1DB4">
        <w:rPr>
          <w:spacing w:val="-2"/>
          <w:lang w:val="en-US"/>
        </w:rPr>
        <w:t xml:space="preserve"> “confu</w:t>
      </w:r>
      <w:r w:rsidR="004F0750" w:rsidRPr="008A1DB4">
        <w:rPr>
          <w:spacing w:val="-2"/>
          <w:lang w:val="en-US"/>
        </w:rPr>
        <w:t xml:space="preserve">sed […] the exhortation of the [Constitutional] Court with a binding order to prosecute </w:t>
      </w:r>
      <w:r w:rsidR="00601B3D" w:rsidRPr="008A1DB4">
        <w:rPr>
          <w:rFonts w:eastAsiaTheme="minorHAnsi"/>
          <w:spacing w:val="-2"/>
          <w:lang w:val="en-US"/>
        </w:rPr>
        <w:t xml:space="preserve">[Wong Ho Wing] </w:t>
      </w:r>
      <w:r w:rsidR="004F0750" w:rsidRPr="008A1DB4">
        <w:rPr>
          <w:rFonts w:eastAsiaTheme="minorHAnsi"/>
          <w:spacing w:val="-2"/>
          <w:lang w:val="en-US"/>
        </w:rPr>
        <w:t xml:space="preserve">in the domestic sphere,” and stressed that “the judgment </w:t>
      </w:r>
      <w:r w:rsidR="00C45946" w:rsidRPr="008A1DB4">
        <w:rPr>
          <w:spacing w:val="-2"/>
          <w:lang w:val="en-US"/>
        </w:rPr>
        <w:t xml:space="preserve">of the </w:t>
      </w:r>
      <w:r w:rsidR="00B43F84" w:rsidRPr="008A1DB4">
        <w:rPr>
          <w:spacing w:val="-2"/>
          <w:lang w:val="en-US"/>
        </w:rPr>
        <w:t>Constitutional Court</w:t>
      </w:r>
      <w:r w:rsidR="00601B3D" w:rsidRPr="008A1DB4">
        <w:rPr>
          <w:spacing w:val="-2"/>
          <w:lang w:val="en-US"/>
        </w:rPr>
        <w:t xml:space="preserve"> […] </w:t>
      </w:r>
      <w:r w:rsidR="004F0750" w:rsidRPr="008A1DB4">
        <w:rPr>
          <w:spacing w:val="-2"/>
          <w:lang w:val="en-US"/>
        </w:rPr>
        <w:t>did not establish a mandate or order to release [</w:t>
      </w:r>
      <w:r w:rsidR="00601B3D" w:rsidRPr="008A1DB4">
        <w:rPr>
          <w:spacing w:val="-2"/>
          <w:lang w:val="en-US"/>
        </w:rPr>
        <w:t>Wong Ho Wing]</w:t>
      </w:r>
      <w:r w:rsidR="004F0750" w:rsidRPr="008A1DB4">
        <w:rPr>
          <w:spacing w:val="-2"/>
          <w:lang w:val="en-US"/>
        </w:rPr>
        <w:t>.</w:t>
      </w:r>
      <w:r w:rsidR="00601B3D" w:rsidRPr="008A1DB4">
        <w:rPr>
          <w:spacing w:val="-2"/>
          <w:lang w:val="en-US"/>
        </w:rPr>
        <w:t>”</w:t>
      </w:r>
      <w:bookmarkEnd w:id="1070"/>
      <w:r w:rsidR="00601B3D" w:rsidRPr="008A1DB4">
        <w:rPr>
          <w:spacing w:val="-2"/>
          <w:lang w:val="en-US"/>
        </w:rPr>
        <w:t xml:space="preserve"> </w:t>
      </w:r>
    </w:p>
    <w:p w14:paraId="23CCFCB7" w14:textId="77777777" w:rsidR="00601B3D" w:rsidRPr="008A1DB4" w:rsidRDefault="00601B3D" w:rsidP="00956E97">
      <w:pPr>
        <w:pStyle w:val="ListParagraph"/>
        <w:tabs>
          <w:tab w:val="left" w:pos="567"/>
        </w:tabs>
        <w:rPr>
          <w:spacing w:val="-2"/>
          <w:szCs w:val="20"/>
          <w:lang w:val="en-US"/>
        </w:rPr>
      </w:pPr>
    </w:p>
    <w:p w14:paraId="0A07B314" w14:textId="16B0B5F4" w:rsidR="00601B3D" w:rsidRPr="008A1DB4" w:rsidRDefault="00601B3D" w:rsidP="00956E97">
      <w:pPr>
        <w:pStyle w:val="Heading2"/>
        <w:rPr>
          <w:spacing w:val="-2"/>
          <w:lang w:val="en-US"/>
        </w:rPr>
      </w:pPr>
      <w:bookmarkStart w:id="1071" w:name="_Toc418074103"/>
      <w:bookmarkStart w:id="1072" w:name="_Toc418503908"/>
      <w:bookmarkStart w:id="1073" w:name="_Toc418912639"/>
      <w:bookmarkStart w:id="1074" w:name="_Toc419394436"/>
      <w:bookmarkStart w:id="1075" w:name="_Toc429490295"/>
      <w:bookmarkStart w:id="1076" w:name="_Toc429503809"/>
      <w:bookmarkStart w:id="1077" w:name="_Toc429504315"/>
      <w:bookmarkStart w:id="1078" w:name="_Toc429678028"/>
      <w:bookmarkStart w:id="1079" w:name="_Toc430017191"/>
      <w:bookmarkStart w:id="1080" w:name="_Toc430017420"/>
      <w:bookmarkStart w:id="1081" w:name="_Toc430018702"/>
      <w:bookmarkStart w:id="1082" w:name="_Toc430125300"/>
      <w:bookmarkStart w:id="1083" w:name="_Toc430125408"/>
      <w:r w:rsidRPr="008A1DB4">
        <w:rPr>
          <w:spacing w:val="-2"/>
          <w:lang w:val="en-US"/>
        </w:rPr>
        <w:t xml:space="preserve">B.2) </w:t>
      </w:r>
      <w:r w:rsidR="00A836C4" w:rsidRPr="008A1DB4">
        <w:rPr>
          <w:spacing w:val="-2"/>
          <w:lang w:val="en-US"/>
        </w:rPr>
        <w:t>Considerations</w:t>
      </w:r>
      <w:r w:rsidR="00F36400" w:rsidRPr="008A1DB4">
        <w:rPr>
          <w:spacing w:val="-2"/>
          <w:lang w:val="en-US"/>
        </w:rPr>
        <w:t xml:space="preserve"> of the Court</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p>
    <w:p w14:paraId="646DBB63" w14:textId="77777777" w:rsidR="00601B3D" w:rsidRPr="008A1DB4" w:rsidRDefault="00601B3D" w:rsidP="00956E97">
      <w:pPr>
        <w:pStyle w:val="ListParagraph"/>
        <w:tabs>
          <w:tab w:val="left" w:pos="567"/>
        </w:tabs>
        <w:ind w:left="0"/>
        <w:contextualSpacing w:val="0"/>
        <w:rPr>
          <w:spacing w:val="-2"/>
          <w:szCs w:val="20"/>
          <w:lang w:val="en-US"/>
        </w:rPr>
      </w:pPr>
    </w:p>
    <w:p w14:paraId="60BABCD9" w14:textId="4B06E743" w:rsidR="00601B3D" w:rsidRPr="008A1DB4" w:rsidRDefault="004F0750" w:rsidP="00956E97">
      <w:pPr>
        <w:pStyle w:val="PrrafodeSentencia"/>
        <w:rPr>
          <w:spacing w:val="-2"/>
          <w:lang w:val="en-US"/>
        </w:rPr>
      </w:pPr>
      <w:bookmarkStart w:id="1084" w:name="_Ref389242704"/>
      <w:bookmarkStart w:id="1085" w:name="_Ref419392895"/>
      <w:r w:rsidRPr="008A1DB4">
        <w:rPr>
          <w:spacing w:val="-2"/>
          <w:lang w:val="en-US"/>
        </w:rPr>
        <w:t xml:space="preserve">First, the Court recalls that, contrary to what the State has indicated, the facts relating to Wong Ho Wing’s detention following the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r w:rsidR="00601B3D" w:rsidRPr="008A1DB4">
        <w:rPr>
          <w:spacing w:val="-2"/>
          <w:lang w:val="en-US"/>
        </w:rPr>
        <w:t xml:space="preserve"> </w:t>
      </w:r>
      <w:r w:rsidRPr="008A1DB4">
        <w:rPr>
          <w:spacing w:val="-2"/>
          <w:lang w:val="en-US"/>
        </w:rPr>
        <w:t xml:space="preserve">do fall within </w:t>
      </w:r>
      <w:r w:rsidR="00776D24" w:rsidRPr="008A1DB4">
        <w:rPr>
          <w:spacing w:val="-2"/>
          <w:lang w:val="en-US"/>
        </w:rPr>
        <w:t xml:space="preserve">the </w:t>
      </w:r>
      <w:r w:rsidR="00776D24" w:rsidRPr="008A1DB4">
        <w:rPr>
          <w:spacing w:val="-2"/>
          <w:lang w:val="en-US"/>
        </w:rPr>
        <w:lastRenderedPageBreak/>
        <w:t>factual framework</w:t>
      </w:r>
      <w:r w:rsidR="00601B3D" w:rsidRPr="008A1DB4">
        <w:rPr>
          <w:spacing w:val="-2"/>
          <w:lang w:val="en-US"/>
        </w:rPr>
        <w:t xml:space="preserve"> </w:t>
      </w:r>
      <w:r w:rsidRPr="008A1DB4">
        <w:rPr>
          <w:spacing w:val="-2"/>
          <w:lang w:val="en-US"/>
        </w:rPr>
        <w:t xml:space="preserve">of the proceedings. Also, the Court reiterates that the presumed victims </w:t>
      </w:r>
      <w:r w:rsidR="00F36400" w:rsidRPr="008A1DB4">
        <w:rPr>
          <w:spacing w:val="-2"/>
          <w:lang w:val="en-US"/>
        </w:rPr>
        <w:t xml:space="preserve">and </w:t>
      </w:r>
      <w:r w:rsidRPr="008A1DB4">
        <w:rPr>
          <w:spacing w:val="-2"/>
          <w:lang w:val="en-US"/>
        </w:rPr>
        <w:t>their representatives may claim the violation of rights other t</w:t>
      </w:r>
      <w:r w:rsidR="009F24F8" w:rsidRPr="008A1DB4">
        <w:rPr>
          <w:spacing w:val="-2"/>
          <w:lang w:val="en-US"/>
        </w:rPr>
        <w:t>h</w:t>
      </w:r>
      <w:r w:rsidRPr="008A1DB4">
        <w:rPr>
          <w:spacing w:val="-2"/>
          <w:lang w:val="en-US"/>
        </w:rPr>
        <w:t xml:space="preserve">an those included in the </w:t>
      </w:r>
      <w:r w:rsidR="00F36400" w:rsidRPr="008A1DB4">
        <w:rPr>
          <w:spacing w:val="-2"/>
          <w:lang w:val="en-US"/>
        </w:rPr>
        <w:t>Merits Report</w:t>
      </w:r>
      <w:r w:rsidR="00601B3D" w:rsidRPr="008A1DB4">
        <w:rPr>
          <w:spacing w:val="-2"/>
          <w:lang w:val="en-US"/>
        </w:rPr>
        <w:t xml:space="preserve">, </w:t>
      </w:r>
      <w:r w:rsidR="00F74C05">
        <w:rPr>
          <w:spacing w:val="-2"/>
          <w:lang w:val="en-US"/>
        </w:rPr>
        <w:t>provided these</w:t>
      </w:r>
      <w:r w:rsidRPr="008A1DB4">
        <w:rPr>
          <w:spacing w:val="-2"/>
          <w:lang w:val="en-US"/>
        </w:rPr>
        <w:t xml:space="preserve"> relate to the facts contained in that document </w:t>
      </w:r>
      <w:r w:rsidR="0036400C" w:rsidRPr="008A1DB4">
        <w:rPr>
          <w:spacing w:val="-2"/>
          <w:lang w:val="en-US"/>
        </w:rPr>
        <w:t>(</w:t>
      </w:r>
      <w:r w:rsidR="0036400C" w:rsidRPr="008A1DB4">
        <w:rPr>
          <w:i/>
          <w:spacing w:val="-2"/>
          <w:lang w:val="en-US"/>
        </w:rPr>
        <w:t>supra</w:t>
      </w:r>
      <w:r w:rsidR="0036400C" w:rsidRPr="008A1DB4">
        <w:rPr>
          <w:spacing w:val="-2"/>
          <w:lang w:val="en-US"/>
        </w:rPr>
        <w:t xml:space="preserve"> </w:t>
      </w:r>
      <w:r w:rsidR="00C45946" w:rsidRPr="008A1DB4">
        <w:rPr>
          <w:spacing w:val="-2"/>
          <w:lang w:val="en-US"/>
        </w:rPr>
        <w:t xml:space="preserve">para. </w:t>
      </w:r>
      <w:r w:rsidR="0036400C" w:rsidRPr="008A1DB4">
        <w:rPr>
          <w:spacing w:val="-2"/>
          <w:lang w:val="en-US"/>
        </w:rPr>
        <w:fldChar w:fldCharType="begin"/>
      </w:r>
      <w:r w:rsidR="0036400C" w:rsidRPr="008A1DB4">
        <w:rPr>
          <w:spacing w:val="-2"/>
          <w:lang w:val="en-US"/>
        </w:rPr>
        <w:instrText xml:space="preserve"> REF _Ref428977240 \r \h  \* MERGEFORMAT </w:instrText>
      </w:r>
      <w:r w:rsidR="0036400C" w:rsidRPr="008A1DB4">
        <w:rPr>
          <w:spacing w:val="-2"/>
          <w:lang w:val="en-US"/>
        </w:rPr>
      </w:r>
      <w:r w:rsidR="0036400C" w:rsidRPr="008A1DB4">
        <w:rPr>
          <w:spacing w:val="-2"/>
          <w:lang w:val="en-US"/>
        </w:rPr>
        <w:fldChar w:fldCharType="separate"/>
      </w:r>
      <w:r w:rsidR="00E961FA" w:rsidRPr="008A1DB4">
        <w:rPr>
          <w:spacing w:val="-2"/>
          <w:lang w:val="en-US"/>
        </w:rPr>
        <w:t>35</w:t>
      </w:r>
      <w:r w:rsidR="0036400C" w:rsidRPr="008A1DB4">
        <w:rPr>
          <w:spacing w:val="-2"/>
          <w:lang w:val="en-US"/>
        </w:rPr>
        <w:fldChar w:fldCharType="end"/>
      </w:r>
      <w:r w:rsidR="0036400C" w:rsidRPr="008A1DB4">
        <w:rPr>
          <w:spacing w:val="-2"/>
          <w:lang w:val="en-US"/>
        </w:rPr>
        <w:t>)</w:t>
      </w:r>
      <w:r w:rsidR="00601B3D" w:rsidRPr="008A1DB4">
        <w:rPr>
          <w:spacing w:val="-2"/>
          <w:lang w:val="en-US"/>
        </w:rPr>
        <w:t xml:space="preserve">. </w:t>
      </w:r>
      <w:bookmarkEnd w:id="1084"/>
      <w:r w:rsidRPr="008A1DB4">
        <w:rPr>
          <w:spacing w:val="-2"/>
          <w:lang w:val="en-US"/>
        </w:rPr>
        <w:t xml:space="preserve">Therefore, the Court will proceed to analyze the arguments </w:t>
      </w:r>
      <w:r w:rsidR="00C45946" w:rsidRPr="008A1DB4">
        <w:rPr>
          <w:spacing w:val="-2"/>
          <w:lang w:val="en-US"/>
        </w:rPr>
        <w:t>of the representative</w:t>
      </w:r>
      <w:r w:rsidR="00F36400" w:rsidRPr="008A1DB4">
        <w:rPr>
          <w:spacing w:val="-2"/>
          <w:lang w:val="en-US"/>
        </w:rPr>
        <w:t xml:space="preserve"> and the Commission</w:t>
      </w:r>
      <w:r w:rsidR="00601B3D" w:rsidRPr="008A1DB4">
        <w:rPr>
          <w:spacing w:val="-2"/>
          <w:lang w:val="en-US"/>
        </w:rPr>
        <w:t>.</w:t>
      </w:r>
      <w:bookmarkEnd w:id="1085"/>
    </w:p>
    <w:p w14:paraId="76EBC2A5" w14:textId="77777777" w:rsidR="00601B3D" w:rsidRPr="008A1DB4" w:rsidRDefault="00601B3D" w:rsidP="00956E97">
      <w:pPr>
        <w:pStyle w:val="ListParagraph"/>
        <w:tabs>
          <w:tab w:val="left" w:pos="567"/>
        </w:tabs>
        <w:ind w:left="0"/>
        <w:rPr>
          <w:spacing w:val="-2"/>
          <w:szCs w:val="20"/>
          <w:lang w:val="en-US"/>
        </w:rPr>
      </w:pPr>
    </w:p>
    <w:p w14:paraId="4D9730C5" w14:textId="44C234EE" w:rsidR="00601B3D" w:rsidRPr="008A1DB4" w:rsidRDefault="00601B3D" w:rsidP="00956E97">
      <w:pPr>
        <w:pStyle w:val="PrrafodeSentencia"/>
        <w:rPr>
          <w:spacing w:val="-2"/>
          <w:lang w:val="en-US"/>
        </w:rPr>
      </w:pPr>
      <w:bookmarkStart w:id="1086" w:name="_Ref428979004"/>
      <w:r w:rsidRPr="008A1DB4">
        <w:rPr>
          <w:spacing w:val="-2"/>
          <w:lang w:val="en-US"/>
        </w:rPr>
        <w:t>Re</w:t>
      </w:r>
      <w:r w:rsidR="004F0750" w:rsidRPr="008A1DB4">
        <w:rPr>
          <w:spacing w:val="-2"/>
          <w:lang w:val="en-US"/>
        </w:rPr>
        <w:t xml:space="preserve">garding the detention </w:t>
      </w:r>
      <w:r w:rsidR="00B43F84" w:rsidRPr="008A1DB4">
        <w:rPr>
          <w:spacing w:val="-2"/>
          <w:lang w:val="en-US"/>
        </w:rPr>
        <w:t>of Wong</w:t>
      </w:r>
      <w:r w:rsidRPr="008A1DB4">
        <w:rPr>
          <w:spacing w:val="-2"/>
          <w:lang w:val="en-US"/>
        </w:rPr>
        <w:t xml:space="preserve"> Ho Wing </w:t>
      </w:r>
      <w:r w:rsidR="004F0750" w:rsidRPr="008A1DB4">
        <w:rPr>
          <w:spacing w:val="-2"/>
          <w:lang w:val="en-US"/>
        </w:rPr>
        <w:t>following the</w:t>
      </w:r>
      <w:r w:rsidR="00C45946" w:rsidRPr="008A1DB4">
        <w:rPr>
          <w:spacing w:val="-2"/>
          <w:lang w:val="en-US"/>
        </w:rPr>
        <w:t xml:space="preserve"> </w:t>
      </w:r>
      <w:r w:rsidR="00B43F84" w:rsidRPr="008A1DB4">
        <w:rPr>
          <w:spacing w:val="-2"/>
          <w:lang w:val="en-US"/>
        </w:rPr>
        <w:t>Constitutional Court</w:t>
      </w:r>
      <w:r w:rsidR="004F0750" w:rsidRPr="008A1DB4">
        <w:rPr>
          <w:spacing w:val="-2"/>
          <w:lang w:val="en-US"/>
        </w:rPr>
        <w:t>’s judgment</w:t>
      </w:r>
      <w:r w:rsidRPr="008A1DB4">
        <w:rPr>
          <w:spacing w:val="-2"/>
          <w:lang w:val="en-US"/>
        </w:rPr>
        <w:t xml:space="preserve">, </w:t>
      </w:r>
      <w:r w:rsidR="00C45946" w:rsidRPr="008A1DB4">
        <w:rPr>
          <w:spacing w:val="-2"/>
          <w:lang w:val="en-US"/>
        </w:rPr>
        <w:t>the representative</w:t>
      </w:r>
      <w:r w:rsidRPr="008A1DB4">
        <w:rPr>
          <w:spacing w:val="-2"/>
          <w:lang w:val="en-US"/>
        </w:rPr>
        <w:t xml:space="preserve"> a</w:t>
      </w:r>
      <w:r w:rsidR="004F0750" w:rsidRPr="008A1DB4">
        <w:rPr>
          <w:spacing w:val="-2"/>
          <w:lang w:val="en-US"/>
        </w:rPr>
        <w:t>rgued that it became unlawful and arbitrary, while the Commission only considered that the detention became arbitrary.</w:t>
      </w:r>
      <w:bookmarkEnd w:id="1086"/>
    </w:p>
    <w:p w14:paraId="3C36E715" w14:textId="77777777" w:rsidR="00601B3D" w:rsidRPr="008A1DB4" w:rsidRDefault="00601B3D" w:rsidP="00956E97">
      <w:pPr>
        <w:pStyle w:val="ListParagraph"/>
        <w:tabs>
          <w:tab w:val="left" w:pos="567"/>
        </w:tabs>
        <w:ind w:left="0"/>
        <w:rPr>
          <w:spacing w:val="-2"/>
          <w:szCs w:val="20"/>
          <w:lang w:val="en-US"/>
        </w:rPr>
      </w:pPr>
    </w:p>
    <w:p w14:paraId="214BF197" w14:textId="32A3BF88" w:rsidR="00601B3D" w:rsidRPr="008A1DB4" w:rsidRDefault="004F0750" w:rsidP="00956E97">
      <w:pPr>
        <w:pStyle w:val="PrrafodeSentencia"/>
        <w:rPr>
          <w:spacing w:val="-2"/>
          <w:lang w:val="en-US"/>
        </w:rPr>
      </w:pPr>
      <w:r w:rsidRPr="008A1DB4">
        <w:rPr>
          <w:spacing w:val="-2"/>
          <w:lang w:val="en-US"/>
        </w:rPr>
        <w:t xml:space="preserve">The analysis of whether a detention is lawful entails an examination of whether the domestic law was observed when a person was deprived of </w:t>
      </w:r>
      <w:r w:rsidR="00F74C05">
        <w:rPr>
          <w:spacing w:val="-2"/>
          <w:lang w:val="en-US"/>
        </w:rPr>
        <w:t xml:space="preserve">his </w:t>
      </w:r>
      <w:r w:rsidRPr="008A1DB4">
        <w:rPr>
          <w:spacing w:val="-2"/>
          <w:lang w:val="en-US"/>
        </w:rPr>
        <w:t xml:space="preserve">liberty </w:t>
      </w:r>
      <w:r w:rsidR="00601B3D" w:rsidRPr="008A1DB4">
        <w:rPr>
          <w:spacing w:val="-2"/>
          <w:lang w:val="en-US"/>
        </w:rPr>
        <w:t>(</w:t>
      </w:r>
      <w:r w:rsidR="00601B3D" w:rsidRPr="008A1DB4">
        <w:rPr>
          <w:i/>
          <w:spacing w:val="-2"/>
          <w:lang w:val="en-US"/>
        </w:rPr>
        <w:t xml:space="preserve">supra </w:t>
      </w:r>
      <w:r w:rsidR="00C45946" w:rsidRPr="008A1DB4">
        <w:rPr>
          <w:spacing w:val="-2"/>
          <w:lang w:val="en-US"/>
        </w:rPr>
        <w:t xml:space="preserve">para. </w:t>
      </w:r>
      <w:r w:rsidR="0063199D" w:rsidRPr="008A1DB4">
        <w:rPr>
          <w:spacing w:val="-2"/>
          <w:lang w:val="en-US"/>
        </w:rPr>
        <w:fldChar w:fldCharType="begin"/>
      </w:r>
      <w:r w:rsidR="0063199D" w:rsidRPr="008A1DB4">
        <w:rPr>
          <w:spacing w:val="-2"/>
          <w:lang w:val="en-US"/>
        </w:rPr>
        <w:instrText xml:space="preserve"> REF _Ref428978553 \r \h </w:instrText>
      </w:r>
      <w:r w:rsidR="00DC41F4" w:rsidRPr="008A1DB4">
        <w:rPr>
          <w:spacing w:val="-2"/>
          <w:lang w:val="en-US"/>
        </w:rPr>
        <w:instrText xml:space="preserve"> \* MERGEFORMAT </w:instrText>
      </w:r>
      <w:r w:rsidR="0063199D" w:rsidRPr="008A1DB4">
        <w:rPr>
          <w:spacing w:val="-2"/>
          <w:lang w:val="en-US"/>
        </w:rPr>
      </w:r>
      <w:r w:rsidR="0063199D" w:rsidRPr="008A1DB4">
        <w:rPr>
          <w:spacing w:val="-2"/>
          <w:lang w:val="en-US"/>
        </w:rPr>
        <w:fldChar w:fldCharType="separate"/>
      </w:r>
      <w:r w:rsidR="00E961FA" w:rsidRPr="008A1DB4">
        <w:rPr>
          <w:spacing w:val="-2"/>
          <w:lang w:val="en-US"/>
        </w:rPr>
        <w:t>237</w:t>
      </w:r>
      <w:r w:rsidR="0063199D" w:rsidRPr="008A1DB4">
        <w:rPr>
          <w:spacing w:val="-2"/>
          <w:lang w:val="en-US"/>
        </w:rPr>
        <w:fldChar w:fldCharType="end"/>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w:t>
      </w:r>
      <w:r w:rsidRPr="008A1DB4">
        <w:rPr>
          <w:spacing w:val="-2"/>
          <w:lang w:val="en-US"/>
        </w:rPr>
        <w:t>must, therefore, verify whether, following the decision of the Constitutional Court, Wong Ho Wing’s detention was in keeping with the laws of Peru.</w:t>
      </w:r>
    </w:p>
    <w:p w14:paraId="797FE2FA" w14:textId="77777777" w:rsidR="00601B3D" w:rsidRPr="008A1DB4" w:rsidRDefault="00601B3D" w:rsidP="00956E97">
      <w:pPr>
        <w:pStyle w:val="ListParagraph"/>
        <w:ind w:left="0"/>
        <w:rPr>
          <w:spacing w:val="-2"/>
          <w:szCs w:val="20"/>
          <w:lang w:val="en-US"/>
        </w:rPr>
      </w:pPr>
    </w:p>
    <w:p w14:paraId="3A3388B5" w14:textId="24273A03" w:rsidR="00601B3D" w:rsidRPr="008A1DB4" w:rsidRDefault="004F0750" w:rsidP="00956E97">
      <w:pPr>
        <w:pStyle w:val="PrrafodeSentencia"/>
        <w:rPr>
          <w:spacing w:val="-2"/>
          <w:lang w:val="en-US"/>
        </w:rPr>
      </w:pPr>
      <w:bookmarkStart w:id="1087" w:name="_Ref419392901"/>
      <w:bookmarkStart w:id="1088" w:name="_Ref429066175"/>
      <w:r w:rsidRPr="008A1DB4">
        <w:rPr>
          <w:spacing w:val="-2"/>
          <w:lang w:val="en-US"/>
        </w:rPr>
        <w:t xml:space="preserve">The law in force </w:t>
      </w:r>
      <w:r w:rsidR="00F74C05">
        <w:rPr>
          <w:spacing w:val="-2"/>
          <w:lang w:val="en-US"/>
        </w:rPr>
        <w:t>at the time of the facts reveals</w:t>
      </w:r>
      <w:r w:rsidRPr="008A1DB4">
        <w:rPr>
          <w:spacing w:val="-2"/>
          <w:lang w:val="en-US"/>
        </w:rPr>
        <w:t xml:space="preserve"> that a person </w:t>
      </w:r>
      <w:r w:rsidR="00F74C05">
        <w:rPr>
          <w:spacing w:val="-2"/>
          <w:lang w:val="en-US"/>
        </w:rPr>
        <w:t>could</w:t>
      </w:r>
      <w:r w:rsidRPr="008A1DB4">
        <w:rPr>
          <w:spacing w:val="-2"/>
          <w:lang w:val="en-US"/>
        </w:rPr>
        <w:t xml:space="preserve"> be deprived of</w:t>
      </w:r>
      <w:r w:rsidR="00F74C05">
        <w:rPr>
          <w:spacing w:val="-2"/>
          <w:lang w:val="en-US"/>
        </w:rPr>
        <w:t xml:space="preserve"> liberty when his extradition was</w:t>
      </w:r>
      <w:r w:rsidRPr="008A1DB4">
        <w:rPr>
          <w:spacing w:val="-2"/>
          <w:lang w:val="en-US"/>
        </w:rPr>
        <w:t xml:space="preserve"> being sought by foreign authorities</w:t>
      </w:r>
      <w:r w:rsidR="00601B3D" w:rsidRPr="008A1DB4">
        <w:rPr>
          <w:spacing w:val="-2"/>
          <w:lang w:val="en-US"/>
        </w:rPr>
        <w:t xml:space="preserve"> (</w:t>
      </w:r>
      <w:r w:rsidR="00601B3D" w:rsidRPr="008A1DB4">
        <w:rPr>
          <w:i/>
          <w:spacing w:val="-2"/>
          <w:lang w:val="en-US"/>
        </w:rPr>
        <w:t xml:space="preserve">supra </w:t>
      </w:r>
      <w:r w:rsidR="00C45946" w:rsidRPr="008A1DB4">
        <w:rPr>
          <w:spacing w:val="-2"/>
          <w:lang w:val="en-US"/>
        </w:rPr>
        <w:t xml:space="preserve">para. </w:t>
      </w:r>
      <w:r w:rsidR="0063199D" w:rsidRPr="008A1DB4">
        <w:rPr>
          <w:spacing w:val="-2"/>
          <w:lang w:val="en-US"/>
        </w:rPr>
        <w:fldChar w:fldCharType="begin"/>
      </w:r>
      <w:r w:rsidR="0063199D" w:rsidRPr="008A1DB4">
        <w:rPr>
          <w:spacing w:val="-2"/>
          <w:lang w:val="en-US"/>
        </w:rPr>
        <w:instrText xml:space="preserve"> REF _Ref419386567 \r \h </w:instrText>
      </w:r>
      <w:r w:rsidR="00DC41F4" w:rsidRPr="008A1DB4">
        <w:rPr>
          <w:spacing w:val="-2"/>
          <w:lang w:val="en-US"/>
        </w:rPr>
        <w:instrText xml:space="preserve"> \* MERGEFORMAT </w:instrText>
      </w:r>
      <w:r w:rsidR="0063199D" w:rsidRPr="008A1DB4">
        <w:rPr>
          <w:spacing w:val="-2"/>
          <w:lang w:val="en-US"/>
        </w:rPr>
      </w:r>
      <w:r w:rsidR="0063199D" w:rsidRPr="008A1DB4">
        <w:rPr>
          <w:spacing w:val="-2"/>
          <w:lang w:val="en-US"/>
        </w:rPr>
        <w:fldChar w:fldCharType="separate"/>
      </w:r>
      <w:r w:rsidR="00E961FA" w:rsidRPr="008A1DB4">
        <w:rPr>
          <w:spacing w:val="-2"/>
          <w:lang w:val="en-US"/>
        </w:rPr>
        <w:t>241</w:t>
      </w:r>
      <w:r w:rsidR="0063199D" w:rsidRPr="008A1DB4">
        <w:rPr>
          <w:spacing w:val="-2"/>
          <w:lang w:val="en-US"/>
        </w:rPr>
        <w:fldChar w:fldCharType="end"/>
      </w:r>
      <w:r w:rsidR="00601B3D" w:rsidRPr="008A1DB4">
        <w:rPr>
          <w:spacing w:val="-2"/>
          <w:lang w:val="en-US"/>
        </w:rPr>
        <w:t xml:space="preserve">). </w:t>
      </w:r>
      <w:r w:rsidRPr="008A1DB4">
        <w:rPr>
          <w:spacing w:val="-2"/>
          <w:lang w:val="en-US"/>
        </w:rPr>
        <w:t xml:space="preserve">Also, according to the law, </w:t>
      </w:r>
      <w:r w:rsidR="00FC5891" w:rsidRPr="008A1DB4">
        <w:rPr>
          <w:spacing w:val="-2"/>
          <w:lang w:val="en-US"/>
        </w:rPr>
        <w:t>the extradition process</w:t>
      </w:r>
      <w:r w:rsidR="00601B3D" w:rsidRPr="008A1DB4">
        <w:rPr>
          <w:spacing w:val="-2"/>
          <w:lang w:val="en-US"/>
        </w:rPr>
        <w:t xml:space="preserve"> </w:t>
      </w:r>
      <w:r w:rsidR="00F74C05">
        <w:rPr>
          <w:spacing w:val="-2"/>
          <w:lang w:val="en-US"/>
        </w:rPr>
        <w:t>concluded</w:t>
      </w:r>
      <w:r w:rsidRPr="008A1DB4">
        <w:rPr>
          <w:spacing w:val="-2"/>
          <w:lang w:val="en-US"/>
        </w:rPr>
        <w:t xml:space="preserve"> with the</w:t>
      </w:r>
      <w:r w:rsidR="00601B3D" w:rsidRPr="008A1DB4">
        <w:rPr>
          <w:spacing w:val="-2"/>
          <w:lang w:val="en-US"/>
        </w:rPr>
        <w:t xml:space="preserve"> </w:t>
      </w:r>
      <w:r w:rsidR="00B43F84" w:rsidRPr="008A1DB4">
        <w:rPr>
          <w:spacing w:val="-2"/>
          <w:lang w:val="en-US"/>
        </w:rPr>
        <w:t>Executive Branch</w:t>
      </w:r>
      <w:r w:rsidR="00F74C05">
        <w:rPr>
          <w:spacing w:val="-2"/>
          <w:lang w:val="en-US"/>
        </w:rPr>
        <w:t>’s decision</w:t>
      </w:r>
      <w:r w:rsidR="00601B3D" w:rsidRPr="008A1DB4">
        <w:rPr>
          <w:spacing w:val="-2"/>
          <w:lang w:val="en-US"/>
        </w:rPr>
        <w:t xml:space="preserve"> </w:t>
      </w:r>
      <w:r w:rsidRPr="008A1DB4">
        <w:rPr>
          <w:spacing w:val="-2"/>
          <w:lang w:val="en-US"/>
        </w:rPr>
        <w:t xml:space="preserve">on whether or not to grant the </w:t>
      </w:r>
      <w:r w:rsidR="002D1CFC" w:rsidRPr="008A1DB4">
        <w:rPr>
          <w:spacing w:val="-2"/>
          <w:lang w:val="en-US"/>
        </w:rPr>
        <w:t>extradition</w:t>
      </w:r>
      <w:r w:rsidRPr="008A1DB4">
        <w:rPr>
          <w:spacing w:val="-2"/>
          <w:lang w:val="en-US"/>
        </w:rPr>
        <w:t>.</w:t>
      </w:r>
      <w:r w:rsidR="00601B3D" w:rsidRPr="008A1DB4">
        <w:rPr>
          <w:rStyle w:val="FootnoteReference"/>
          <w:rFonts w:cs="Callibri"/>
          <w:spacing w:val="-2"/>
          <w:lang w:val="en-US"/>
        </w:rPr>
        <w:footnoteReference w:id="350"/>
      </w:r>
      <w:r w:rsidRPr="008A1DB4">
        <w:rPr>
          <w:rFonts w:cs="Callibri"/>
          <w:spacing w:val="-2"/>
          <w:lang w:val="en-US"/>
        </w:rPr>
        <w:t xml:space="preserve"> </w:t>
      </w:r>
      <w:r w:rsidR="00F74C05">
        <w:rPr>
          <w:rFonts w:cs="Callibri"/>
          <w:spacing w:val="-2"/>
          <w:lang w:val="en-US"/>
        </w:rPr>
        <w:t>Pursuant to this law</w:t>
      </w:r>
      <w:r w:rsidRPr="008A1DB4">
        <w:rPr>
          <w:rFonts w:cs="Callibri"/>
          <w:spacing w:val="-2"/>
          <w:lang w:val="en-US"/>
        </w:rPr>
        <w:t xml:space="preserve">, </w:t>
      </w:r>
      <w:r w:rsidR="00F36400" w:rsidRPr="008A1DB4">
        <w:rPr>
          <w:rFonts w:cs="Callibri"/>
          <w:spacing w:val="-2"/>
          <w:lang w:val="en-US"/>
        </w:rPr>
        <w:t xml:space="preserve">the </w:t>
      </w:r>
      <w:r w:rsidR="00B43F84" w:rsidRPr="008A1DB4">
        <w:rPr>
          <w:rFonts w:cs="Callibri"/>
          <w:spacing w:val="-2"/>
          <w:lang w:val="en-US"/>
        </w:rPr>
        <w:t>Constitutional Court</w:t>
      </w:r>
      <w:r w:rsidR="00601B3D" w:rsidRPr="008A1DB4">
        <w:rPr>
          <w:rFonts w:cs="Callibri"/>
          <w:spacing w:val="-2"/>
          <w:lang w:val="en-US"/>
        </w:rPr>
        <w:t xml:space="preserve"> </w:t>
      </w:r>
      <w:r w:rsidR="00601B3D" w:rsidRPr="008A1DB4">
        <w:rPr>
          <w:spacing w:val="-2"/>
          <w:lang w:val="en-US"/>
        </w:rPr>
        <w:t>“orde</w:t>
      </w:r>
      <w:r w:rsidRPr="008A1DB4">
        <w:rPr>
          <w:spacing w:val="-2"/>
          <w:lang w:val="en-US"/>
        </w:rPr>
        <w:t>r[</w:t>
      </w:r>
      <w:proofErr w:type="spellStart"/>
      <w:r w:rsidRPr="008A1DB4">
        <w:rPr>
          <w:spacing w:val="-2"/>
          <w:lang w:val="en-US"/>
        </w:rPr>
        <w:t>ed</w:t>
      </w:r>
      <w:proofErr w:type="spellEnd"/>
      <w:r w:rsidRPr="008A1DB4">
        <w:rPr>
          <w:spacing w:val="-2"/>
          <w:lang w:val="en-US"/>
        </w:rPr>
        <w:t xml:space="preserve">] the Peruvian State, represented by </w:t>
      </w:r>
      <w:r w:rsidR="00B43F84" w:rsidRPr="008A1DB4">
        <w:rPr>
          <w:spacing w:val="-2"/>
          <w:lang w:val="en-US"/>
        </w:rPr>
        <w:t>the Executive Branch</w:t>
      </w:r>
      <w:r w:rsidR="00601B3D" w:rsidRPr="008A1DB4">
        <w:rPr>
          <w:spacing w:val="-2"/>
          <w:lang w:val="en-US"/>
        </w:rPr>
        <w:t xml:space="preserve">, </w:t>
      </w:r>
      <w:r w:rsidRPr="008A1DB4">
        <w:rPr>
          <w:spacing w:val="-2"/>
          <w:lang w:val="en-US"/>
        </w:rPr>
        <w:t xml:space="preserve">to refrain from extraditing </w:t>
      </w:r>
      <w:r w:rsidR="00B43F84" w:rsidRPr="008A1DB4">
        <w:rPr>
          <w:spacing w:val="-2"/>
          <w:lang w:val="en-US"/>
        </w:rPr>
        <w:t>Wong</w:t>
      </w:r>
      <w:r w:rsidRPr="008A1DB4">
        <w:rPr>
          <w:spacing w:val="-2"/>
          <w:lang w:val="en-US"/>
        </w:rPr>
        <w:t xml:space="preserve"> Ho Wing to</w:t>
      </w:r>
      <w:r w:rsidR="00601B3D" w:rsidRPr="008A1DB4">
        <w:rPr>
          <w:spacing w:val="-2"/>
          <w:lang w:val="en-US"/>
        </w:rPr>
        <w:t xml:space="preserve"> </w:t>
      </w:r>
      <w:r w:rsidR="00FE5E87" w:rsidRPr="008A1DB4">
        <w:rPr>
          <w:spacing w:val="-2"/>
          <w:lang w:val="en-US"/>
        </w:rPr>
        <w:t>the People’s Republic of China</w:t>
      </w:r>
      <w:r w:rsidR="00601B3D" w:rsidRPr="008A1DB4">
        <w:rPr>
          <w:spacing w:val="-2"/>
          <w:lang w:val="en-US"/>
        </w:rPr>
        <w:t>” (</w:t>
      </w:r>
      <w:r w:rsidR="00601B3D" w:rsidRPr="008A1DB4">
        <w:rPr>
          <w:i/>
          <w:spacing w:val="-2"/>
          <w:lang w:val="en-US"/>
        </w:rPr>
        <w:t xml:space="preserve">supra </w:t>
      </w:r>
      <w:r w:rsidR="00C45946" w:rsidRPr="008A1DB4">
        <w:rPr>
          <w:spacing w:val="-2"/>
          <w:lang w:val="en-US"/>
        </w:rPr>
        <w:t xml:space="preserve">para. </w:t>
      </w:r>
      <w:r w:rsidR="00EC4F51" w:rsidRPr="008A1DB4">
        <w:rPr>
          <w:spacing w:val="-2"/>
          <w:lang w:val="en-US"/>
        </w:rPr>
        <w:fldChar w:fldCharType="begin"/>
      </w:r>
      <w:r w:rsidR="00EC4F51" w:rsidRPr="008A1DB4">
        <w:rPr>
          <w:spacing w:val="-2"/>
          <w:lang w:val="en-US"/>
        </w:rPr>
        <w:instrText xml:space="preserve"> REF _Ref402186809 \r \h </w:instrText>
      </w:r>
      <w:r w:rsidR="00DC41F4" w:rsidRPr="008A1DB4">
        <w:rPr>
          <w:spacing w:val="-2"/>
          <w:lang w:val="en-US"/>
        </w:rPr>
        <w:instrText xml:space="preserve"> \* MERGEFORMAT </w:instrText>
      </w:r>
      <w:r w:rsidR="00EC4F51" w:rsidRPr="008A1DB4">
        <w:rPr>
          <w:spacing w:val="-2"/>
          <w:lang w:val="en-US"/>
        </w:rPr>
      </w:r>
      <w:r w:rsidR="00EC4F51" w:rsidRPr="008A1DB4">
        <w:rPr>
          <w:spacing w:val="-2"/>
          <w:lang w:val="en-US"/>
        </w:rPr>
        <w:fldChar w:fldCharType="separate"/>
      </w:r>
      <w:r w:rsidR="00E961FA" w:rsidRPr="008A1DB4">
        <w:rPr>
          <w:spacing w:val="-2"/>
          <w:lang w:val="en-US"/>
        </w:rPr>
        <w:t>83</w:t>
      </w:r>
      <w:r w:rsidR="00EC4F51" w:rsidRPr="008A1DB4">
        <w:rPr>
          <w:spacing w:val="-2"/>
          <w:lang w:val="en-US"/>
        </w:rPr>
        <w:fldChar w:fldCharType="end"/>
      </w:r>
      <w:r w:rsidR="00601B3D" w:rsidRPr="008A1DB4">
        <w:rPr>
          <w:spacing w:val="-2"/>
          <w:lang w:val="en-US"/>
        </w:rPr>
        <w:t xml:space="preserve">). </w:t>
      </w:r>
      <w:r w:rsidR="00F74C05">
        <w:rPr>
          <w:spacing w:val="-2"/>
          <w:lang w:val="en-US"/>
        </w:rPr>
        <w:t>But, a</w:t>
      </w:r>
      <w:r w:rsidRPr="008A1DB4">
        <w:rPr>
          <w:spacing w:val="-2"/>
          <w:lang w:val="en-US"/>
        </w:rPr>
        <w:t xml:space="preserve">ccordingly, this </w:t>
      </w:r>
      <w:r w:rsidR="00A33F97" w:rsidRPr="008A1DB4">
        <w:rPr>
          <w:spacing w:val="-2"/>
          <w:lang w:val="en-US"/>
        </w:rPr>
        <w:t>decision</w:t>
      </w:r>
      <w:r w:rsidR="00601B3D" w:rsidRPr="008A1DB4">
        <w:rPr>
          <w:spacing w:val="-2"/>
          <w:lang w:val="en-US"/>
        </w:rPr>
        <w:t xml:space="preserve"> </w:t>
      </w:r>
      <w:r w:rsidRPr="008A1DB4">
        <w:rPr>
          <w:spacing w:val="-2"/>
          <w:lang w:val="en-US"/>
        </w:rPr>
        <w:t xml:space="preserve">did not signify the end </w:t>
      </w:r>
      <w:r w:rsidR="00671326" w:rsidRPr="008A1DB4">
        <w:rPr>
          <w:spacing w:val="-2"/>
          <w:lang w:val="en-US"/>
        </w:rPr>
        <w:t xml:space="preserve">of the </w:t>
      </w:r>
      <w:r w:rsidR="00FC5891" w:rsidRPr="008A1DB4">
        <w:rPr>
          <w:spacing w:val="-2"/>
          <w:lang w:val="en-US"/>
        </w:rPr>
        <w:t>extradition process</w:t>
      </w:r>
      <w:r w:rsidR="00601B3D" w:rsidRPr="008A1DB4">
        <w:rPr>
          <w:spacing w:val="-2"/>
          <w:lang w:val="en-US"/>
        </w:rPr>
        <w:t xml:space="preserve">, </w:t>
      </w:r>
      <w:r w:rsidRPr="008A1DB4">
        <w:rPr>
          <w:spacing w:val="-2"/>
          <w:lang w:val="en-US"/>
        </w:rPr>
        <w:t xml:space="preserve">and thus the conditions that </w:t>
      </w:r>
      <w:r w:rsidR="00F74C05">
        <w:rPr>
          <w:spacing w:val="-2"/>
          <w:lang w:val="en-US"/>
        </w:rPr>
        <w:t>allowed the detention to be lawfu</w:t>
      </w:r>
      <w:r w:rsidRPr="008A1DB4">
        <w:rPr>
          <w:spacing w:val="-2"/>
          <w:lang w:val="en-US"/>
        </w:rPr>
        <w:t xml:space="preserve">l remained in effect. Consequently, the State is not responsible for a violation of </w:t>
      </w:r>
      <w:bookmarkEnd w:id="1087"/>
      <w:r w:rsidR="00851076" w:rsidRPr="008A1DB4">
        <w:rPr>
          <w:spacing w:val="-2"/>
          <w:lang w:val="en-US"/>
        </w:rPr>
        <w:t>Article 7(2)</w:t>
      </w:r>
      <w:r w:rsidR="00F36400" w:rsidRPr="008A1DB4">
        <w:rPr>
          <w:spacing w:val="-2"/>
          <w:lang w:val="en-US"/>
        </w:rPr>
        <w:t xml:space="preserve"> of the American Convention</w:t>
      </w:r>
      <w:r w:rsidR="00DC4534" w:rsidRPr="008A1DB4">
        <w:rPr>
          <w:spacing w:val="-2"/>
          <w:lang w:val="en-US"/>
        </w:rPr>
        <w:t>.</w:t>
      </w:r>
      <w:bookmarkEnd w:id="1088"/>
      <w:r w:rsidR="00F74C05">
        <w:rPr>
          <w:spacing w:val="-2"/>
          <w:lang w:val="en-US"/>
        </w:rPr>
        <w:t xml:space="preserve"> </w:t>
      </w:r>
    </w:p>
    <w:p w14:paraId="66105334" w14:textId="77777777" w:rsidR="00601B3D" w:rsidRPr="008A1DB4" w:rsidRDefault="00601B3D" w:rsidP="00956E97">
      <w:pPr>
        <w:pStyle w:val="ListParagraph"/>
        <w:rPr>
          <w:spacing w:val="-2"/>
          <w:szCs w:val="20"/>
          <w:lang w:val="en-US"/>
        </w:rPr>
      </w:pPr>
    </w:p>
    <w:p w14:paraId="1B54EEB9" w14:textId="0FE94A67" w:rsidR="00601B3D" w:rsidRPr="008A1DB4" w:rsidRDefault="00601B3D" w:rsidP="00956E97">
      <w:pPr>
        <w:pStyle w:val="PrrafodeSentencia"/>
        <w:rPr>
          <w:spacing w:val="-2"/>
          <w:lang w:val="en-US"/>
        </w:rPr>
      </w:pPr>
      <w:bookmarkStart w:id="1089" w:name="_Ref419392999"/>
      <w:r w:rsidRPr="008A1DB4">
        <w:rPr>
          <w:spacing w:val="-2"/>
          <w:lang w:val="en-US"/>
        </w:rPr>
        <w:t>Re</w:t>
      </w:r>
      <w:r w:rsidR="004F0750" w:rsidRPr="008A1DB4">
        <w:rPr>
          <w:spacing w:val="-2"/>
          <w:lang w:val="en-US"/>
        </w:rPr>
        <w:t xml:space="preserve">garding the alleged arbitrary nature of the detention following </w:t>
      </w:r>
      <w:r w:rsidR="00C45946" w:rsidRPr="008A1DB4">
        <w:rPr>
          <w:spacing w:val="-2"/>
          <w:lang w:val="en-US"/>
        </w:rPr>
        <w:t xml:space="preserve">the </w:t>
      </w:r>
      <w:r w:rsidR="00B43F84" w:rsidRPr="008A1DB4">
        <w:rPr>
          <w:spacing w:val="-2"/>
          <w:lang w:val="en-US"/>
        </w:rPr>
        <w:t>Constitutional Court</w:t>
      </w:r>
      <w:r w:rsidR="004F0750" w:rsidRPr="008A1DB4">
        <w:rPr>
          <w:spacing w:val="-2"/>
          <w:lang w:val="en-US"/>
        </w:rPr>
        <w:t xml:space="preserve">’s decision </w:t>
      </w:r>
      <w:r w:rsidRPr="008A1DB4">
        <w:rPr>
          <w:spacing w:val="-2"/>
          <w:lang w:val="en-US"/>
        </w:rPr>
        <w:t>(</w:t>
      </w:r>
      <w:r w:rsidRPr="008A1DB4">
        <w:rPr>
          <w:i/>
          <w:spacing w:val="-2"/>
          <w:lang w:val="en-US"/>
        </w:rPr>
        <w:t xml:space="preserve">supra </w:t>
      </w:r>
      <w:r w:rsidR="00631F9C" w:rsidRPr="008A1DB4">
        <w:rPr>
          <w:spacing w:val="-2"/>
          <w:lang w:val="en-US"/>
        </w:rPr>
        <w:t>paras.</w:t>
      </w:r>
      <w:r w:rsidRPr="008A1DB4">
        <w:rPr>
          <w:spacing w:val="-2"/>
          <w:lang w:val="en-US"/>
        </w:rPr>
        <w:t xml:space="preserve"> </w:t>
      </w:r>
      <w:r w:rsidR="00EC4F51" w:rsidRPr="008A1DB4">
        <w:rPr>
          <w:spacing w:val="-2"/>
          <w:lang w:val="en-US"/>
        </w:rPr>
        <w:fldChar w:fldCharType="begin"/>
      </w:r>
      <w:r w:rsidR="00EC4F51" w:rsidRPr="008A1DB4">
        <w:rPr>
          <w:spacing w:val="-2"/>
          <w:lang w:val="en-US"/>
        </w:rPr>
        <w:instrText xml:space="preserve"> REF _Ref428979025 \r \h </w:instrText>
      </w:r>
      <w:r w:rsidR="00DC41F4" w:rsidRPr="008A1DB4">
        <w:rPr>
          <w:spacing w:val="-2"/>
          <w:lang w:val="en-US"/>
        </w:rPr>
        <w:instrText xml:space="preserve"> \* MERGEFORMAT </w:instrText>
      </w:r>
      <w:r w:rsidR="00EC4F51" w:rsidRPr="008A1DB4">
        <w:rPr>
          <w:spacing w:val="-2"/>
          <w:lang w:val="en-US"/>
        </w:rPr>
      </w:r>
      <w:r w:rsidR="00EC4F51" w:rsidRPr="008A1DB4">
        <w:rPr>
          <w:spacing w:val="-2"/>
          <w:lang w:val="en-US"/>
        </w:rPr>
        <w:fldChar w:fldCharType="separate"/>
      </w:r>
      <w:r w:rsidR="00E961FA" w:rsidRPr="008A1DB4">
        <w:rPr>
          <w:spacing w:val="-2"/>
          <w:lang w:val="en-US"/>
        </w:rPr>
        <w:t>258</w:t>
      </w:r>
      <w:r w:rsidR="00EC4F51" w:rsidRPr="008A1DB4">
        <w:rPr>
          <w:spacing w:val="-2"/>
          <w:lang w:val="en-US"/>
        </w:rPr>
        <w:fldChar w:fldCharType="end"/>
      </w:r>
      <w:r w:rsidR="00F36400" w:rsidRPr="008A1DB4">
        <w:rPr>
          <w:spacing w:val="-2"/>
          <w:lang w:val="en-US"/>
        </w:rPr>
        <w:t xml:space="preserve"> and </w:t>
      </w:r>
      <w:r w:rsidR="00EC4F51" w:rsidRPr="008A1DB4">
        <w:rPr>
          <w:spacing w:val="-2"/>
          <w:lang w:val="en-US"/>
        </w:rPr>
        <w:fldChar w:fldCharType="begin"/>
      </w:r>
      <w:r w:rsidR="00EC4F51" w:rsidRPr="008A1DB4">
        <w:rPr>
          <w:spacing w:val="-2"/>
          <w:lang w:val="en-US"/>
        </w:rPr>
        <w:instrText xml:space="preserve"> REF _Ref428979004 \r \h </w:instrText>
      </w:r>
      <w:r w:rsidR="00DC41F4" w:rsidRPr="008A1DB4">
        <w:rPr>
          <w:spacing w:val="-2"/>
          <w:lang w:val="en-US"/>
        </w:rPr>
        <w:instrText xml:space="preserve"> \* MERGEFORMAT </w:instrText>
      </w:r>
      <w:r w:rsidR="00EC4F51" w:rsidRPr="008A1DB4">
        <w:rPr>
          <w:spacing w:val="-2"/>
          <w:lang w:val="en-US"/>
        </w:rPr>
      </w:r>
      <w:r w:rsidR="00EC4F51" w:rsidRPr="008A1DB4">
        <w:rPr>
          <w:spacing w:val="-2"/>
          <w:lang w:val="en-US"/>
        </w:rPr>
        <w:fldChar w:fldCharType="separate"/>
      </w:r>
      <w:r w:rsidR="00E961FA" w:rsidRPr="008A1DB4">
        <w:rPr>
          <w:spacing w:val="-2"/>
          <w:lang w:val="en-US"/>
        </w:rPr>
        <w:t>260</w:t>
      </w:r>
      <w:r w:rsidR="00EC4F51" w:rsidRPr="008A1DB4">
        <w:rPr>
          <w:spacing w:val="-2"/>
          <w:lang w:val="en-US"/>
        </w:rPr>
        <w:fldChar w:fldCharType="end"/>
      </w:r>
      <w:r w:rsidRPr="008A1DB4">
        <w:rPr>
          <w:spacing w:val="-2"/>
          <w:lang w:val="en-US"/>
        </w:rPr>
        <w:t xml:space="preserve">), </w:t>
      </w:r>
      <w:r w:rsidR="00F36400" w:rsidRPr="008A1DB4">
        <w:rPr>
          <w:spacing w:val="-2"/>
          <w:lang w:val="en-US"/>
        </w:rPr>
        <w:t>the Court</w:t>
      </w:r>
      <w:r w:rsidRPr="008A1DB4">
        <w:rPr>
          <w:spacing w:val="-2"/>
          <w:lang w:val="en-US"/>
        </w:rPr>
        <w:t xml:space="preserve"> reitera</w:t>
      </w:r>
      <w:r w:rsidR="004F0750" w:rsidRPr="008A1DB4">
        <w:rPr>
          <w:spacing w:val="-2"/>
          <w:lang w:val="en-US"/>
        </w:rPr>
        <w:t xml:space="preserve">tes that the order </w:t>
      </w:r>
      <w:r w:rsidR="00C45946" w:rsidRPr="008A1DB4">
        <w:rPr>
          <w:spacing w:val="-2"/>
          <w:lang w:val="en-US"/>
        </w:rPr>
        <w:t xml:space="preserve">of the </w:t>
      </w:r>
      <w:r w:rsidR="00B43F84" w:rsidRPr="008A1DB4">
        <w:rPr>
          <w:spacing w:val="-2"/>
          <w:lang w:val="en-US"/>
        </w:rPr>
        <w:t>Constitutional Court</w:t>
      </w:r>
      <w:r w:rsidRPr="008A1DB4">
        <w:rPr>
          <w:spacing w:val="-2"/>
          <w:lang w:val="en-US"/>
        </w:rPr>
        <w:t xml:space="preserve"> </w:t>
      </w:r>
      <w:r w:rsidR="004F0750" w:rsidRPr="008A1DB4">
        <w:rPr>
          <w:spacing w:val="-2"/>
          <w:lang w:val="en-US"/>
        </w:rPr>
        <w:t xml:space="preserve">did not signify the end of </w:t>
      </w:r>
      <w:r w:rsidR="00671326" w:rsidRPr="008A1DB4">
        <w:rPr>
          <w:spacing w:val="-2"/>
          <w:lang w:val="en-US"/>
        </w:rPr>
        <w:t xml:space="preserve">the </w:t>
      </w:r>
      <w:r w:rsidR="00FC5891" w:rsidRPr="008A1DB4">
        <w:rPr>
          <w:spacing w:val="-2"/>
          <w:lang w:val="en-US"/>
        </w:rPr>
        <w:t>extradition process</w:t>
      </w:r>
      <w:r w:rsidRPr="008A1DB4">
        <w:rPr>
          <w:spacing w:val="-2"/>
          <w:lang w:val="en-US"/>
        </w:rPr>
        <w:t xml:space="preserve">. </w:t>
      </w:r>
      <w:r w:rsidR="004F0750" w:rsidRPr="008A1DB4">
        <w:rPr>
          <w:spacing w:val="-2"/>
          <w:lang w:val="en-US"/>
        </w:rPr>
        <w:t xml:space="preserve">Moreover, considering that, in the preceding section, this Court </w:t>
      </w:r>
      <w:r w:rsidR="00F74C05">
        <w:rPr>
          <w:spacing w:val="-2"/>
          <w:lang w:val="en-US"/>
        </w:rPr>
        <w:t xml:space="preserve">has </w:t>
      </w:r>
      <w:r w:rsidR="004F0750" w:rsidRPr="008A1DB4">
        <w:rPr>
          <w:spacing w:val="-2"/>
          <w:lang w:val="en-US"/>
        </w:rPr>
        <w:t xml:space="preserve">already determined that the detention was arbitrary </w:t>
      </w:r>
      <w:r w:rsidRPr="008A1DB4">
        <w:rPr>
          <w:spacing w:val="-2"/>
          <w:lang w:val="en-US"/>
        </w:rPr>
        <w:t>(</w:t>
      </w:r>
      <w:r w:rsidRPr="008A1DB4">
        <w:rPr>
          <w:i/>
          <w:spacing w:val="-2"/>
          <w:lang w:val="en-US"/>
        </w:rPr>
        <w:t xml:space="preserve">supra </w:t>
      </w:r>
      <w:r w:rsidR="00631F9C" w:rsidRPr="008A1DB4">
        <w:rPr>
          <w:spacing w:val="-2"/>
          <w:lang w:val="en-US"/>
        </w:rPr>
        <w:t>paras.</w:t>
      </w:r>
      <w:r w:rsidRPr="008A1DB4">
        <w:rPr>
          <w:spacing w:val="-2"/>
          <w:lang w:val="en-US"/>
        </w:rPr>
        <w:t xml:space="preserve"> </w:t>
      </w:r>
      <w:r w:rsidR="00EC4F51" w:rsidRPr="008A1DB4">
        <w:rPr>
          <w:spacing w:val="-2"/>
          <w:lang w:val="en-US"/>
        </w:rPr>
        <w:fldChar w:fldCharType="begin"/>
      </w:r>
      <w:r w:rsidR="00EC4F51" w:rsidRPr="008A1DB4">
        <w:rPr>
          <w:spacing w:val="-2"/>
          <w:lang w:val="en-US"/>
        </w:rPr>
        <w:instrText xml:space="preserve"> REF _Ref419392527 \r \h </w:instrText>
      </w:r>
      <w:r w:rsidR="00DC41F4" w:rsidRPr="008A1DB4">
        <w:rPr>
          <w:spacing w:val="-2"/>
          <w:lang w:val="en-US"/>
        </w:rPr>
        <w:instrText xml:space="preserve"> \* MERGEFORMAT </w:instrText>
      </w:r>
      <w:r w:rsidR="00EC4F51" w:rsidRPr="008A1DB4">
        <w:rPr>
          <w:spacing w:val="-2"/>
          <w:lang w:val="en-US"/>
        </w:rPr>
      </w:r>
      <w:r w:rsidR="00EC4F51" w:rsidRPr="008A1DB4">
        <w:rPr>
          <w:spacing w:val="-2"/>
          <w:lang w:val="en-US"/>
        </w:rPr>
        <w:fldChar w:fldCharType="separate"/>
      </w:r>
      <w:r w:rsidR="00E961FA" w:rsidRPr="008A1DB4">
        <w:rPr>
          <w:spacing w:val="-2"/>
          <w:lang w:val="en-US"/>
        </w:rPr>
        <w:t>247</w:t>
      </w:r>
      <w:r w:rsidR="00EC4F51" w:rsidRPr="008A1DB4">
        <w:rPr>
          <w:spacing w:val="-2"/>
          <w:lang w:val="en-US"/>
        </w:rPr>
        <w:fldChar w:fldCharType="end"/>
      </w:r>
      <w:r w:rsidR="004F0750" w:rsidRPr="008A1DB4">
        <w:rPr>
          <w:spacing w:val="-2"/>
          <w:lang w:val="en-US"/>
        </w:rPr>
        <w:t xml:space="preserve"> to</w:t>
      </w:r>
      <w:r w:rsidR="00AD6673" w:rsidRPr="008A1DB4">
        <w:rPr>
          <w:spacing w:val="-2"/>
          <w:lang w:val="en-US"/>
        </w:rPr>
        <w:t xml:space="preserve"> </w:t>
      </w:r>
      <w:r w:rsidR="00AD6673" w:rsidRPr="008A1DB4">
        <w:rPr>
          <w:spacing w:val="-2"/>
          <w:lang w:val="en-US"/>
        </w:rPr>
        <w:fldChar w:fldCharType="begin"/>
      </w:r>
      <w:r w:rsidR="00AD6673" w:rsidRPr="008A1DB4">
        <w:rPr>
          <w:spacing w:val="-2"/>
          <w:lang w:val="en-US"/>
        </w:rPr>
        <w:instrText xml:space="preserve"> REF _Ref419392670 \r \h </w:instrText>
      </w:r>
      <w:r w:rsidR="00DC41F4" w:rsidRPr="008A1DB4">
        <w:rPr>
          <w:spacing w:val="-2"/>
          <w:lang w:val="en-US"/>
        </w:rPr>
        <w:instrText xml:space="preserve"> \* MERGEFORMAT </w:instrText>
      </w:r>
      <w:r w:rsidR="00AD6673" w:rsidRPr="008A1DB4">
        <w:rPr>
          <w:spacing w:val="-2"/>
          <w:lang w:val="en-US"/>
        </w:rPr>
      </w:r>
      <w:r w:rsidR="00AD6673" w:rsidRPr="008A1DB4">
        <w:rPr>
          <w:spacing w:val="-2"/>
          <w:lang w:val="en-US"/>
        </w:rPr>
        <w:fldChar w:fldCharType="separate"/>
      </w:r>
      <w:r w:rsidR="00E961FA" w:rsidRPr="008A1DB4">
        <w:rPr>
          <w:spacing w:val="-2"/>
          <w:lang w:val="en-US"/>
        </w:rPr>
        <w:t>255</w:t>
      </w:r>
      <w:r w:rsidR="00AD6673" w:rsidRPr="008A1DB4">
        <w:rPr>
          <w:spacing w:val="-2"/>
          <w:lang w:val="en-US"/>
        </w:rPr>
        <w:fldChar w:fldCharType="end"/>
      </w:r>
      <w:r w:rsidRPr="008A1DB4">
        <w:rPr>
          <w:spacing w:val="-2"/>
          <w:lang w:val="en-US"/>
        </w:rPr>
        <w:t xml:space="preserve">), </w:t>
      </w:r>
      <w:r w:rsidR="004F0750" w:rsidRPr="008A1DB4">
        <w:rPr>
          <w:spacing w:val="-2"/>
          <w:lang w:val="en-US"/>
        </w:rPr>
        <w:t>the</w:t>
      </w:r>
      <w:r w:rsidR="00F36400" w:rsidRPr="008A1DB4">
        <w:rPr>
          <w:spacing w:val="-2"/>
          <w:lang w:val="en-US"/>
        </w:rPr>
        <w:t xml:space="preserve"> Court</w:t>
      </w:r>
      <w:r w:rsidRPr="008A1DB4">
        <w:rPr>
          <w:spacing w:val="-2"/>
          <w:lang w:val="en-US"/>
        </w:rPr>
        <w:t xml:space="preserve"> </w:t>
      </w:r>
      <w:r w:rsidR="004F0750" w:rsidRPr="008A1DB4">
        <w:rPr>
          <w:spacing w:val="-2"/>
          <w:lang w:val="en-US"/>
        </w:rPr>
        <w:t>finds it unnecessary to analyze its alleged arbitrariness following the</w:t>
      </w:r>
      <w:r w:rsidRPr="008A1DB4">
        <w:rPr>
          <w:spacing w:val="-2"/>
          <w:lang w:val="en-US"/>
        </w:rPr>
        <w:t xml:space="preserv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r w:rsidRPr="008A1DB4">
        <w:rPr>
          <w:spacing w:val="-2"/>
          <w:lang w:val="en-US"/>
        </w:rPr>
        <w:t>.</w:t>
      </w:r>
      <w:bookmarkEnd w:id="1089"/>
    </w:p>
    <w:p w14:paraId="2456FA36" w14:textId="77777777" w:rsidR="00601B3D" w:rsidRPr="008A1DB4" w:rsidRDefault="00601B3D" w:rsidP="00956E97">
      <w:pPr>
        <w:pStyle w:val="ListParagraph"/>
        <w:tabs>
          <w:tab w:val="left" w:pos="567"/>
        </w:tabs>
        <w:ind w:left="0"/>
        <w:contextualSpacing w:val="0"/>
        <w:rPr>
          <w:spacing w:val="-2"/>
          <w:szCs w:val="20"/>
          <w:lang w:val="en-US"/>
        </w:rPr>
      </w:pPr>
    </w:p>
    <w:p w14:paraId="37C9BCA3" w14:textId="218444EB" w:rsidR="00601B3D" w:rsidRPr="008A1DB4" w:rsidRDefault="00601B3D" w:rsidP="00956E97">
      <w:pPr>
        <w:pStyle w:val="Heading1"/>
        <w:rPr>
          <w:spacing w:val="-2"/>
          <w:lang w:val="en-US"/>
        </w:rPr>
      </w:pPr>
      <w:bookmarkStart w:id="1090" w:name="_Toc418912640"/>
      <w:bookmarkStart w:id="1091" w:name="_Toc419394437"/>
      <w:bookmarkStart w:id="1092" w:name="_Toc429490296"/>
      <w:bookmarkStart w:id="1093" w:name="_Toc429503810"/>
      <w:bookmarkStart w:id="1094" w:name="_Toc429504316"/>
      <w:bookmarkStart w:id="1095" w:name="_Toc429678029"/>
      <w:bookmarkStart w:id="1096" w:name="_Toc430017192"/>
      <w:bookmarkStart w:id="1097" w:name="_Toc430017421"/>
      <w:bookmarkStart w:id="1098" w:name="_Toc430018703"/>
      <w:bookmarkStart w:id="1099" w:name="_Toc430125301"/>
      <w:bookmarkStart w:id="1100" w:name="_Toc430125409"/>
      <w:r w:rsidRPr="008A1DB4">
        <w:rPr>
          <w:spacing w:val="-2"/>
          <w:lang w:val="en-US"/>
        </w:rPr>
        <w:t xml:space="preserve">C. </w:t>
      </w:r>
      <w:r w:rsidR="00E740D4" w:rsidRPr="008A1DB4">
        <w:rPr>
          <w:spacing w:val="-2"/>
          <w:lang w:val="en-US"/>
        </w:rPr>
        <w:t>The duration of the</w:t>
      </w:r>
      <w:r w:rsidR="004257EF" w:rsidRPr="008A1DB4">
        <w:rPr>
          <w:spacing w:val="-2"/>
          <w:lang w:val="en-US"/>
        </w:rPr>
        <w:t xml:space="preserve"> provisional arrest</w:t>
      </w:r>
      <w:bookmarkEnd w:id="1090"/>
      <w:bookmarkEnd w:id="1091"/>
      <w:bookmarkEnd w:id="1092"/>
      <w:bookmarkEnd w:id="1093"/>
      <w:bookmarkEnd w:id="1094"/>
      <w:bookmarkEnd w:id="1095"/>
      <w:bookmarkEnd w:id="1096"/>
      <w:bookmarkEnd w:id="1097"/>
      <w:bookmarkEnd w:id="1098"/>
      <w:bookmarkEnd w:id="1099"/>
      <w:bookmarkEnd w:id="1100"/>
    </w:p>
    <w:p w14:paraId="51569CF2" w14:textId="77777777" w:rsidR="00601B3D" w:rsidRPr="008A1DB4" w:rsidRDefault="00601B3D" w:rsidP="00956E97">
      <w:pPr>
        <w:pStyle w:val="ListParagraph"/>
        <w:tabs>
          <w:tab w:val="left" w:pos="567"/>
        </w:tabs>
        <w:ind w:left="0"/>
        <w:contextualSpacing w:val="0"/>
        <w:rPr>
          <w:spacing w:val="-2"/>
          <w:szCs w:val="20"/>
          <w:lang w:val="en-US"/>
        </w:rPr>
      </w:pPr>
    </w:p>
    <w:p w14:paraId="02CFC0B1" w14:textId="2A2B4B8C" w:rsidR="00601B3D" w:rsidRPr="008A1DB4" w:rsidRDefault="00601B3D" w:rsidP="00956E97">
      <w:pPr>
        <w:pStyle w:val="Heading2"/>
        <w:rPr>
          <w:spacing w:val="-2"/>
          <w:lang w:val="en-US"/>
        </w:rPr>
      </w:pPr>
      <w:bookmarkStart w:id="1101" w:name="_Toc430018704"/>
      <w:bookmarkStart w:id="1102" w:name="_Toc430125302"/>
      <w:bookmarkStart w:id="1103" w:name="_Toc430125410"/>
      <w:bookmarkStart w:id="1104" w:name="_Toc418074105"/>
      <w:bookmarkStart w:id="1105" w:name="_Toc418503910"/>
      <w:bookmarkStart w:id="1106" w:name="_Toc418912641"/>
      <w:bookmarkStart w:id="1107" w:name="_Toc419394438"/>
      <w:bookmarkStart w:id="1108" w:name="_Toc429490297"/>
      <w:bookmarkStart w:id="1109" w:name="_Toc429503811"/>
      <w:bookmarkStart w:id="1110" w:name="_Toc429504317"/>
      <w:bookmarkStart w:id="1111" w:name="_Toc429678030"/>
      <w:bookmarkStart w:id="1112" w:name="_Toc430017193"/>
      <w:bookmarkStart w:id="1113" w:name="_Toc430017422"/>
      <w:r w:rsidRPr="008A1DB4">
        <w:rPr>
          <w:spacing w:val="-2"/>
          <w:lang w:val="en-US"/>
        </w:rPr>
        <w:t xml:space="preserve">C.1) </w:t>
      </w:r>
      <w:r w:rsidR="0058668C" w:rsidRPr="008A1DB4">
        <w:rPr>
          <w:spacing w:val="-2"/>
          <w:lang w:val="en-US"/>
        </w:rPr>
        <w:t>Arguments</w:t>
      </w:r>
      <w:r w:rsidR="00767DE5"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1101"/>
      <w:bookmarkEnd w:id="1102"/>
      <w:bookmarkEnd w:id="1103"/>
      <w:r w:rsidRPr="008A1DB4">
        <w:rPr>
          <w:spacing w:val="-2"/>
          <w:lang w:val="en-US"/>
        </w:rPr>
        <w:t xml:space="preserve"> </w:t>
      </w:r>
      <w:bookmarkEnd w:id="1104"/>
      <w:bookmarkEnd w:id="1105"/>
      <w:bookmarkEnd w:id="1106"/>
      <w:bookmarkEnd w:id="1107"/>
      <w:bookmarkEnd w:id="1108"/>
      <w:bookmarkEnd w:id="1109"/>
      <w:bookmarkEnd w:id="1110"/>
      <w:bookmarkEnd w:id="1111"/>
      <w:bookmarkEnd w:id="1112"/>
      <w:bookmarkEnd w:id="1113"/>
    </w:p>
    <w:p w14:paraId="771FF26E" w14:textId="77777777" w:rsidR="00601B3D" w:rsidRPr="008A1DB4" w:rsidRDefault="00601B3D" w:rsidP="00956E97">
      <w:pPr>
        <w:rPr>
          <w:spacing w:val="-2"/>
          <w:szCs w:val="20"/>
          <w:lang w:val="en-US"/>
        </w:rPr>
      </w:pPr>
    </w:p>
    <w:p w14:paraId="1FA465A5" w14:textId="531C4F17" w:rsidR="00601B3D" w:rsidRPr="008A1DB4" w:rsidRDefault="00F36400" w:rsidP="004F0750">
      <w:pPr>
        <w:pStyle w:val="PrrafodeSentencia"/>
        <w:rPr>
          <w:spacing w:val="-2"/>
          <w:lang w:val="en-US"/>
        </w:rPr>
      </w:pPr>
      <w:r w:rsidRPr="008A1DB4">
        <w:rPr>
          <w:spacing w:val="-2"/>
          <w:lang w:val="en-US"/>
        </w:rPr>
        <w:t>The Commission</w:t>
      </w:r>
      <w:r w:rsidR="00601B3D" w:rsidRPr="008A1DB4">
        <w:rPr>
          <w:spacing w:val="-2"/>
          <w:lang w:val="en-US"/>
        </w:rPr>
        <w:t xml:space="preserve"> </w:t>
      </w:r>
      <w:r w:rsidR="004F0750" w:rsidRPr="008A1DB4">
        <w:rPr>
          <w:spacing w:val="-2"/>
          <w:lang w:val="en-US"/>
        </w:rPr>
        <w:t>indicated that “</w:t>
      </w:r>
      <w:proofErr w:type="gramStart"/>
      <w:r w:rsidR="004F0750" w:rsidRPr="008A1DB4">
        <w:rPr>
          <w:spacing w:val="-2"/>
          <w:lang w:val="en-US"/>
        </w:rPr>
        <w:t xml:space="preserve">a </w:t>
      </w:r>
      <w:r w:rsidR="00F74C05">
        <w:rPr>
          <w:spacing w:val="-2"/>
          <w:lang w:val="en-US"/>
        </w:rPr>
        <w:t>duration</w:t>
      </w:r>
      <w:proofErr w:type="gramEnd"/>
      <w:r w:rsidR="004F0750" w:rsidRPr="008A1DB4">
        <w:rPr>
          <w:spacing w:val="-2"/>
          <w:lang w:val="en-US"/>
        </w:rPr>
        <w:t xml:space="preserve"> of four years and nine months to take a final decision in an extradition process, is </w:t>
      </w:r>
      <w:r w:rsidR="00601B3D" w:rsidRPr="008A1DB4">
        <w:rPr>
          <w:i/>
          <w:spacing w:val="-2"/>
          <w:lang w:val="en-US"/>
        </w:rPr>
        <w:t xml:space="preserve">prima facie </w:t>
      </w:r>
      <w:r w:rsidR="00601B3D" w:rsidRPr="008A1DB4">
        <w:rPr>
          <w:spacing w:val="-2"/>
          <w:lang w:val="en-US"/>
        </w:rPr>
        <w:t>problem</w:t>
      </w:r>
      <w:r w:rsidR="004F0750" w:rsidRPr="008A1DB4">
        <w:rPr>
          <w:spacing w:val="-2"/>
          <w:lang w:val="en-US"/>
        </w:rPr>
        <w:t xml:space="preserve">atic, and requires sufficient justification by the State of the reasons for the delay in the final decision.” In this regard, it underlined that, </w:t>
      </w:r>
      <w:r w:rsidR="00F74C05">
        <w:rPr>
          <w:spacing w:val="-2"/>
          <w:lang w:val="en-US"/>
        </w:rPr>
        <w:t>while “receiving</w:t>
      </w:r>
      <w:r w:rsidR="004F0750" w:rsidRPr="008A1DB4">
        <w:rPr>
          <w:spacing w:val="-2"/>
          <w:lang w:val="en-US"/>
        </w:rPr>
        <w:t xml:space="preserve"> the diplomatic assurances</w:t>
      </w:r>
      <w:r w:rsidR="00F74C05">
        <w:rPr>
          <w:spacing w:val="-2"/>
          <w:lang w:val="en-US"/>
        </w:rPr>
        <w:t>,</w:t>
      </w:r>
      <w:r w:rsidR="004F0750" w:rsidRPr="008A1DB4">
        <w:rPr>
          <w:spacing w:val="-2"/>
          <w:lang w:val="en-US"/>
        </w:rPr>
        <w:t xml:space="preserve">” the State “was responsible for </w:t>
      </w:r>
      <w:r w:rsidR="00F74C05">
        <w:rPr>
          <w:spacing w:val="-2"/>
          <w:lang w:val="en-US"/>
        </w:rPr>
        <w:t xml:space="preserve">errors and omissions </w:t>
      </w:r>
      <w:r w:rsidR="004F0750" w:rsidRPr="008A1DB4">
        <w:rPr>
          <w:spacing w:val="-2"/>
          <w:lang w:val="en-US"/>
        </w:rPr>
        <w:t xml:space="preserve">[…] that affected the duration of the process and, consequently, the </w:t>
      </w:r>
      <w:r w:rsidR="00776D24" w:rsidRPr="008A1DB4">
        <w:rPr>
          <w:spacing w:val="-2"/>
          <w:lang w:val="en-US"/>
        </w:rPr>
        <w:t>personal liberty</w:t>
      </w:r>
      <w:r w:rsidR="00601B3D" w:rsidRPr="008A1DB4">
        <w:rPr>
          <w:spacing w:val="-2"/>
          <w:lang w:val="en-US"/>
        </w:rPr>
        <w:t xml:space="preserve"> </w:t>
      </w:r>
      <w:r w:rsidR="00B43F84" w:rsidRPr="008A1DB4">
        <w:rPr>
          <w:spacing w:val="-2"/>
          <w:lang w:val="en-US"/>
        </w:rPr>
        <w:t>of Wong</w:t>
      </w:r>
      <w:r w:rsidR="00601B3D" w:rsidRPr="008A1DB4">
        <w:rPr>
          <w:spacing w:val="-2"/>
          <w:lang w:val="en-US"/>
        </w:rPr>
        <w:t xml:space="preserve"> Ho Wing</w:t>
      </w:r>
      <w:r w:rsidR="004F0750" w:rsidRPr="008A1DB4">
        <w:rPr>
          <w:spacing w:val="-2"/>
          <w:lang w:val="en-US"/>
        </w:rPr>
        <w:t>,”</w:t>
      </w:r>
      <w:r w:rsidRPr="008A1DB4">
        <w:rPr>
          <w:spacing w:val="-2"/>
          <w:lang w:val="en-US"/>
        </w:rPr>
        <w:t xml:space="preserve"> and </w:t>
      </w:r>
      <w:r w:rsidR="004F0750" w:rsidRPr="008A1DB4">
        <w:rPr>
          <w:spacing w:val="-2"/>
          <w:lang w:val="en-US"/>
        </w:rPr>
        <w:t>that</w:t>
      </w:r>
      <w:r w:rsidR="00601B3D" w:rsidRPr="008A1DB4">
        <w:rPr>
          <w:spacing w:val="-2"/>
          <w:lang w:val="en-US"/>
        </w:rPr>
        <w:t xml:space="preserve"> “</w:t>
      </w:r>
      <w:r w:rsidR="004F0750" w:rsidRPr="008A1DB4">
        <w:rPr>
          <w:spacing w:val="-2"/>
          <w:lang w:val="en-US"/>
        </w:rPr>
        <w:t xml:space="preserve">the delay was not justified in light of the factors analyzed when examining the guarantee of a </w:t>
      </w:r>
      <w:r w:rsidR="00A33F97" w:rsidRPr="008A1DB4">
        <w:rPr>
          <w:spacing w:val="-2"/>
          <w:lang w:val="en-US"/>
        </w:rPr>
        <w:t>reasonable time</w:t>
      </w:r>
      <w:r w:rsidR="004F0750" w:rsidRPr="008A1DB4">
        <w:rPr>
          <w:spacing w:val="-2"/>
          <w:lang w:val="en-US"/>
        </w:rPr>
        <w:t xml:space="preserve">.” It added that, following the </w:t>
      </w:r>
      <w:r w:rsidR="00B43F84" w:rsidRPr="008A1DB4">
        <w:rPr>
          <w:spacing w:val="-2"/>
          <w:lang w:val="en-US"/>
        </w:rPr>
        <w:t>Constitutional Court</w:t>
      </w:r>
      <w:r w:rsidR="004F0750" w:rsidRPr="008A1DB4">
        <w:rPr>
          <w:spacing w:val="-2"/>
          <w:lang w:val="en-US"/>
        </w:rPr>
        <w:t>’s decision</w:t>
      </w:r>
      <w:r w:rsidR="001C48DD" w:rsidRPr="008A1DB4">
        <w:rPr>
          <w:spacing w:val="-2"/>
          <w:lang w:val="en-US"/>
        </w:rPr>
        <w:t>,</w:t>
      </w:r>
      <w:r w:rsidR="00601B3D" w:rsidRPr="008A1DB4">
        <w:rPr>
          <w:spacing w:val="-2"/>
          <w:lang w:val="en-US"/>
        </w:rPr>
        <w:t xml:space="preserve"> </w:t>
      </w:r>
      <w:r w:rsidR="004F0750" w:rsidRPr="008A1DB4">
        <w:rPr>
          <w:spacing w:val="-2"/>
          <w:lang w:val="en-US"/>
        </w:rPr>
        <w:t>“a situation of legal limbo [was created that] has resu</w:t>
      </w:r>
      <w:r w:rsidR="00F74C05">
        <w:rPr>
          <w:spacing w:val="-2"/>
          <w:lang w:val="en-US"/>
        </w:rPr>
        <w:t>lted in an excessive duration of</w:t>
      </w:r>
      <w:r w:rsidR="004F0750" w:rsidRPr="008A1DB4">
        <w:rPr>
          <w:spacing w:val="-2"/>
          <w:lang w:val="en-US"/>
        </w:rPr>
        <w:t xml:space="preserve"> the deprivation of liberty </w:t>
      </w:r>
      <w:r w:rsidR="00601B3D" w:rsidRPr="008A1DB4">
        <w:rPr>
          <w:spacing w:val="-2"/>
          <w:lang w:val="en-US"/>
        </w:rPr>
        <w:t xml:space="preserve">[…] </w:t>
      </w:r>
      <w:r w:rsidR="00E740D4" w:rsidRPr="008A1DB4">
        <w:rPr>
          <w:spacing w:val="-2"/>
          <w:lang w:val="en-US"/>
        </w:rPr>
        <w:t>in violation of</w:t>
      </w:r>
      <w:r w:rsidR="0058668C" w:rsidRPr="008A1DB4">
        <w:rPr>
          <w:spacing w:val="-2"/>
          <w:lang w:val="en-US"/>
        </w:rPr>
        <w:t xml:space="preserve"> </w:t>
      </w:r>
      <w:r w:rsidR="00851076" w:rsidRPr="008A1DB4">
        <w:rPr>
          <w:spacing w:val="-2"/>
          <w:lang w:val="en-US"/>
        </w:rPr>
        <w:t>Article 7(5)</w:t>
      </w:r>
      <w:r w:rsidR="00601B3D" w:rsidRPr="008A1DB4">
        <w:rPr>
          <w:spacing w:val="-2"/>
          <w:lang w:val="en-US"/>
        </w:rPr>
        <w:t xml:space="preserve">”. </w:t>
      </w:r>
    </w:p>
    <w:p w14:paraId="00DC22EB" w14:textId="77777777" w:rsidR="00601B3D" w:rsidRPr="008A1DB4" w:rsidRDefault="00601B3D" w:rsidP="00956E97">
      <w:pPr>
        <w:pStyle w:val="ListParagraph"/>
        <w:tabs>
          <w:tab w:val="left" w:pos="567"/>
        </w:tabs>
        <w:ind w:left="0"/>
        <w:contextualSpacing w:val="0"/>
        <w:rPr>
          <w:spacing w:val="-2"/>
          <w:szCs w:val="20"/>
          <w:lang w:val="en-US"/>
        </w:rPr>
      </w:pPr>
    </w:p>
    <w:p w14:paraId="183438C9" w14:textId="45893C3F" w:rsidR="00601B3D" w:rsidRPr="008A1DB4" w:rsidRDefault="00C45946" w:rsidP="004F0750">
      <w:pPr>
        <w:pStyle w:val="PrrafodeSentencia"/>
        <w:rPr>
          <w:spacing w:val="-2"/>
          <w:lang w:val="en-US"/>
        </w:rPr>
      </w:pPr>
      <w:r w:rsidRPr="008A1DB4">
        <w:rPr>
          <w:spacing w:val="-2"/>
          <w:lang w:val="en-US"/>
        </w:rPr>
        <w:t>The representative</w:t>
      </w:r>
      <w:r w:rsidR="00601B3D" w:rsidRPr="008A1DB4">
        <w:rPr>
          <w:b/>
          <w:i/>
          <w:spacing w:val="-2"/>
          <w:lang w:val="en-US"/>
        </w:rPr>
        <w:t xml:space="preserve"> </w:t>
      </w:r>
      <w:r w:rsidR="00601B3D" w:rsidRPr="008A1DB4">
        <w:rPr>
          <w:spacing w:val="-2"/>
          <w:lang w:val="en-US"/>
        </w:rPr>
        <w:t>a</w:t>
      </w:r>
      <w:r w:rsidR="004F0750" w:rsidRPr="008A1DB4">
        <w:rPr>
          <w:spacing w:val="-2"/>
          <w:lang w:val="en-US"/>
        </w:rPr>
        <w:t xml:space="preserve">rgued that </w:t>
      </w:r>
      <w:r w:rsidR="00601B3D" w:rsidRPr="008A1DB4">
        <w:rPr>
          <w:spacing w:val="-2"/>
          <w:lang w:val="en-US"/>
        </w:rPr>
        <w:t>“Wong Ho Wing [ha</w:t>
      </w:r>
      <w:r w:rsidR="004F0750" w:rsidRPr="008A1DB4">
        <w:rPr>
          <w:spacing w:val="-2"/>
          <w:lang w:val="en-US"/>
        </w:rPr>
        <w:t xml:space="preserve">s been] deprived of his </w:t>
      </w:r>
      <w:r w:rsidR="00776D24" w:rsidRPr="008A1DB4">
        <w:rPr>
          <w:spacing w:val="-2"/>
          <w:lang w:val="en-US"/>
        </w:rPr>
        <w:t>personal liberty</w:t>
      </w:r>
      <w:r w:rsidR="00601B3D" w:rsidRPr="008A1DB4">
        <w:rPr>
          <w:spacing w:val="-2"/>
          <w:lang w:val="en-US"/>
        </w:rPr>
        <w:t xml:space="preserve"> </w:t>
      </w:r>
      <w:r w:rsidR="004F0750" w:rsidRPr="008A1DB4">
        <w:rPr>
          <w:spacing w:val="-2"/>
          <w:lang w:val="en-US"/>
        </w:rPr>
        <w:t xml:space="preserve">without judicial control and for an excessive amount of time in violation </w:t>
      </w:r>
      <w:r w:rsidR="0058668C" w:rsidRPr="008A1DB4">
        <w:rPr>
          <w:spacing w:val="-2"/>
          <w:lang w:val="en-US"/>
        </w:rPr>
        <w:t xml:space="preserve">of </w:t>
      </w:r>
      <w:r w:rsidR="00851076" w:rsidRPr="008A1DB4">
        <w:rPr>
          <w:spacing w:val="-2"/>
          <w:lang w:val="en-US"/>
        </w:rPr>
        <w:t>Article 7(5)</w:t>
      </w:r>
      <w:r w:rsidR="00F36400" w:rsidRPr="008A1DB4">
        <w:rPr>
          <w:spacing w:val="-2"/>
          <w:lang w:val="en-US"/>
        </w:rPr>
        <w:t xml:space="preserve"> of the Convention</w:t>
      </w:r>
      <w:r w:rsidR="004F0750" w:rsidRPr="008A1DB4">
        <w:rPr>
          <w:spacing w:val="-2"/>
          <w:lang w:val="en-US"/>
        </w:rPr>
        <w:t xml:space="preserve">.” He also indicated that, “in similar cases, […] the assessment of the length of the detention has been made based on the due diligence with which the States had taken measures </w:t>
      </w:r>
      <w:r w:rsidR="004F0750" w:rsidRPr="008A1DB4">
        <w:rPr>
          <w:spacing w:val="-2"/>
          <w:lang w:val="en-US"/>
        </w:rPr>
        <w:lastRenderedPageBreak/>
        <w:t xml:space="preserve">with a view to the extradition.” In this case, “the Executive Branch has [taken] a series of measures that have delayed the adoption of a final decision, despite the existence of a </w:t>
      </w:r>
      <w:r w:rsidR="00B43F84" w:rsidRPr="008A1DB4">
        <w:rPr>
          <w:spacing w:val="-2"/>
          <w:lang w:val="en-US"/>
        </w:rPr>
        <w:t>Constitutional Court</w:t>
      </w:r>
      <w:r w:rsidR="00F74C05">
        <w:rPr>
          <w:spacing w:val="-2"/>
          <w:lang w:val="en-US"/>
        </w:rPr>
        <w:t xml:space="preserve"> judgment</w:t>
      </w:r>
      <w:r w:rsidR="00601B3D" w:rsidRPr="008A1DB4">
        <w:rPr>
          <w:spacing w:val="-2"/>
          <w:lang w:val="en-US"/>
        </w:rPr>
        <w:t xml:space="preserve"> […] </w:t>
      </w:r>
      <w:r w:rsidR="004F0750" w:rsidRPr="008A1DB4">
        <w:rPr>
          <w:spacing w:val="-2"/>
          <w:lang w:val="en-US"/>
        </w:rPr>
        <w:t xml:space="preserve">ordering it to refrain from extraditing him.” He also stressed that the fact that “procedural law on extradition does not establish a </w:t>
      </w:r>
      <w:r w:rsidR="003D2FF4">
        <w:rPr>
          <w:spacing w:val="-2"/>
          <w:lang w:val="en-US"/>
        </w:rPr>
        <w:t>time limit</w:t>
      </w:r>
      <w:r w:rsidR="004F0750" w:rsidRPr="008A1DB4">
        <w:rPr>
          <w:spacing w:val="-2"/>
          <w:lang w:val="en-US"/>
        </w:rPr>
        <w:t xml:space="preserve"> for the deprivation of liberty during </w:t>
      </w:r>
      <w:r w:rsidR="00FC5891" w:rsidRPr="008A1DB4">
        <w:rPr>
          <w:spacing w:val="-2"/>
          <w:lang w:val="en-US"/>
        </w:rPr>
        <w:t>the extradition process</w:t>
      </w:r>
      <w:r w:rsidR="00601B3D" w:rsidRPr="008A1DB4">
        <w:rPr>
          <w:spacing w:val="-2"/>
          <w:lang w:val="en-US"/>
        </w:rPr>
        <w:t xml:space="preserve"> </w:t>
      </w:r>
      <w:r w:rsidR="004F0750" w:rsidRPr="008A1DB4">
        <w:rPr>
          <w:spacing w:val="-2"/>
          <w:lang w:val="en-US"/>
        </w:rPr>
        <w:t xml:space="preserve">or a </w:t>
      </w:r>
      <w:r w:rsidR="00F74C05">
        <w:rPr>
          <w:spacing w:val="-2"/>
          <w:lang w:val="en-US"/>
        </w:rPr>
        <w:t>deadline</w:t>
      </w:r>
      <w:r w:rsidR="004F0750" w:rsidRPr="008A1DB4">
        <w:rPr>
          <w:spacing w:val="-2"/>
          <w:lang w:val="en-US"/>
        </w:rPr>
        <w:t xml:space="preserve"> for ending it </w:t>
      </w:r>
      <w:r w:rsidR="00601B3D" w:rsidRPr="008A1DB4">
        <w:rPr>
          <w:spacing w:val="-2"/>
          <w:lang w:val="en-US"/>
        </w:rPr>
        <w:t xml:space="preserve">[…] </w:t>
      </w:r>
      <w:r w:rsidR="004F0750" w:rsidRPr="008A1DB4">
        <w:rPr>
          <w:spacing w:val="-2"/>
          <w:lang w:val="en-US"/>
        </w:rPr>
        <w:t xml:space="preserve">adds a degree of arbitrariness to </w:t>
      </w:r>
      <w:r w:rsidR="00B43F84" w:rsidRPr="008A1DB4">
        <w:rPr>
          <w:spacing w:val="-2"/>
          <w:lang w:val="en-US"/>
        </w:rPr>
        <w:t>Wong</w:t>
      </w:r>
      <w:r w:rsidR="00601B3D" w:rsidRPr="008A1DB4">
        <w:rPr>
          <w:spacing w:val="-2"/>
          <w:lang w:val="en-US"/>
        </w:rPr>
        <w:t xml:space="preserve"> Ho Wing</w:t>
      </w:r>
      <w:r w:rsidR="004F0750" w:rsidRPr="008A1DB4">
        <w:rPr>
          <w:spacing w:val="-2"/>
          <w:lang w:val="en-US"/>
        </w:rPr>
        <w:t>’s situation.”</w:t>
      </w:r>
      <w:r w:rsidR="00601B3D" w:rsidRPr="008A1DB4">
        <w:rPr>
          <w:spacing w:val="-2"/>
          <w:lang w:val="en-US"/>
        </w:rPr>
        <w:t xml:space="preserve"> </w:t>
      </w:r>
    </w:p>
    <w:p w14:paraId="26733F54" w14:textId="77777777" w:rsidR="00601B3D" w:rsidRPr="008A1DB4" w:rsidRDefault="00601B3D" w:rsidP="00956E97">
      <w:pPr>
        <w:pStyle w:val="ListParagraph"/>
        <w:tabs>
          <w:tab w:val="left" w:pos="567"/>
        </w:tabs>
        <w:ind w:left="0"/>
        <w:contextualSpacing w:val="0"/>
        <w:rPr>
          <w:spacing w:val="-2"/>
          <w:szCs w:val="20"/>
          <w:lang w:val="en-US"/>
        </w:rPr>
      </w:pPr>
    </w:p>
    <w:p w14:paraId="7E91E757" w14:textId="24B6EEEB" w:rsidR="00601B3D" w:rsidRPr="008A1DB4" w:rsidRDefault="00F36400" w:rsidP="004F0750">
      <w:pPr>
        <w:pStyle w:val="PrrafodeSentencia"/>
        <w:rPr>
          <w:spacing w:val="-2"/>
          <w:lang w:val="en-US"/>
        </w:rPr>
      </w:pPr>
      <w:r w:rsidRPr="008A1DB4">
        <w:rPr>
          <w:spacing w:val="-2"/>
          <w:lang w:val="en-US"/>
        </w:rPr>
        <w:t>The State</w:t>
      </w:r>
      <w:r w:rsidR="00601B3D" w:rsidRPr="008A1DB4">
        <w:rPr>
          <w:spacing w:val="-2"/>
          <w:lang w:val="en-US"/>
        </w:rPr>
        <w:t xml:space="preserve"> respond</w:t>
      </w:r>
      <w:r w:rsidR="004F0750" w:rsidRPr="008A1DB4">
        <w:rPr>
          <w:spacing w:val="-2"/>
          <w:lang w:val="en-US"/>
        </w:rPr>
        <w:t xml:space="preserve">ed that </w:t>
      </w:r>
      <w:r w:rsidR="00851076" w:rsidRPr="008A1DB4">
        <w:rPr>
          <w:spacing w:val="-2"/>
          <w:lang w:val="en-US"/>
        </w:rPr>
        <w:t>Article 7(5)</w:t>
      </w:r>
      <w:r w:rsidRPr="008A1DB4">
        <w:rPr>
          <w:spacing w:val="-2"/>
          <w:lang w:val="en-US"/>
        </w:rPr>
        <w:t xml:space="preserve"> of the Convention</w:t>
      </w:r>
      <w:r w:rsidR="00601B3D" w:rsidRPr="008A1DB4">
        <w:rPr>
          <w:spacing w:val="-2"/>
          <w:lang w:val="en-US"/>
        </w:rPr>
        <w:t xml:space="preserve"> </w:t>
      </w:r>
      <w:r w:rsidR="004F0750" w:rsidRPr="008A1DB4">
        <w:rPr>
          <w:spacing w:val="-2"/>
          <w:lang w:val="en-US"/>
        </w:rPr>
        <w:t xml:space="preserve">in relation Article 2 thereof had not been violated. Regarding due diligence, it argued that “in view of the fact that, in the opinion of the jurisdictional authorities, neither the conditions nor the procedural risk in this case had changed, the provisional arrest warrant was confirmed, […] since it continued to seek the procedural purpose of passive extradition and grounds were provided for why the measure should not be modified.” The State indicated that, “the extradition process has not concluded, but this is because it has been extended owing to the </w:t>
      </w:r>
      <w:r w:rsidR="0056729D">
        <w:rPr>
          <w:spacing w:val="-2"/>
          <w:lang w:val="en-US"/>
        </w:rPr>
        <w:t>domestic</w:t>
      </w:r>
      <w:r w:rsidR="004F0750" w:rsidRPr="008A1DB4">
        <w:rPr>
          <w:spacing w:val="-2"/>
          <w:lang w:val="en-US"/>
        </w:rPr>
        <w:t xml:space="preserve"> and international mechanisms for the protection of [Wong Ho Wing’s] rights filed by his representative, which have raised concerns about the protection of his rights in relation to the offenses for which his extradition is sought.” It added that, “the time that has passed without a final decision is an objective </w:t>
      </w:r>
      <w:r w:rsidR="0056729D">
        <w:rPr>
          <w:spacing w:val="-2"/>
          <w:lang w:val="en-US"/>
        </w:rPr>
        <w:t>factor that, of</w:t>
      </w:r>
      <w:r w:rsidR="004F0750" w:rsidRPr="008A1DB4">
        <w:rPr>
          <w:spacing w:val="-2"/>
          <w:lang w:val="en-US"/>
        </w:rPr>
        <w:t xml:space="preserve"> itself, does not allow it to be concluded that due diligence has not been exercised, but it is necessary to analyze the specific situation in order to identify whether there are sufficient grounds to justify the delay.” Regarding the proportionality of the delay, it claimed that “it is in keeping with the law, because no </w:t>
      </w:r>
      <w:r w:rsidR="003D2FF4">
        <w:rPr>
          <w:spacing w:val="-2"/>
          <w:lang w:val="en-US"/>
        </w:rPr>
        <w:t>time limit</w:t>
      </w:r>
      <w:r w:rsidR="004F0750" w:rsidRPr="008A1DB4">
        <w:rPr>
          <w:spacing w:val="-2"/>
          <w:lang w:val="en-US"/>
        </w:rPr>
        <w:t xml:space="preserve"> exists for deprivation of liberty during the passive extradition process, or for the final decision in the process.”</w:t>
      </w:r>
    </w:p>
    <w:p w14:paraId="29F72BFA" w14:textId="77777777" w:rsidR="004F0750" w:rsidRPr="008A1DB4" w:rsidRDefault="004F0750" w:rsidP="004F0750">
      <w:pPr>
        <w:pStyle w:val="PrrafodeSentencia"/>
        <w:numPr>
          <w:ilvl w:val="0"/>
          <w:numId w:val="0"/>
        </w:numPr>
        <w:tabs>
          <w:tab w:val="left" w:pos="567"/>
        </w:tabs>
        <w:rPr>
          <w:spacing w:val="-2"/>
          <w:lang w:val="en-US"/>
        </w:rPr>
      </w:pPr>
    </w:p>
    <w:p w14:paraId="3E64DEAB" w14:textId="152DE30D" w:rsidR="00601B3D" w:rsidRPr="008A1DB4" w:rsidRDefault="00601B3D" w:rsidP="00956E97">
      <w:pPr>
        <w:pStyle w:val="Heading2"/>
        <w:rPr>
          <w:spacing w:val="-2"/>
          <w:lang w:val="en-US"/>
        </w:rPr>
      </w:pPr>
      <w:bookmarkStart w:id="1114" w:name="_Toc418074106"/>
      <w:bookmarkStart w:id="1115" w:name="_Toc418503911"/>
      <w:bookmarkStart w:id="1116" w:name="_Toc418912642"/>
      <w:bookmarkStart w:id="1117" w:name="_Toc419394439"/>
      <w:bookmarkStart w:id="1118" w:name="_Toc429490298"/>
      <w:bookmarkStart w:id="1119" w:name="_Toc429503812"/>
      <w:bookmarkStart w:id="1120" w:name="_Toc429504318"/>
      <w:bookmarkStart w:id="1121" w:name="_Toc429678031"/>
      <w:bookmarkStart w:id="1122" w:name="_Toc430017194"/>
      <w:bookmarkStart w:id="1123" w:name="_Toc430017423"/>
      <w:bookmarkStart w:id="1124" w:name="_Toc430018705"/>
      <w:bookmarkStart w:id="1125" w:name="_Toc430125303"/>
      <w:bookmarkStart w:id="1126" w:name="_Toc430125411"/>
      <w:r w:rsidRPr="008A1DB4">
        <w:rPr>
          <w:spacing w:val="-2"/>
          <w:lang w:val="en-US"/>
        </w:rPr>
        <w:t xml:space="preserve">C.2) </w:t>
      </w:r>
      <w:r w:rsidR="00A836C4" w:rsidRPr="008A1DB4">
        <w:rPr>
          <w:spacing w:val="-2"/>
          <w:lang w:val="en-US"/>
        </w:rPr>
        <w:t>Considerations</w:t>
      </w:r>
      <w:r w:rsidR="00F36400" w:rsidRPr="008A1DB4">
        <w:rPr>
          <w:spacing w:val="-2"/>
          <w:lang w:val="en-US"/>
        </w:rPr>
        <w:t xml:space="preserve"> of the Court</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p>
    <w:p w14:paraId="3EBF1120" w14:textId="77777777" w:rsidR="00601B3D" w:rsidRPr="008A1DB4" w:rsidRDefault="00601B3D" w:rsidP="00956E97">
      <w:pPr>
        <w:pStyle w:val="ListParagraph"/>
        <w:tabs>
          <w:tab w:val="left" w:pos="567"/>
        </w:tabs>
        <w:ind w:left="0"/>
        <w:contextualSpacing w:val="0"/>
        <w:rPr>
          <w:spacing w:val="-2"/>
          <w:szCs w:val="20"/>
          <w:lang w:val="en-US"/>
        </w:rPr>
      </w:pPr>
    </w:p>
    <w:p w14:paraId="4300CBA5" w14:textId="0C630E1A" w:rsidR="00601B3D" w:rsidRPr="008A1DB4" w:rsidRDefault="00851076" w:rsidP="00956E97">
      <w:pPr>
        <w:pStyle w:val="PrrafodeSentencia"/>
        <w:rPr>
          <w:spacing w:val="-2"/>
          <w:lang w:val="en-US"/>
        </w:rPr>
      </w:pPr>
      <w:bookmarkStart w:id="1127" w:name="_Ref419393019"/>
      <w:r w:rsidRPr="008A1DB4">
        <w:rPr>
          <w:spacing w:val="-2"/>
          <w:lang w:val="en-US"/>
        </w:rPr>
        <w:t>Article 7(5)</w:t>
      </w:r>
      <w:r w:rsidR="00F36400" w:rsidRPr="008A1DB4">
        <w:rPr>
          <w:spacing w:val="-2"/>
          <w:lang w:val="en-US"/>
        </w:rPr>
        <w:t xml:space="preserve"> of the Convention</w:t>
      </w:r>
      <w:r w:rsidR="00601B3D" w:rsidRPr="008A1DB4">
        <w:rPr>
          <w:spacing w:val="-2"/>
          <w:lang w:val="en-US"/>
        </w:rPr>
        <w:t xml:space="preserve"> establ</w:t>
      </w:r>
      <w:r w:rsidR="004F0750" w:rsidRPr="008A1DB4">
        <w:rPr>
          <w:spacing w:val="-2"/>
          <w:lang w:val="en-US"/>
        </w:rPr>
        <w:t>ishes that: “[a</w:t>
      </w:r>
      <w:r w:rsidR="00601B3D" w:rsidRPr="008A1DB4">
        <w:rPr>
          <w:spacing w:val="-2"/>
          <w:lang w:val="en-US"/>
        </w:rPr>
        <w:t>]</w:t>
      </w:r>
      <w:proofErr w:type="spellStart"/>
      <w:proofErr w:type="gramStart"/>
      <w:r w:rsidR="004F0750" w:rsidRPr="008A1DB4">
        <w:rPr>
          <w:spacing w:val="-3"/>
          <w:lang w:val="en-US"/>
        </w:rPr>
        <w:t>ny</w:t>
      </w:r>
      <w:proofErr w:type="spellEnd"/>
      <w:proofErr w:type="gramEnd"/>
      <w:r w:rsidR="004F0750" w:rsidRPr="008A1DB4">
        <w:rPr>
          <w:spacing w:val="-3"/>
          <w:lang w:val="en-US"/>
        </w:rPr>
        <w:t xml:space="preserve"> person detained […] shall be entitled to trial within a reasonable time or to be released without prejudice to the c</w:t>
      </w:r>
      <w:r w:rsidR="0056729D">
        <w:rPr>
          <w:spacing w:val="-3"/>
          <w:lang w:val="en-US"/>
        </w:rPr>
        <w:t>ontinuation of the proceedings.</w:t>
      </w:r>
      <w:r w:rsidR="004F0750" w:rsidRPr="008A1DB4">
        <w:rPr>
          <w:spacing w:val="-3"/>
          <w:lang w:val="en-US"/>
        </w:rPr>
        <w:t xml:space="preserve"> His release may be subject to guarantees to assure his appearance for trial.</w:t>
      </w:r>
      <w:r w:rsidR="00601B3D" w:rsidRPr="008A1DB4">
        <w:rPr>
          <w:spacing w:val="-2"/>
          <w:lang w:val="en-US"/>
        </w:rPr>
        <w:t>”</w:t>
      </w:r>
      <w:bookmarkEnd w:id="1127"/>
    </w:p>
    <w:p w14:paraId="10915CAD" w14:textId="77777777" w:rsidR="00601B3D" w:rsidRPr="008A1DB4" w:rsidRDefault="00601B3D" w:rsidP="00956E97">
      <w:pPr>
        <w:pStyle w:val="ListParagraph"/>
        <w:tabs>
          <w:tab w:val="left" w:pos="567"/>
        </w:tabs>
        <w:ind w:left="0"/>
        <w:contextualSpacing w:val="0"/>
        <w:rPr>
          <w:spacing w:val="-2"/>
          <w:szCs w:val="20"/>
          <w:lang w:val="en-US"/>
        </w:rPr>
      </w:pPr>
    </w:p>
    <w:p w14:paraId="339D0342" w14:textId="4C797306" w:rsidR="00601B3D" w:rsidRPr="008A1DB4" w:rsidRDefault="004F0750" w:rsidP="00956E97">
      <w:pPr>
        <w:pStyle w:val="PrrafodeSentencia"/>
        <w:rPr>
          <w:spacing w:val="-2"/>
          <w:lang w:val="en-US"/>
        </w:rPr>
      </w:pPr>
      <w:bookmarkStart w:id="1128" w:name="_Ref428982011"/>
      <w:r w:rsidRPr="008A1DB4">
        <w:rPr>
          <w:spacing w:val="-2"/>
          <w:lang w:val="en-US"/>
        </w:rPr>
        <w:t xml:space="preserve">In cases </w:t>
      </w:r>
      <w:r w:rsidR="0079515C" w:rsidRPr="008A1DB4">
        <w:rPr>
          <w:spacing w:val="-2"/>
          <w:lang w:val="en-US"/>
        </w:rPr>
        <w:t>relating</w:t>
      </w:r>
      <w:r w:rsidRPr="008A1DB4">
        <w:rPr>
          <w:spacing w:val="-2"/>
          <w:lang w:val="en-US"/>
        </w:rPr>
        <w:t xml:space="preserve"> to preventive or pre-trial detention in the context of criminal proceedings, the Court has indicated that this norm imposes t</w:t>
      </w:r>
      <w:r w:rsidR="00BB1D87">
        <w:rPr>
          <w:spacing w:val="-2"/>
          <w:lang w:val="en-US"/>
        </w:rPr>
        <w:t>ime</w:t>
      </w:r>
      <w:r w:rsidRPr="008A1DB4">
        <w:rPr>
          <w:spacing w:val="-2"/>
          <w:lang w:val="en-US"/>
        </w:rPr>
        <w:t xml:space="preserve"> limits on the </w:t>
      </w:r>
      <w:r w:rsidR="0079515C" w:rsidRPr="008A1DB4">
        <w:rPr>
          <w:spacing w:val="-2"/>
          <w:lang w:val="en-US"/>
        </w:rPr>
        <w:t>duration</w:t>
      </w:r>
      <w:r w:rsidRPr="008A1DB4">
        <w:rPr>
          <w:spacing w:val="-2"/>
          <w:lang w:val="en-US"/>
        </w:rPr>
        <w:t xml:space="preserve"> of preventive detention and, consequently, the authority of the State to ensure the purposes of the proceedings by </w:t>
      </w:r>
      <w:r w:rsidR="0079515C" w:rsidRPr="008A1DB4">
        <w:rPr>
          <w:spacing w:val="-2"/>
          <w:lang w:val="en-US"/>
        </w:rPr>
        <w:t>means</w:t>
      </w:r>
      <w:r w:rsidR="009F24F8" w:rsidRPr="008A1DB4">
        <w:rPr>
          <w:spacing w:val="-2"/>
          <w:lang w:val="en-US"/>
        </w:rPr>
        <w:t xml:space="preserve"> of this preventive measure. When the length of the</w:t>
      </w:r>
      <w:r w:rsidR="00601B3D" w:rsidRPr="008A1DB4">
        <w:rPr>
          <w:spacing w:val="-2"/>
          <w:lang w:val="en-US"/>
        </w:rPr>
        <w:t xml:space="preserve"> </w:t>
      </w:r>
      <w:r w:rsidR="009F24F8" w:rsidRPr="008A1DB4">
        <w:rPr>
          <w:spacing w:val="-2"/>
          <w:lang w:val="en-US"/>
        </w:rPr>
        <w:t>p</w:t>
      </w:r>
      <w:r w:rsidR="00E674E2" w:rsidRPr="008A1DB4">
        <w:rPr>
          <w:spacing w:val="-2"/>
          <w:lang w:val="en-US"/>
        </w:rPr>
        <w:t>reventive detention</w:t>
      </w:r>
      <w:r w:rsidR="009F24F8" w:rsidRPr="008A1DB4">
        <w:rPr>
          <w:spacing w:val="-2"/>
          <w:lang w:val="en-US"/>
        </w:rPr>
        <w:t xml:space="preserve"> </w:t>
      </w:r>
      <w:r w:rsidR="0079515C" w:rsidRPr="008A1DB4">
        <w:rPr>
          <w:spacing w:val="-2"/>
          <w:lang w:val="en-US"/>
        </w:rPr>
        <w:t>exceeds</w:t>
      </w:r>
      <w:r w:rsidR="009F24F8" w:rsidRPr="008A1DB4">
        <w:rPr>
          <w:spacing w:val="-2"/>
          <w:lang w:val="en-US"/>
        </w:rPr>
        <w:t xml:space="preserve"> a reasonable time, the </w:t>
      </w:r>
      <w:r w:rsidR="0079515C">
        <w:rPr>
          <w:spacing w:val="-2"/>
          <w:lang w:val="en-US"/>
        </w:rPr>
        <w:t>State</w:t>
      </w:r>
      <w:r w:rsidR="009F24F8" w:rsidRPr="008A1DB4">
        <w:rPr>
          <w:spacing w:val="-2"/>
          <w:lang w:val="en-US"/>
        </w:rPr>
        <w:t xml:space="preserve"> may restrict the liberty of the accused with other less harmful measures that </w:t>
      </w:r>
      <w:r w:rsidR="0079515C" w:rsidRPr="008A1DB4">
        <w:rPr>
          <w:spacing w:val="-2"/>
          <w:lang w:val="en-US"/>
        </w:rPr>
        <w:t>ensure</w:t>
      </w:r>
      <w:r w:rsidR="009F24F8" w:rsidRPr="008A1DB4">
        <w:rPr>
          <w:spacing w:val="-2"/>
          <w:lang w:val="en-US"/>
        </w:rPr>
        <w:t xml:space="preserve"> his appearance at trial other than the deprivation of liberty. This right of the individual is accompanied by a judicial obligation to process the criminal proceedings during which the accused is deprived of his liberty with greater diligence and promptness.</w:t>
      </w:r>
      <w:r w:rsidR="00601B3D" w:rsidRPr="008A1DB4">
        <w:rPr>
          <w:rStyle w:val="FootnoteReference"/>
          <w:spacing w:val="-2"/>
          <w:lang w:val="en-US"/>
        </w:rPr>
        <w:footnoteReference w:id="351"/>
      </w:r>
      <w:bookmarkEnd w:id="1128"/>
    </w:p>
    <w:p w14:paraId="2992CD79" w14:textId="77777777" w:rsidR="00601B3D" w:rsidRPr="008A1DB4" w:rsidRDefault="00601B3D" w:rsidP="00956E97">
      <w:pPr>
        <w:pStyle w:val="ListParagraph"/>
        <w:ind w:left="0"/>
        <w:rPr>
          <w:spacing w:val="-2"/>
          <w:szCs w:val="20"/>
          <w:lang w:val="en-US"/>
        </w:rPr>
      </w:pPr>
    </w:p>
    <w:p w14:paraId="7FE17445" w14:textId="00895DD9" w:rsidR="00601B3D" w:rsidRPr="008A1DB4" w:rsidRDefault="00F36400" w:rsidP="00956E97">
      <w:pPr>
        <w:pStyle w:val="PrrafodeSentencia"/>
        <w:rPr>
          <w:spacing w:val="-2"/>
          <w:lang w:val="en-US"/>
        </w:rPr>
      </w:pPr>
      <w:r w:rsidRPr="008A1DB4">
        <w:rPr>
          <w:spacing w:val="-2"/>
          <w:lang w:val="en-US"/>
        </w:rPr>
        <w:t>The American Convention</w:t>
      </w:r>
      <w:r w:rsidR="00601B3D" w:rsidRPr="008A1DB4">
        <w:rPr>
          <w:spacing w:val="-2"/>
          <w:lang w:val="en-US"/>
        </w:rPr>
        <w:t xml:space="preserve"> </w:t>
      </w:r>
      <w:r w:rsidR="009F24F8" w:rsidRPr="008A1DB4">
        <w:rPr>
          <w:spacing w:val="-2"/>
          <w:lang w:val="en-US"/>
        </w:rPr>
        <w:t xml:space="preserve">does not establish a limitation to the exercise of the guarantee established in </w:t>
      </w:r>
      <w:r w:rsidR="00851076" w:rsidRPr="008A1DB4">
        <w:rPr>
          <w:spacing w:val="-2"/>
          <w:lang w:val="en-US"/>
        </w:rPr>
        <w:t>Article 7(5)</w:t>
      </w:r>
      <w:r w:rsidRPr="008A1DB4">
        <w:rPr>
          <w:spacing w:val="-2"/>
          <w:lang w:val="en-US"/>
        </w:rPr>
        <w:t xml:space="preserve"> of the Convention</w:t>
      </w:r>
      <w:r w:rsidR="00601B3D" w:rsidRPr="008A1DB4">
        <w:rPr>
          <w:spacing w:val="-2"/>
          <w:lang w:val="en-US"/>
        </w:rPr>
        <w:t xml:space="preserve"> </w:t>
      </w:r>
      <w:r w:rsidR="009F24F8" w:rsidRPr="008A1DB4">
        <w:rPr>
          <w:spacing w:val="-2"/>
          <w:lang w:val="en-US"/>
        </w:rPr>
        <w:t>based on the reasons or circumstances why the person has been detained.</w:t>
      </w:r>
      <w:r w:rsidR="00601B3D" w:rsidRPr="008A1DB4">
        <w:rPr>
          <w:rStyle w:val="FootnoteReference"/>
          <w:spacing w:val="-2"/>
          <w:lang w:val="en-US"/>
        </w:rPr>
        <w:footnoteReference w:id="352"/>
      </w:r>
      <w:r w:rsidR="0056729D">
        <w:rPr>
          <w:spacing w:val="-2"/>
          <w:lang w:val="en-US"/>
        </w:rPr>
        <w:t xml:space="preserve"> Consequently, the</w:t>
      </w:r>
      <w:r w:rsidR="009F24F8" w:rsidRPr="008A1DB4">
        <w:rPr>
          <w:spacing w:val="-2"/>
          <w:lang w:val="en-US"/>
        </w:rPr>
        <w:t xml:space="preserve"> Court finds that this </w:t>
      </w:r>
      <w:proofErr w:type="gramStart"/>
      <w:r w:rsidR="0079515C" w:rsidRPr="008A1DB4">
        <w:rPr>
          <w:spacing w:val="-2"/>
          <w:lang w:val="en-US"/>
        </w:rPr>
        <w:t>provisions</w:t>
      </w:r>
      <w:proofErr w:type="gramEnd"/>
      <w:r w:rsidR="009F24F8" w:rsidRPr="008A1DB4">
        <w:rPr>
          <w:spacing w:val="-2"/>
          <w:lang w:val="en-US"/>
        </w:rPr>
        <w:t xml:space="preserve"> is also applicable to detention for extradition purposes</w:t>
      </w:r>
      <w:r w:rsidR="0056729D">
        <w:rPr>
          <w:spacing w:val="-2"/>
          <w:lang w:val="en-US"/>
        </w:rPr>
        <w:t>,</w:t>
      </w:r>
      <w:r w:rsidR="009F24F8" w:rsidRPr="008A1DB4">
        <w:rPr>
          <w:spacing w:val="-2"/>
          <w:lang w:val="en-US"/>
        </w:rPr>
        <w:t xml:space="preserve"> as in </w:t>
      </w:r>
      <w:r w:rsidR="00467AFC" w:rsidRPr="008A1DB4">
        <w:rPr>
          <w:spacing w:val="-2"/>
          <w:lang w:val="en-US"/>
        </w:rPr>
        <w:t>this case</w:t>
      </w:r>
      <w:r w:rsidR="00601B3D" w:rsidRPr="008A1DB4">
        <w:rPr>
          <w:spacing w:val="-2"/>
          <w:lang w:val="en-US"/>
        </w:rPr>
        <w:t xml:space="preserve">. </w:t>
      </w:r>
    </w:p>
    <w:p w14:paraId="073668B1" w14:textId="77777777" w:rsidR="00601B3D" w:rsidRPr="008A1DB4" w:rsidRDefault="00601B3D" w:rsidP="00956E97">
      <w:pPr>
        <w:pStyle w:val="ListParagraph"/>
        <w:ind w:left="0"/>
        <w:rPr>
          <w:spacing w:val="-2"/>
          <w:szCs w:val="20"/>
          <w:lang w:val="en-US"/>
        </w:rPr>
      </w:pPr>
    </w:p>
    <w:p w14:paraId="4D5AF7E3" w14:textId="2DF41131" w:rsidR="00601B3D" w:rsidRPr="008A1DB4" w:rsidRDefault="009F24F8" w:rsidP="00956E97">
      <w:pPr>
        <w:pStyle w:val="PrrafodeSentencia"/>
        <w:rPr>
          <w:spacing w:val="-2"/>
          <w:lang w:val="en-US"/>
        </w:rPr>
      </w:pPr>
      <w:r w:rsidRPr="008A1DB4">
        <w:rPr>
          <w:spacing w:val="-2"/>
          <w:lang w:val="en-US"/>
        </w:rPr>
        <w:t>The</w:t>
      </w:r>
      <w:r w:rsidR="00F36400" w:rsidRPr="008A1DB4">
        <w:rPr>
          <w:spacing w:val="-2"/>
          <w:lang w:val="en-US"/>
        </w:rPr>
        <w:t xml:space="preserve"> </w:t>
      </w:r>
      <w:r w:rsidR="00631F9C" w:rsidRPr="008A1DB4">
        <w:rPr>
          <w:spacing w:val="-2"/>
          <w:lang w:val="en-US"/>
        </w:rPr>
        <w:t>European Court of Human Rights</w:t>
      </w:r>
      <w:r w:rsidR="00601B3D" w:rsidRPr="008A1DB4">
        <w:rPr>
          <w:spacing w:val="-2"/>
          <w:lang w:val="en-US"/>
        </w:rPr>
        <w:t xml:space="preserve"> ha</w:t>
      </w:r>
      <w:r w:rsidRPr="008A1DB4">
        <w:rPr>
          <w:spacing w:val="-2"/>
          <w:lang w:val="en-US"/>
        </w:rPr>
        <w:t>s indicated, similarly, that detention with a view to extradition “will be justified only for was long as extradition proceedings are being conducted. It follows that if such proceedings are not being prosecuted with due diligence, the detention will cease to be justified under [the Convention].”</w:t>
      </w:r>
      <w:r w:rsidR="00601B3D" w:rsidRPr="008A1DB4">
        <w:rPr>
          <w:rStyle w:val="FootnoteReference"/>
          <w:spacing w:val="-2"/>
          <w:lang w:val="en-US"/>
        </w:rPr>
        <w:footnoteReference w:id="353"/>
      </w:r>
      <w:r w:rsidR="00601B3D" w:rsidRPr="008A1DB4">
        <w:rPr>
          <w:spacing w:val="-2"/>
          <w:lang w:val="en-US"/>
        </w:rPr>
        <w:t xml:space="preserve"> </w:t>
      </w:r>
      <w:r w:rsidRPr="008A1DB4">
        <w:rPr>
          <w:spacing w:val="-2"/>
          <w:lang w:val="en-US"/>
        </w:rPr>
        <w:t xml:space="preserve">Thus, if the extradition proceedings are not </w:t>
      </w:r>
      <w:r w:rsidRPr="008A1DB4">
        <w:rPr>
          <w:spacing w:val="-2"/>
          <w:lang w:val="en-US"/>
        </w:rPr>
        <w:lastRenderedPageBreak/>
        <w:t xml:space="preserve">conducted within a </w:t>
      </w:r>
      <w:r w:rsidR="00A33F97" w:rsidRPr="008A1DB4">
        <w:rPr>
          <w:spacing w:val="-2"/>
          <w:lang w:val="en-US"/>
        </w:rPr>
        <w:t>reasonable time</w:t>
      </w:r>
      <w:r w:rsidRPr="008A1DB4">
        <w:rPr>
          <w:spacing w:val="-2"/>
          <w:lang w:val="en-US"/>
        </w:rPr>
        <w:t>, the person must be released, without prejudice to other less harmful measures than deprivation of liberty being adopted that ensure his appearance before the court</w:t>
      </w:r>
      <w:r w:rsidR="00601B3D" w:rsidRPr="008A1DB4">
        <w:rPr>
          <w:spacing w:val="-2"/>
          <w:lang w:val="en-US"/>
        </w:rPr>
        <w:t>.</w:t>
      </w:r>
    </w:p>
    <w:p w14:paraId="35E49209" w14:textId="77777777" w:rsidR="00601B3D" w:rsidRPr="008A1DB4" w:rsidRDefault="00601B3D" w:rsidP="00956E97">
      <w:pPr>
        <w:pStyle w:val="ListParagraph"/>
        <w:tabs>
          <w:tab w:val="left" w:pos="567"/>
        </w:tabs>
        <w:ind w:left="0"/>
        <w:contextualSpacing w:val="0"/>
        <w:rPr>
          <w:spacing w:val="-2"/>
          <w:szCs w:val="20"/>
          <w:lang w:val="en-US"/>
        </w:rPr>
      </w:pPr>
    </w:p>
    <w:p w14:paraId="1CC3438E" w14:textId="30E1F6D2" w:rsidR="004D6A87" w:rsidRPr="008A1DB4" w:rsidRDefault="00467AFC" w:rsidP="00956E97">
      <w:pPr>
        <w:pStyle w:val="PrrafodeSentencia"/>
        <w:rPr>
          <w:spacing w:val="-2"/>
          <w:lang w:val="en-US"/>
        </w:rPr>
      </w:pPr>
      <w:r w:rsidRPr="008A1DB4">
        <w:rPr>
          <w:spacing w:val="-2"/>
          <w:lang w:val="en-US"/>
        </w:rPr>
        <w:t>In this case</w:t>
      </w:r>
      <w:r w:rsidR="00601B3D" w:rsidRPr="008A1DB4">
        <w:rPr>
          <w:spacing w:val="-2"/>
          <w:lang w:val="en-US"/>
        </w:rPr>
        <w:t xml:space="preserve">, </w:t>
      </w:r>
      <w:r w:rsidR="001E7113" w:rsidRPr="008A1DB4">
        <w:rPr>
          <w:spacing w:val="-2"/>
          <w:lang w:val="en-US"/>
        </w:rPr>
        <w:t>Wong</w:t>
      </w:r>
      <w:r w:rsidR="00601B3D" w:rsidRPr="008A1DB4">
        <w:rPr>
          <w:spacing w:val="-2"/>
          <w:lang w:val="en-US"/>
        </w:rPr>
        <w:t xml:space="preserve"> Ho Wing </w:t>
      </w:r>
      <w:r w:rsidR="009F24F8" w:rsidRPr="008A1DB4">
        <w:rPr>
          <w:spacing w:val="-2"/>
          <w:lang w:val="en-US"/>
        </w:rPr>
        <w:t xml:space="preserve">was detained in prison for more than five years following his initial arrest on </w:t>
      </w:r>
      <w:r w:rsidR="001E7113" w:rsidRPr="008A1DB4">
        <w:rPr>
          <w:spacing w:val="-2"/>
          <w:lang w:val="en-US"/>
        </w:rPr>
        <w:t>October 27,</w:t>
      </w:r>
      <w:r w:rsidR="00601B3D" w:rsidRPr="008A1DB4">
        <w:rPr>
          <w:spacing w:val="-2"/>
          <w:lang w:val="en-US"/>
        </w:rPr>
        <w:t xml:space="preserve"> 2008</w:t>
      </w:r>
      <w:r w:rsidR="001621DE" w:rsidRPr="008A1DB4">
        <w:rPr>
          <w:spacing w:val="-2"/>
          <w:lang w:val="en-US"/>
        </w:rPr>
        <w:t xml:space="preserve"> (</w:t>
      </w:r>
      <w:r w:rsidR="001621DE" w:rsidRPr="008A1DB4">
        <w:rPr>
          <w:i/>
          <w:spacing w:val="-2"/>
          <w:lang w:val="en-US"/>
        </w:rPr>
        <w:t>supra</w:t>
      </w:r>
      <w:r w:rsidR="001621DE" w:rsidRPr="008A1DB4">
        <w:rPr>
          <w:spacing w:val="-2"/>
          <w:lang w:val="en-US"/>
        </w:rPr>
        <w:t xml:space="preserve"> </w:t>
      </w:r>
      <w:r w:rsidR="00631F9C" w:rsidRPr="008A1DB4">
        <w:rPr>
          <w:spacing w:val="-2"/>
          <w:lang w:val="en-US"/>
        </w:rPr>
        <w:t>paras.</w:t>
      </w:r>
      <w:r w:rsidR="001621DE" w:rsidRPr="008A1DB4">
        <w:rPr>
          <w:spacing w:val="-2"/>
          <w:lang w:val="en-US"/>
        </w:rPr>
        <w:t xml:space="preserve"> </w:t>
      </w:r>
      <w:r w:rsidR="001621DE" w:rsidRPr="008A1DB4">
        <w:rPr>
          <w:spacing w:val="-2"/>
          <w:lang w:val="en-US"/>
        </w:rPr>
        <w:fldChar w:fldCharType="begin"/>
      </w:r>
      <w:r w:rsidR="001621DE" w:rsidRPr="008A1DB4">
        <w:rPr>
          <w:spacing w:val="-2"/>
          <w:lang w:val="en-US"/>
        </w:rPr>
        <w:instrText xml:space="preserve"> REF _Ref401584951 \r \h </w:instrText>
      </w:r>
      <w:r w:rsidR="00DC41F4" w:rsidRPr="008A1DB4">
        <w:rPr>
          <w:spacing w:val="-2"/>
          <w:lang w:val="en-US"/>
        </w:rPr>
        <w:instrText xml:space="preserve"> \* MERGEFORMAT </w:instrText>
      </w:r>
      <w:r w:rsidR="001621DE" w:rsidRPr="008A1DB4">
        <w:rPr>
          <w:spacing w:val="-2"/>
          <w:lang w:val="en-US"/>
        </w:rPr>
      </w:r>
      <w:r w:rsidR="001621DE" w:rsidRPr="008A1DB4">
        <w:rPr>
          <w:spacing w:val="-2"/>
          <w:lang w:val="en-US"/>
        </w:rPr>
        <w:fldChar w:fldCharType="separate"/>
      </w:r>
      <w:r w:rsidR="00E961FA" w:rsidRPr="008A1DB4">
        <w:rPr>
          <w:spacing w:val="-2"/>
          <w:lang w:val="en-US"/>
        </w:rPr>
        <w:t>60</w:t>
      </w:r>
      <w:r w:rsidR="001621DE" w:rsidRPr="008A1DB4">
        <w:rPr>
          <w:spacing w:val="-2"/>
          <w:lang w:val="en-US"/>
        </w:rPr>
        <w:fldChar w:fldCharType="end"/>
      </w:r>
      <w:r w:rsidR="00F36400" w:rsidRPr="008A1DB4">
        <w:rPr>
          <w:spacing w:val="-2"/>
          <w:lang w:val="en-US"/>
        </w:rPr>
        <w:t xml:space="preserve"> and </w:t>
      </w:r>
      <w:r w:rsidR="001621DE" w:rsidRPr="008A1DB4">
        <w:rPr>
          <w:spacing w:val="-2"/>
          <w:lang w:val="en-US"/>
        </w:rPr>
        <w:fldChar w:fldCharType="begin"/>
      </w:r>
      <w:r w:rsidR="001621DE" w:rsidRPr="008A1DB4">
        <w:rPr>
          <w:spacing w:val="-2"/>
          <w:lang w:val="en-US"/>
        </w:rPr>
        <w:instrText xml:space="preserve"> REF _Ref428894515 \r \h </w:instrText>
      </w:r>
      <w:r w:rsidR="00DC41F4" w:rsidRPr="008A1DB4">
        <w:rPr>
          <w:spacing w:val="-2"/>
          <w:lang w:val="en-US"/>
        </w:rPr>
        <w:instrText xml:space="preserve"> \* MERGEFORMAT </w:instrText>
      </w:r>
      <w:r w:rsidR="001621DE" w:rsidRPr="008A1DB4">
        <w:rPr>
          <w:spacing w:val="-2"/>
          <w:lang w:val="en-US"/>
        </w:rPr>
      </w:r>
      <w:r w:rsidR="001621DE" w:rsidRPr="008A1DB4">
        <w:rPr>
          <w:spacing w:val="-2"/>
          <w:lang w:val="en-US"/>
        </w:rPr>
        <w:fldChar w:fldCharType="separate"/>
      </w:r>
      <w:r w:rsidR="00E961FA" w:rsidRPr="008A1DB4">
        <w:rPr>
          <w:spacing w:val="-2"/>
          <w:lang w:val="en-US"/>
        </w:rPr>
        <w:t>96</w:t>
      </w:r>
      <w:r w:rsidR="001621DE" w:rsidRPr="008A1DB4">
        <w:rPr>
          <w:spacing w:val="-2"/>
          <w:lang w:val="en-US"/>
        </w:rPr>
        <w:fldChar w:fldCharType="end"/>
      </w:r>
      <w:r w:rsidR="001621DE" w:rsidRPr="008A1DB4">
        <w:rPr>
          <w:spacing w:val="-2"/>
          <w:lang w:val="en-US"/>
        </w:rPr>
        <w:t>)</w:t>
      </w:r>
      <w:r w:rsidR="00601B3D" w:rsidRPr="008A1DB4">
        <w:rPr>
          <w:spacing w:val="-2"/>
          <w:lang w:val="en-US"/>
        </w:rPr>
        <w:t xml:space="preserve">. </w:t>
      </w:r>
      <w:r w:rsidR="00A3310A" w:rsidRPr="008A1DB4">
        <w:rPr>
          <w:spacing w:val="-2"/>
          <w:lang w:val="en-US"/>
        </w:rPr>
        <w:t>Subsequently</w:t>
      </w:r>
      <w:r w:rsidR="00227884" w:rsidRPr="008A1DB4">
        <w:rPr>
          <w:spacing w:val="-2"/>
          <w:lang w:val="en-US"/>
        </w:rPr>
        <w:t xml:space="preserve">, </w:t>
      </w:r>
      <w:r w:rsidR="00D003F8" w:rsidRPr="008A1DB4">
        <w:rPr>
          <w:spacing w:val="-2"/>
          <w:lang w:val="en-US"/>
        </w:rPr>
        <w:t>on March 10,</w:t>
      </w:r>
      <w:r w:rsidR="00227884" w:rsidRPr="008A1DB4">
        <w:rPr>
          <w:spacing w:val="-2"/>
          <w:lang w:val="en-US"/>
        </w:rPr>
        <w:t xml:space="preserve"> 2014</w:t>
      </w:r>
      <w:r w:rsidR="009F24F8" w:rsidRPr="008A1DB4">
        <w:rPr>
          <w:spacing w:val="-2"/>
          <w:lang w:val="en-US"/>
        </w:rPr>
        <w:t>,</w:t>
      </w:r>
      <w:r w:rsidR="00601B3D" w:rsidRPr="008A1DB4">
        <w:rPr>
          <w:spacing w:val="-2"/>
          <w:lang w:val="en-US"/>
        </w:rPr>
        <w:t xml:space="preserve"> </w:t>
      </w:r>
      <w:r w:rsidR="001E7113" w:rsidRPr="008A1DB4">
        <w:rPr>
          <w:spacing w:val="-2"/>
          <w:lang w:val="en-US"/>
        </w:rPr>
        <w:t>the Seventh Criminal Court of El Callao</w:t>
      </w:r>
      <w:r w:rsidR="00227884" w:rsidRPr="008A1DB4">
        <w:rPr>
          <w:spacing w:val="-2"/>
          <w:lang w:val="en-US"/>
        </w:rPr>
        <w:t xml:space="preserve"> </w:t>
      </w:r>
      <w:r w:rsidR="009F24F8" w:rsidRPr="008A1DB4">
        <w:rPr>
          <w:spacing w:val="-2"/>
          <w:lang w:val="en-US"/>
        </w:rPr>
        <w:t>changed this measure to “</w:t>
      </w:r>
      <w:r w:rsidR="00F26E60">
        <w:rPr>
          <w:spacing w:val="-2"/>
          <w:lang w:val="en-US"/>
        </w:rPr>
        <w:t xml:space="preserve">an </w:t>
      </w:r>
      <w:r w:rsidR="00F26E60" w:rsidRPr="008A1DB4">
        <w:rPr>
          <w:spacing w:val="-2"/>
          <w:lang w:val="en-US"/>
        </w:rPr>
        <w:t>order to appear in court</w:t>
      </w:r>
      <w:r w:rsidR="00F26E60">
        <w:rPr>
          <w:spacing w:val="-2"/>
          <w:lang w:val="en-US"/>
        </w:rPr>
        <w:t xml:space="preserve"> periodically</w:t>
      </w:r>
      <w:r w:rsidR="009F24F8" w:rsidRPr="008A1DB4">
        <w:rPr>
          <w:spacing w:val="-2"/>
          <w:lang w:val="en-US"/>
        </w:rPr>
        <w:t xml:space="preserve">: house arrest” </w:t>
      </w:r>
      <w:r w:rsidR="00BF0DA2" w:rsidRPr="008A1DB4">
        <w:rPr>
          <w:i/>
          <w:spacing w:val="-2"/>
          <w:lang w:val="en-US"/>
        </w:rPr>
        <w:t>supra</w:t>
      </w:r>
      <w:r w:rsidR="00BF0DA2" w:rsidRPr="008A1DB4">
        <w:rPr>
          <w:spacing w:val="-2"/>
          <w:lang w:val="en-US"/>
        </w:rPr>
        <w:t xml:space="preserve"> </w:t>
      </w:r>
      <w:r w:rsidR="00631F9C" w:rsidRPr="008A1DB4">
        <w:rPr>
          <w:spacing w:val="-2"/>
          <w:lang w:val="en-US"/>
        </w:rPr>
        <w:t>paras.</w:t>
      </w:r>
      <w:r w:rsidR="00BF0DA2" w:rsidRPr="008A1DB4">
        <w:rPr>
          <w:spacing w:val="-2"/>
          <w:lang w:val="en-US"/>
        </w:rPr>
        <w:t xml:space="preserve"> </w:t>
      </w:r>
      <w:r w:rsidR="00BF0DA2" w:rsidRPr="008A1DB4">
        <w:rPr>
          <w:spacing w:val="-2"/>
          <w:lang w:val="en-US"/>
        </w:rPr>
        <w:fldChar w:fldCharType="begin"/>
      </w:r>
      <w:r w:rsidR="00BF0DA2" w:rsidRPr="008A1DB4">
        <w:rPr>
          <w:spacing w:val="-2"/>
          <w:lang w:val="en-US"/>
        </w:rPr>
        <w:instrText xml:space="preserve"> REF _Ref428981612 \r \h </w:instrText>
      </w:r>
      <w:r w:rsidR="00DC41F4" w:rsidRPr="008A1DB4">
        <w:rPr>
          <w:spacing w:val="-2"/>
          <w:lang w:val="en-US"/>
        </w:rPr>
        <w:instrText xml:space="preserve"> \* MERGEFORMAT </w:instrText>
      </w:r>
      <w:r w:rsidR="00BF0DA2" w:rsidRPr="008A1DB4">
        <w:rPr>
          <w:spacing w:val="-2"/>
          <w:lang w:val="en-US"/>
        </w:rPr>
      </w:r>
      <w:r w:rsidR="00BF0DA2" w:rsidRPr="008A1DB4">
        <w:rPr>
          <w:spacing w:val="-2"/>
          <w:lang w:val="en-US"/>
        </w:rPr>
        <w:fldChar w:fldCharType="separate"/>
      </w:r>
      <w:r w:rsidR="00E961FA" w:rsidRPr="008A1DB4">
        <w:rPr>
          <w:spacing w:val="-2"/>
          <w:lang w:val="en-US"/>
        </w:rPr>
        <w:t>112</w:t>
      </w:r>
      <w:r w:rsidR="00BF0DA2" w:rsidRPr="008A1DB4">
        <w:rPr>
          <w:spacing w:val="-2"/>
          <w:lang w:val="en-US"/>
        </w:rPr>
        <w:fldChar w:fldCharType="end"/>
      </w:r>
      <w:r w:rsidR="00F36400" w:rsidRPr="008A1DB4">
        <w:rPr>
          <w:spacing w:val="-2"/>
          <w:lang w:val="en-US"/>
        </w:rPr>
        <w:t xml:space="preserve"> and </w:t>
      </w:r>
      <w:r w:rsidR="00BF0DA2" w:rsidRPr="008A1DB4">
        <w:rPr>
          <w:spacing w:val="-2"/>
          <w:lang w:val="en-US"/>
        </w:rPr>
        <w:fldChar w:fldCharType="begin"/>
      </w:r>
      <w:r w:rsidR="00BF0DA2" w:rsidRPr="008A1DB4">
        <w:rPr>
          <w:spacing w:val="-2"/>
          <w:lang w:val="en-US"/>
        </w:rPr>
        <w:instrText xml:space="preserve"> REF _Ref428981618 \r \h </w:instrText>
      </w:r>
      <w:r w:rsidR="00DC41F4" w:rsidRPr="008A1DB4">
        <w:rPr>
          <w:spacing w:val="-2"/>
          <w:lang w:val="en-US"/>
        </w:rPr>
        <w:instrText xml:space="preserve"> \* MERGEFORMAT </w:instrText>
      </w:r>
      <w:r w:rsidR="00BF0DA2" w:rsidRPr="008A1DB4">
        <w:rPr>
          <w:spacing w:val="-2"/>
          <w:lang w:val="en-US"/>
        </w:rPr>
      </w:r>
      <w:r w:rsidR="00BF0DA2" w:rsidRPr="008A1DB4">
        <w:rPr>
          <w:spacing w:val="-2"/>
          <w:lang w:val="en-US"/>
        </w:rPr>
        <w:fldChar w:fldCharType="separate"/>
      </w:r>
      <w:r w:rsidR="00E961FA" w:rsidRPr="008A1DB4">
        <w:rPr>
          <w:spacing w:val="-2"/>
          <w:lang w:val="en-US"/>
        </w:rPr>
        <w:t>113</w:t>
      </w:r>
      <w:r w:rsidR="00BF0DA2" w:rsidRPr="008A1DB4">
        <w:rPr>
          <w:spacing w:val="-2"/>
          <w:lang w:val="en-US"/>
        </w:rPr>
        <w:fldChar w:fldCharType="end"/>
      </w:r>
      <w:r w:rsidR="00BF0DA2" w:rsidRPr="008A1DB4">
        <w:rPr>
          <w:spacing w:val="-2"/>
          <w:lang w:val="en-US"/>
        </w:rPr>
        <w:t>)</w:t>
      </w:r>
      <w:r w:rsidR="00601B3D" w:rsidRPr="008A1DB4">
        <w:rPr>
          <w:spacing w:val="-2"/>
          <w:lang w:val="en-US"/>
        </w:rPr>
        <w:t xml:space="preserve">, </w:t>
      </w:r>
      <w:r w:rsidR="009F24F8" w:rsidRPr="008A1DB4">
        <w:rPr>
          <w:spacing w:val="-2"/>
          <w:lang w:val="en-US"/>
        </w:rPr>
        <w:t>and he is currently detained in this way. Regarding the duration of</w:t>
      </w:r>
      <w:r w:rsidR="00601B3D" w:rsidRPr="008A1DB4">
        <w:rPr>
          <w:spacing w:val="-2"/>
          <w:lang w:val="en-US"/>
        </w:rPr>
        <w:t xml:space="preserve"> </w:t>
      </w:r>
      <w:r w:rsidR="009F24F8" w:rsidRPr="008A1DB4">
        <w:rPr>
          <w:spacing w:val="-2"/>
          <w:lang w:val="en-US"/>
        </w:rPr>
        <w:t>the deprivation of liberty</w:t>
      </w:r>
      <w:r w:rsidR="00601B3D" w:rsidRPr="008A1DB4">
        <w:rPr>
          <w:spacing w:val="-2"/>
          <w:lang w:val="en-US"/>
        </w:rPr>
        <w:t xml:space="preserve"> </w:t>
      </w:r>
      <w:r w:rsidR="00B43F84" w:rsidRPr="008A1DB4">
        <w:rPr>
          <w:spacing w:val="-2"/>
          <w:lang w:val="en-US"/>
        </w:rPr>
        <w:t>of Wong</w:t>
      </w:r>
      <w:r w:rsidR="00601B3D" w:rsidRPr="008A1DB4">
        <w:rPr>
          <w:spacing w:val="-2"/>
          <w:lang w:val="en-US"/>
        </w:rPr>
        <w:t xml:space="preserve"> Ho Wing, </w:t>
      </w:r>
      <w:r w:rsidR="009F24F8" w:rsidRPr="008A1DB4">
        <w:rPr>
          <w:spacing w:val="-2"/>
          <w:lang w:val="en-US"/>
        </w:rPr>
        <w:t xml:space="preserve">first, the Court emphasizes that, from the time of his arrest </w:t>
      </w:r>
      <w:r w:rsidR="00350390" w:rsidRPr="008A1DB4">
        <w:rPr>
          <w:spacing w:val="-2"/>
          <w:lang w:val="en-US"/>
        </w:rPr>
        <w:t>and to d</w:t>
      </w:r>
      <w:r w:rsidR="009F24F8" w:rsidRPr="008A1DB4">
        <w:rPr>
          <w:spacing w:val="-2"/>
          <w:lang w:val="en-US"/>
        </w:rPr>
        <w:t xml:space="preserve">ate, the judicial authorities have </w:t>
      </w:r>
      <w:r w:rsidR="00350390" w:rsidRPr="008A1DB4">
        <w:rPr>
          <w:spacing w:val="-2"/>
          <w:lang w:val="en-US"/>
        </w:rPr>
        <w:t>committed different errors that have contributed to prolong</w:t>
      </w:r>
      <w:r w:rsidR="0056729D">
        <w:rPr>
          <w:spacing w:val="-2"/>
          <w:lang w:val="en-US"/>
        </w:rPr>
        <w:t>ing</w:t>
      </w:r>
      <w:r w:rsidR="00350390" w:rsidRPr="008A1DB4">
        <w:rPr>
          <w:spacing w:val="-2"/>
          <w:lang w:val="en-US"/>
        </w:rPr>
        <w:t xml:space="preserve"> his detention </w:t>
      </w:r>
      <w:r w:rsidR="00601B3D" w:rsidRPr="008A1DB4">
        <w:rPr>
          <w:spacing w:val="-2"/>
          <w:lang w:val="en-US"/>
        </w:rPr>
        <w:t>(</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BF0DA2" w:rsidRPr="008A1DB4">
        <w:rPr>
          <w:spacing w:val="-2"/>
          <w:lang w:val="en-US"/>
        </w:rPr>
        <w:fldChar w:fldCharType="begin"/>
      </w:r>
      <w:r w:rsidR="00BF0DA2" w:rsidRPr="008A1DB4">
        <w:rPr>
          <w:spacing w:val="-2"/>
          <w:lang w:val="en-US"/>
        </w:rPr>
        <w:instrText xml:space="preserve"> REF _Ref428981774 \r \h </w:instrText>
      </w:r>
      <w:r w:rsidR="00DC41F4" w:rsidRPr="008A1DB4">
        <w:rPr>
          <w:spacing w:val="-2"/>
          <w:lang w:val="en-US"/>
        </w:rPr>
        <w:instrText xml:space="preserve"> \* MERGEFORMAT </w:instrText>
      </w:r>
      <w:r w:rsidR="00BF0DA2" w:rsidRPr="008A1DB4">
        <w:rPr>
          <w:spacing w:val="-2"/>
          <w:lang w:val="en-US"/>
        </w:rPr>
      </w:r>
      <w:r w:rsidR="00BF0DA2" w:rsidRPr="008A1DB4">
        <w:rPr>
          <w:spacing w:val="-2"/>
          <w:lang w:val="en-US"/>
        </w:rPr>
        <w:fldChar w:fldCharType="separate"/>
      </w:r>
      <w:r w:rsidR="00E961FA" w:rsidRPr="008A1DB4">
        <w:rPr>
          <w:spacing w:val="-2"/>
          <w:lang w:val="en-US"/>
        </w:rPr>
        <w:t>215</w:t>
      </w:r>
      <w:r w:rsidR="00BF0DA2" w:rsidRPr="008A1DB4">
        <w:rPr>
          <w:spacing w:val="-2"/>
          <w:lang w:val="en-US"/>
        </w:rPr>
        <w:fldChar w:fldCharType="end"/>
      </w:r>
      <w:r w:rsidR="00BF0DA2" w:rsidRPr="008A1DB4">
        <w:rPr>
          <w:spacing w:val="-2"/>
          <w:lang w:val="en-US"/>
        </w:rPr>
        <w:t xml:space="preserve"> </w:t>
      </w:r>
      <w:r w:rsidR="00350390" w:rsidRPr="008A1DB4">
        <w:rPr>
          <w:spacing w:val="-2"/>
          <w:lang w:val="en-US"/>
        </w:rPr>
        <w:t>to</w:t>
      </w:r>
      <w:r w:rsidR="00601B3D" w:rsidRPr="008A1DB4">
        <w:rPr>
          <w:spacing w:val="-2"/>
          <w:lang w:val="en-US"/>
        </w:rPr>
        <w:t xml:space="preserve"> </w:t>
      </w:r>
      <w:r w:rsidR="00646AB2" w:rsidRPr="008A1DB4">
        <w:rPr>
          <w:spacing w:val="-2"/>
          <w:lang w:val="en-US"/>
        </w:rPr>
        <w:fldChar w:fldCharType="begin"/>
      </w:r>
      <w:r w:rsidR="00646AB2" w:rsidRPr="008A1DB4">
        <w:rPr>
          <w:spacing w:val="-2"/>
          <w:lang w:val="en-US"/>
        </w:rPr>
        <w:instrText xml:space="preserve"> REF _Ref428982170 \r \h </w:instrText>
      </w:r>
      <w:r w:rsidR="00DC41F4" w:rsidRPr="008A1DB4">
        <w:rPr>
          <w:spacing w:val="-2"/>
          <w:lang w:val="en-US"/>
        </w:rPr>
        <w:instrText xml:space="preserve"> \* MERGEFORMAT </w:instrText>
      </w:r>
      <w:r w:rsidR="00646AB2" w:rsidRPr="008A1DB4">
        <w:rPr>
          <w:spacing w:val="-2"/>
          <w:lang w:val="en-US"/>
        </w:rPr>
      </w:r>
      <w:r w:rsidR="00646AB2" w:rsidRPr="008A1DB4">
        <w:rPr>
          <w:spacing w:val="-2"/>
          <w:lang w:val="en-US"/>
        </w:rPr>
        <w:fldChar w:fldCharType="separate"/>
      </w:r>
      <w:r w:rsidR="00E961FA" w:rsidRPr="008A1DB4">
        <w:rPr>
          <w:spacing w:val="-2"/>
          <w:lang w:val="en-US"/>
        </w:rPr>
        <w:t>219</w:t>
      </w:r>
      <w:r w:rsidR="00646AB2" w:rsidRPr="008A1DB4">
        <w:rPr>
          <w:spacing w:val="-2"/>
          <w:lang w:val="en-US"/>
        </w:rPr>
        <w:fldChar w:fldCharType="end"/>
      </w:r>
      <w:r w:rsidR="00601B3D" w:rsidRPr="008A1DB4">
        <w:rPr>
          <w:spacing w:val="-2"/>
          <w:lang w:val="en-US"/>
        </w:rPr>
        <w:t xml:space="preserve">). </w:t>
      </w:r>
      <w:r w:rsidR="00350390" w:rsidRPr="008A1DB4">
        <w:rPr>
          <w:spacing w:val="-2"/>
          <w:lang w:val="en-US"/>
        </w:rPr>
        <w:t xml:space="preserve">In this regard, the State has not acted with the greater diligence required when a person is detained </w:t>
      </w:r>
      <w:r w:rsidR="00601B3D" w:rsidRPr="008A1DB4">
        <w:rPr>
          <w:spacing w:val="-2"/>
          <w:lang w:val="en-US"/>
        </w:rPr>
        <w:t>(</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5672BD" w:rsidRPr="008A1DB4">
        <w:rPr>
          <w:spacing w:val="-2"/>
          <w:lang w:val="en-US"/>
        </w:rPr>
        <w:fldChar w:fldCharType="begin"/>
      </w:r>
      <w:r w:rsidR="005672BD" w:rsidRPr="008A1DB4">
        <w:rPr>
          <w:spacing w:val="-2"/>
          <w:lang w:val="en-US"/>
        </w:rPr>
        <w:instrText xml:space="preserve"> REF _Ref417307039 \r \h </w:instrText>
      </w:r>
      <w:r w:rsidR="00EB3BAE" w:rsidRPr="008A1DB4">
        <w:rPr>
          <w:spacing w:val="-2"/>
          <w:lang w:val="en-US"/>
        </w:rPr>
        <w:instrText xml:space="preserve"> \* MERGEFORMAT </w:instrText>
      </w:r>
      <w:r w:rsidR="005672BD" w:rsidRPr="008A1DB4">
        <w:rPr>
          <w:spacing w:val="-2"/>
          <w:lang w:val="en-US"/>
        </w:rPr>
      </w:r>
      <w:r w:rsidR="005672BD" w:rsidRPr="008A1DB4">
        <w:rPr>
          <w:spacing w:val="-2"/>
          <w:lang w:val="en-US"/>
        </w:rPr>
        <w:fldChar w:fldCharType="separate"/>
      </w:r>
      <w:r w:rsidR="00E961FA" w:rsidRPr="008A1DB4">
        <w:rPr>
          <w:spacing w:val="-2"/>
          <w:lang w:val="en-US"/>
        </w:rPr>
        <w:t>222</w:t>
      </w:r>
      <w:r w:rsidR="005672BD" w:rsidRPr="008A1DB4">
        <w:rPr>
          <w:spacing w:val="-2"/>
          <w:lang w:val="en-US"/>
        </w:rPr>
        <w:fldChar w:fldCharType="end"/>
      </w:r>
      <w:r w:rsidR="00F36400" w:rsidRPr="008A1DB4">
        <w:rPr>
          <w:spacing w:val="-2"/>
          <w:lang w:val="en-US"/>
        </w:rPr>
        <w:t xml:space="preserve"> and </w:t>
      </w:r>
      <w:r w:rsidR="00646AB2" w:rsidRPr="008A1DB4">
        <w:rPr>
          <w:spacing w:val="-2"/>
          <w:lang w:val="en-US"/>
        </w:rPr>
        <w:fldChar w:fldCharType="begin"/>
      </w:r>
      <w:r w:rsidR="00646AB2" w:rsidRPr="008A1DB4">
        <w:rPr>
          <w:spacing w:val="-2"/>
          <w:lang w:val="en-US"/>
        </w:rPr>
        <w:instrText xml:space="preserve"> REF _Ref428982011 \r \h </w:instrText>
      </w:r>
      <w:r w:rsidR="00DC41F4" w:rsidRPr="008A1DB4">
        <w:rPr>
          <w:spacing w:val="-2"/>
          <w:lang w:val="en-US"/>
        </w:rPr>
        <w:instrText xml:space="preserve"> \* MERGEFORMAT </w:instrText>
      </w:r>
      <w:r w:rsidR="00646AB2" w:rsidRPr="008A1DB4">
        <w:rPr>
          <w:spacing w:val="-2"/>
          <w:lang w:val="en-US"/>
        </w:rPr>
      </w:r>
      <w:r w:rsidR="00646AB2" w:rsidRPr="008A1DB4">
        <w:rPr>
          <w:spacing w:val="-2"/>
          <w:lang w:val="en-US"/>
        </w:rPr>
        <w:fldChar w:fldCharType="separate"/>
      </w:r>
      <w:r w:rsidR="00E961FA" w:rsidRPr="008A1DB4">
        <w:rPr>
          <w:spacing w:val="-2"/>
          <w:lang w:val="en-US"/>
        </w:rPr>
        <w:t>268</w:t>
      </w:r>
      <w:r w:rsidR="00646AB2" w:rsidRPr="008A1DB4">
        <w:rPr>
          <w:spacing w:val="-2"/>
          <w:lang w:val="en-US"/>
        </w:rPr>
        <w:fldChar w:fldCharType="end"/>
      </w:r>
      <w:r w:rsidR="00601B3D" w:rsidRPr="008A1DB4">
        <w:rPr>
          <w:spacing w:val="-2"/>
          <w:lang w:val="en-US"/>
        </w:rPr>
        <w:t>).</w:t>
      </w:r>
    </w:p>
    <w:p w14:paraId="0A0361BA" w14:textId="77777777" w:rsidR="004D6A87" w:rsidRPr="008A1DB4" w:rsidRDefault="004D6A87" w:rsidP="00956E97">
      <w:pPr>
        <w:pStyle w:val="PrrafodeSentencia"/>
        <w:numPr>
          <w:ilvl w:val="0"/>
          <w:numId w:val="0"/>
        </w:numPr>
        <w:rPr>
          <w:spacing w:val="-2"/>
          <w:lang w:val="en-US"/>
        </w:rPr>
      </w:pPr>
    </w:p>
    <w:p w14:paraId="3EC8C675" w14:textId="4B0DA68E" w:rsidR="00601B3D" w:rsidRPr="008A1DB4" w:rsidRDefault="00350390" w:rsidP="00956E97">
      <w:pPr>
        <w:pStyle w:val="PrrafodeSentencia"/>
        <w:rPr>
          <w:spacing w:val="-2"/>
          <w:lang w:val="en-US"/>
        </w:rPr>
      </w:pPr>
      <w:r w:rsidRPr="008A1DB4">
        <w:rPr>
          <w:spacing w:val="-2"/>
          <w:lang w:val="en-US"/>
        </w:rPr>
        <w:t xml:space="preserve">Second, the Court recalls that the applicable regulations do not establish a </w:t>
      </w:r>
      <w:r w:rsidR="003D2FF4">
        <w:rPr>
          <w:spacing w:val="-2"/>
          <w:lang w:val="en-US"/>
        </w:rPr>
        <w:t>time limit for</w:t>
      </w:r>
      <w:r w:rsidRPr="008A1DB4">
        <w:rPr>
          <w:spacing w:val="-2"/>
          <w:lang w:val="en-US"/>
        </w:rPr>
        <w:t xml:space="preserve"> pr</w:t>
      </w:r>
      <w:r w:rsidR="0056729D">
        <w:rPr>
          <w:spacing w:val="-2"/>
          <w:lang w:val="en-US"/>
        </w:rPr>
        <w:t>eventive</w:t>
      </w:r>
      <w:r w:rsidRPr="008A1DB4">
        <w:rPr>
          <w:spacing w:val="-2"/>
          <w:lang w:val="en-US"/>
        </w:rPr>
        <w:t xml:space="preserve"> detention in extradition proceedings, once the formal extradition request has been </w:t>
      </w:r>
      <w:r w:rsidR="00601B3D" w:rsidRPr="008A1DB4">
        <w:rPr>
          <w:spacing w:val="-2"/>
          <w:lang w:val="en-US"/>
        </w:rPr>
        <w:t>re</w:t>
      </w:r>
      <w:r w:rsidRPr="008A1DB4">
        <w:rPr>
          <w:spacing w:val="-2"/>
          <w:lang w:val="en-US"/>
        </w:rPr>
        <w:t xml:space="preserve">ceived, or a time </w:t>
      </w:r>
      <w:r w:rsidR="0056729D">
        <w:rPr>
          <w:spacing w:val="-2"/>
          <w:lang w:val="en-US"/>
        </w:rPr>
        <w:t>frame</w:t>
      </w:r>
      <w:r w:rsidRPr="008A1DB4">
        <w:rPr>
          <w:spacing w:val="-2"/>
          <w:lang w:val="en-US"/>
        </w:rPr>
        <w:t xml:space="preserve"> for </w:t>
      </w:r>
      <w:r w:rsidR="00FC5891" w:rsidRPr="008A1DB4">
        <w:rPr>
          <w:spacing w:val="-2"/>
          <w:lang w:val="en-US"/>
        </w:rPr>
        <w:t>the extradition process</w:t>
      </w:r>
      <w:r w:rsidR="00601B3D" w:rsidRPr="008A1DB4">
        <w:rPr>
          <w:spacing w:val="-2"/>
          <w:lang w:val="en-US"/>
        </w:rPr>
        <w:t xml:space="preserve"> </w:t>
      </w:r>
      <w:r w:rsidRPr="008A1DB4">
        <w:rPr>
          <w:spacing w:val="-2"/>
          <w:lang w:val="en-US"/>
        </w:rPr>
        <w:t xml:space="preserve">that might limit the duration of the detention </w:t>
      </w:r>
      <w:r w:rsidR="00601B3D" w:rsidRPr="008A1DB4">
        <w:rPr>
          <w:spacing w:val="-2"/>
          <w:lang w:val="en-US"/>
        </w:rPr>
        <w:t>(</w:t>
      </w:r>
      <w:r w:rsidR="00601B3D" w:rsidRPr="008A1DB4">
        <w:rPr>
          <w:i/>
          <w:spacing w:val="-2"/>
          <w:lang w:val="en-US"/>
        </w:rPr>
        <w:t xml:space="preserve">supra </w:t>
      </w:r>
      <w:r w:rsidR="00C45946" w:rsidRPr="008A1DB4">
        <w:rPr>
          <w:spacing w:val="-2"/>
          <w:lang w:val="en-US"/>
        </w:rPr>
        <w:t xml:space="preserve">para. </w:t>
      </w:r>
      <w:r w:rsidR="003F3873" w:rsidRPr="008A1DB4">
        <w:rPr>
          <w:spacing w:val="-2"/>
          <w:lang w:val="en-US"/>
        </w:rPr>
        <w:fldChar w:fldCharType="begin"/>
      </w:r>
      <w:r w:rsidR="003F3873" w:rsidRPr="008A1DB4">
        <w:rPr>
          <w:spacing w:val="-2"/>
          <w:lang w:val="en-US"/>
        </w:rPr>
        <w:instrText xml:space="preserve"> REF _Ref428982605 \r \h </w:instrText>
      </w:r>
      <w:r w:rsidR="00DC41F4" w:rsidRPr="008A1DB4">
        <w:rPr>
          <w:spacing w:val="-2"/>
          <w:lang w:val="en-US"/>
        </w:rPr>
        <w:instrText xml:space="preserve"> \* MERGEFORMAT </w:instrText>
      </w:r>
      <w:r w:rsidR="003F3873" w:rsidRPr="008A1DB4">
        <w:rPr>
          <w:spacing w:val="-2"/>
          <w:lang w:val="en-US"/>
        </w:rPr>
      </w:r>
      <w:r w:rsidR="003F3873" w:rsidRPr="008A1DB4">
        <w:rPr>
          <w:spacing w:val="-2"/>
          <w:lang w:val="en-US"/>
        </w:rPr>
        <w:fldChar w:fldCharType="separate"/>
      </w:r>
      <w:r w:rsidR="00E961FA" w:rsidRPr="008A1DB4">
        <w:rPr>
          <w:spacing w:val="-2"/>
          <w:lang w:val="en-US"/>
        </w:rPr>
        <w:t>255</w:t>
      </w:r>
      <w:r w:rsidR="003F3873" w:rsidRPr="008A1DB4">
        <w:rPr>
          <w:spacing w:val="-2"/>
          <w:lang w:val="en-US"/>
        </w:rPr>
        <w:fldChar w:fldCharType="end"/>
      </w:r>
      <w:r w:rsidR="00601B3D" w:rsidRPr="008A1DB4">
        <w:rPr>
          <w:spacing w:val="-2"/>
          <w:lang w:val="en-US"/>
        </w:rPr>
        <w:t xml:space="preserve">). </w:t>
      </w:r>
      <w:r w:rsidRPr="008A1DB4">
        <w:rPr>
          <w:spacing w:val="-2"/>
          <w:lang w:val="en-US"/>
        </w:rPr>
        <w:t>This absence of a time frame was used in ju</w:t>
      </w:r>
      <w:r w:rsidR="0056729D">
        <w:rPr>
          <w:spacing w:val="-2"/>
          <w:lang w:val="en-US"/>
        </w:rPr>
        <w:t xml:space="preserve">dicial decisions concerning </w:t>
      </w:r>
      <w:r w:rsidR="00B43F84" w:rsidRPr="008A1DB4">
        <w:rPr>
          <w:spacing w:val="-2"/>
          <w:lang w:val="en-US"/>
        </w:rPr>
        <w:t>Wong</w:t>
      </w:r>
      <w:r w:rsidR="00601B3D" w:rsidRPr="008A1DB4">
        <w:rPr>
          <w:spacing w:val="-2"/>
          <w:lang w:val="en-US"/>
        </w:rPr>
        <w:t xml:space="preserve"> Ho Wing</w:t>
      </w:r>
      <w:r w:rsidR="0056729D">
        <w:rPr>
          <w:spacing w:val="-2"/>
          <w:lang w:val="en-US"/>
        </w:rPr>
        <w:t>’s detention</w:t>
      </w:r>
      <w:r w:rsidR="00601B3D" w:rsidRPr="008A1DB4">
        <w:rPr>
          <w:spacing w:val="-2"/>
          <w:lang w:val="en-US"/>
        </w:rPr>
        <w:t xml:space="preserve"> </w:t>
      </w:r>
      <w:r w:rsidRPr="008A1DB4">
        <w:rPr>
          <w:spacing w:val="-2"/>
          <w:lang w:val="en-US"/>
        </w:rPr>
        <w:t xml:space="preserve">to justify its duration </w:t>
      </w:r>
      <w:r w:rsidR="00601B3D" w:rsidRPr="008A1DB4">
        <w:rPr>
          <w:spacing w:val="-2"/>
          <w:lang w:val="en-US"/>
        </w:rPr>
        <w:t>(</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CD5131" w:rsidRPr="008A1DB4">
        <w:rPr>
          <w:spacing w:val="-2"/>
          <w:lang w:val="en-US"/>
        </w:rPr>
        <w:fldChar w:fldCharType="begin"/>
      </w:r>
      <w:r w:rsidR="00CD5131" w:rsidRPr="008A1DB4">
        <w:rPr>
          <w:spacing w:val="-2"/>
          <w:lang w:val="en-US"/>
        </w:rPr>
        <w:instrText xml:space="preserve"> REF _Ref428975269 \r \h </w:instrText>
      </w:r>
      <w:r w:rsidR="00DC41F4" w:rsidRPr="008A1DB4">
        <w:rPr>
          <w:spacing w:val="-2"/>
          <w:lang w:val="en-US"/>
        </w:rPr>
        <w:instrText xml:space="preserve"> \* MERGEFORMAT </w:instrText>
      </w:r>
      <w:r w:rsidR="00CD5131" w:rsidRPr="008A1DB4">
        <w:rPr>
          <w:spacing w:val="-2"/>
          <w:lang w:val="en-US"/>
        </w:rPr>
      </w:r>
      <w:r w:rsidR="00CD5131" w:rsidRPr="008A1DB4">
        <w:rPr>
          <w:spacing w:val="-2"/>
          <w:lang w:val="en-US"/>
        </w:rPr>
        <w:fldChar w:fldCharType="separate"/>
      </w:r>
      <w:r w:rsidR="00E961FA" w:rsidRPr="008A1DB4">
        <w:rPr>
          <w:spacing w:val="-2"/>
          <w:lang w:val="en-US"/>
        </w:rPr>
        <w:t>103</w:t>
      </w:r>
      <w:r w:rsidR="00CD5131" w:rsidRPr="008A1DB4">
        <w:rPr>
          <w:spacing w:val="-2"/>
          <w:lang w:val="en-US"/>
        </w:rPr>
        <w:fldChar w:fldCharType="end"/>
      </w:r>
      <w:r w:rsidR="00F36400" w:rsidRPr="008A1DB4">
        <w:rPr>
          <w:spacing w:val="-2"/>
          <w:lang w:val="en-US"/>
        </w:rPr>
        <w:t xml:space="preserve"> and </w:t>
      </w:r>
      <w:r w:rsidR="003F3873" w:rsidRPr="008A1DB4">
        <w:rPr>
          <w:spacing w:val="-2"/>
          <w:lang w:val="en-US"/>
        </w:rPr>
        <w:fldChar w:fldCharType="begin"/>
      </w:r>
      <w:r w:rsidR="003F3873" w:rsidRPr="008A1DB4">
        <w:rPr>
          <w:spacing w:val="-2"/>
          <w:lang w:val="en-US"/>
        </w:rPr>
        <w:instrText xml:space="preserve"> REF _Ref428982605 \r \h </w:instrText>
      </w:r>
      <w:r w:rsidR="00DC41F4" w:rsidRPr="008A1DB4">
        <w:rPr>
          <w:spacing w:val="-2"/>
          <w:lang w:val="en-US"/>
        </w:rPr>
        <w:instrText xml:space="preserve"> \* MERGEFORMAT </w:instrText>
      </w:r>
      <w:r w:rsidR="003F3873" w:rsidRPr="008A1DB4">
        <w:rPr>
          <w:spacing w:val="-2"/>
          <w:lang w:val="en-US"/>
        </w:rPr>
      </w:r>
      <w:r w:rsidR="003F3873" w:rsidRPr="008A1DB4">
        <w:rPr>
          <w:spacing w:val="-2"/>
          <w:lang w:val="en-US"/>
        </w:rPr>
        <w:fldChar w:fldCharType="separate"/>
      </w:r>
      <w:r w:rsidR="00E961FA" w:rsidRPr="008A1DB4">
        <w:rPr>
          <w:spacing w:val="-2"/>
          <w:lang w:val="en-US"/>
        </w:rPr>
        <w:t>255</w:t>
      </w:r>
      <w:r w:rsidR="003F3873" w:rsidRPr="008A1DB4">
        <w:rPr>
          <w:spacing w:val="-2"/>
          <w:lang w:val="en-US"/>
        </w:rPr>
        <w:fldChar w:fldCharType="end"/>
      </w:r>
      <w:r w:rsidR="00601B3D" w:rsidRPr="008A1DB4">
        <w:rPr>
          <w:spacing w:val="-2"/>
          <w:lang w:val="en-US"/>
        </w:rPr>
        <w:t xml:space="preserve">), </w:t>
      </w:r>
      <w:r w:rsidR="0056729D">
        <w:rPr>
          <w:spacing w:val="-2"/>
          <w:lang w:val="en-US"/>
        </w:rPr>
        <w:t>preventing</w:t>
      </w:r>
      <w:r w:rsidRPr="008A1DB4">
        <w:rPr>
          <w:spacing w:val="-2"/>
          <w:lang w:val="en-US"/>
        </w:rPr>
        <w:t xml:space="preserve"> the analysis of the reasonable nature of the length of the presume</w:t>
      </w:r>
      <w:r w:rsidR="0056729D">
        <w:rPr>
          <w:spacing w:val="-2"/>
          <w:lang w:val="en-US"/>
        </w:rPr>
        <w:t>d victim’s detention and allowing</w:t>
      </w:r>
      <w:r w:rsidRPr="008A1DB4">
        <w:rPr>
          <w:spacing w:val="-2"/>
          <w:lang w:val="en-US"/>
        </w:rPr>
        <w:t xml:space="preserve"> it to be prolonged excessively. </w:t>
      </w:r>
    </w:p>
    <w:p w14:paraId="37723E96" w14:textId="77777777" w:rsidR="00601B3D" w:rsidRPr="008A1DB4" w:rsidRDefault="00601B3D" w:rsidP="00956E97">
      <w:pPr>
        <w:pStyle w:val="ListParagraph"/>
        <w:rPr>
          <w:spacing w:val="-2"/>
          <w:lang w:val="en-US"/>
        </w:rPr>
      </w:pPr>
    </w:p>
    <w:p w14:paraId="34D7D04B" w14:textId="790FAA58" w:rsidR="00601B3D" w:rsidRPr="008A1DB4" w:rsidRDefault="00350390" w:rsidP="00956E97">
      <w:pPr>
        <w:pStyle w:val="PrrafodeSentencia"/>
        <w:rPr>
          <w:spacing w:val="-2"/>
          <w:lang w:val="en-US"/>
        </w:rPr>
      </w:pPr>
      <w:r w:rsidRPr="008A1DB4">
        <w:rPr>
          <w:spacing w:val="-2"/>
          <w:lang w:val="en-US"/>
        </w:rPr>
        <w:t xml:space="preserve">Lastly, the Court reiterates that the existence of precautionary and provisional measures cannot be used to justify the excessive duration </w:t>
      </w:r>
      <w:r w:rsidR="00671326" w:rsidRPr="008A1DB4">
        <w:rPr>
          <w:spacing w:val="-2"/>
          <w:lang w:val="en-US"/>
        </w:rPr>
        <w:t xml:space="preserve">of the </w:t>
      </w:r>
      <w:r w:rsidR="00FC5891" w:rsidRPr="008A1DB4">
        <w:rPr>
          <w:spacing w:val="-2"/>
          <w:lang w:val="en-US"/>
        </w:rPr>
        <w:t>extradition proce</w:t>
      </w:r>
      <w:r w:rsidRPr="008A1DB4">
        <w:rPr>
          <w:spacing w:val="-2"/>
          <w:lang w:val="en-US"/>
        </w:rPr>
        <w:t xml:space="preserve">edings or the detention </w:t>
      </w:r>
      <w:r w:rsidR="00B43F84" w:rsidRPr="008A1DB4">
        <w:rPr>
          <w:spacing w:val="-2"/>
          <w:lang w:val="en-US"/>
        </w:rPr>
        <w:t>of Wong</w:t>
      </w:r>
      <w:r w:rsidR="00601B3D" w:rsidRPr="008A1DB4">
        <w:rPr>
          <w:spacing w:val="-2"/>
          <w:lang w:val="en-US"/>
        </w:rPr>
        <w:t xml:space="preserve"> Ho Wing</w:t>
      </w:r>
      <w:r w:rsidRPr="008A1DB4">
        <w:rPr>
          <w:spacing w:val="-2"/>
          <w:lang w:val="en-US"/>
        </w:rPr>
        <w:t>.</w:t>
      </w:r>
      <w:r w:rsidR="00601B3D" w:rsidRPr="008A1DB4">
        <w:rPr>
          <w:rStyle w:val="FootnoteReference"/>
          <w:spacing w:val="-2"/>
          <w:lang w:val="en-US"/>
        </w:rPr>
        <w:footnoteReference w:id="354"/>
      </w:r>
      <w:r w:rsidRPr="008A1DB4">
        <w:rPr>
          <w:spacing w:val="-2"/>
          <w:lang w:val="en-US"/>
        </w:rPr>
        <w:t xml:space="preserve"> In various orders on the </w:t>
      </w:r>
      <w:r w:rsidR="00C45946" w:rsidRPr="008A1DB4">
        <w:rPr>
          <w:spacing w:val="-2"/>
          <w:lang w:val="en-US"/>
        </w:rPr>
        <w:t>provisional measures</w:t>
      </w:r>
      <w:r w:rsidR="0076752D" w:rsidRPr="008A1DB4">
        <w:rPr>
          <w:spacing w:val="-2"/>
          <w:lang w:val="en-US"/>
        </w:rPr>
        <w:t xml:space="preserve"> orde</w:t>
      </w:r>
      <w:r w:rsidRPr="008A1DB4">
        <w:rPr>
          <w:spacing w:val="-2"/>
          <w:lang w:val="en-US"/>
        </w:rPr>
        <w:t xml:space="preserve">red in this case, the Court indicated that, “while this case is decided by the organs </w:t>
      </w:r>
      <w:r w:rsidR="004257EF" w:rsidRPr="008A1DB4">
        <w:rPr>
          <w:spacing w:val="-2"/>
          <w:lang w:val="en-US"/>
        </w:rPr>
        <w:t xml:space="preserve">of the </w:t>
      </w:r>
      <w:r w:rsidR="004D2183" w:rsidRPr="008A1DB4">
        <w:rPr>
          <w:spacing w:val="-2"/>
          <w:lang w:val="en-US"/>
        </w:rPr>
        <w:t>inter-American system</w:t>
      </w:r>
      <w:r w:rsidR="00601B3D" w:rsidRPr="008A1DB4">
        <w:rPr>
          <w:spacing w:val="-2"/>
          <w:lang w:val="en-US"/>
        </w:rPr>
        <w:t xml:space="preserve">, </w:t>
      </w:r>
      <w:r w:rsidR="00F36400" w:rsidRPr="008A1DB4">
        <w:rPr>
          <w:spacing w:val="-2"/>
          <w:lang w:val="en-US"/>
        </w:rPr>
        <w:t>Peru</w:t>
      </w:r>
      <w:r w:rsidRPr="008A1DB4">
        <w:rPr>
          <w:spacing w:val="-2"/>
          <w:lang w:val="en-US"/>
        </w:rPr>
        <w:t xml:space="preserve"> may continue to adopt the necessary measures in relation to</w:t>
      </w:r>
      <w:r w:rsidR="00601B3D" w:rsidRPr="008A1DB4">
        <w:rPr>
          <w:spacing w:val="-2"/>
          <w:lang w:val="en-US"/>
        </w:rPr>
        <w:t xml:space="preserve"> </w:t>
      </w:r>
      <w:r w:rsidR="00B43F84" w:rsidRPr="008A1DB4">
        <w:rPr>
          <w:spacing w:val="-2"/>
          <w:lang w:val="en-US"/>
        </w:rPr>
        <w:t>Wong</w:t>
      </w:r>
      <w:r w:rsidR="0056729D">
        <w:rPr>
          <w:spacing w:val="-2"/>
          <w:lang w:val="en-US"/>
        </w:rPr>
        <w:t xml:space="preserve"> Ho Wing</w:t>
      </w:r>
      <w:r w:rsidR="00601B3D" w:rsidRPr="008A1DB4">
        <w:rPr>
          <w:spacing w:val="-2"/>
          <w:lang w:val="en-US"/>
        </w:rPr>
        <w:t xml:space="preserve"> </w:t>
      </w:r>
      <w:r w:rsidRPr="008A1DB4">
        <w:rPr>
          <w:spacing w:val="-2"/>
          <w:lang w:val="en-US"/>
        </w:rPr>
        <w:t xml:space="preserve">to </w:t>
      </w:r>
      <w:r w:rsidR="0056729D">
        <w:rPr>
          <w:spacing w:val="-2"/>
          <w:lang w:val="en-US"/>
        </w:rPr>
        <w:t>prevent</w:t>
      </w:r>
      <w:r w:rsidRPr="008A1DB4">
        <w:rPr>
          <w:spacing w:val="-2"/>
          <w:lang w:val="en-US"/>
        </w:rPr>
        <w:t xml:space="preserve"> his eventual extradition </w:t>
      </w:r>
      <w:r w:rsidR="00F36400" w:rsidRPr="008A1DB4">
        <w:rPr>
          <w:spacing w:val="-2"/>
          <w:lang w:val="en-US"/>
        </w:rPr>
        <w:t xml:space="preserve">and </w:t>
      </w:r>
      <w:r w:rsidRPr="008A1DB4">
        <w:rPr>
          <w:spacing w:val="-2"/>
          <w:lang w:val="en-US"/>
        </w:rPr>
        <w:t xml:space="preserve">the corresponding administration of justice in </w:t>
      </w:r>
      <w:r w:rsidR="00653211" w:rsidRPr="008A1DB4">
        <w:rPr>
          <w:spacing w:val="-2"/>
          <w:lang w:val="en-US"/>
        </w:rPr>
        <w:t>the requesting State</w:t>
      </w:r>
      <w:r w:rsidR="0056729D" w:rsidRPr="0056729D">
        <w:rPr>
          <w:spacing w:val="-2"/>
          <w:lang w:val="en-US"/>
        </w:rPr>
        <w:t xml:space="preserve"> </w:t>
      </w:r>
      <w:r w:rsidR="0056729D">
        <w:rPr>
          <w:spacing w:val="-2"/>
          <w:lang w:val="en-US"/>
        </w:rPr>
        <w:t xml:space="preserve">from </w:t>
      </w:r>
      <w:r w:rsidR="0056729D" w:rsidRPr="008A1DB4">
        <w:rPr>
          <w:spacing w:val="-2"/>
          <w:lang w:val="en-US"/>
        </w:rPr>
        <w:t>being ineffective or unrealistic</w:t>
      </w:r>
      <w:r w:rsidRPr="008A1DB4">
        <w:rPr>
          <w:spacing w:val="-2"/>
          <w:lang w:val="en-US"/>
        </w:rPr>
        <w:t>.</w:t>
      </w:r>
      <w:r w:rsidR="00601B3D" w:rsidRPr="008A1DB4">
        <w:rPr>
          <w:spacing w:val="-2"/>
          <w:lang w:val="en-US"/>
        </w:rPr>
        <w:t>”</w:t>
      </w:r>
      <w:r w:rsidR="00601B3D" w:rsidRPr="008A1DB4">
        <w:rPr>
          <w:rStyle w:val="FootnoteReference"/>
          <w:spacing w:val="-2"/>
          <w:lang w:val="en-US"/>
        </w:rPr>
        <w:footnoteReference w:id="355"/>
      </w:r>
      <w:r w:rsidRPr="008A1DB4">
        <w:rPr>
          <w:spacing w:val="-2"/>
          <w:lang w:val="en-US"/>
        </w:rPr>
        <w:t xml:space="preserve"> This did not justify </w:t>
      </w:r>
      <w:r w:rsidR="009F24F8" w:rsidRPr="008A1DB4">
        <w:rPr>
          <w:spacing w:val="-2"/>
          <w:lang w:val="en-US"/>
        </w:rPr>
        <w:t>the deprivation of liberty</w:t>
      </w:r>
      <w:r w:rsidR="00601B3D" w:rsidRPr="008A1DB4">
        <w:rPr>
          <w:spacing w:val="-2"/>
          <w:lang w:val="en-US"/>
        </w:rPr>
        <w:t xml:space="preserve"> </w:t>
      </w:r>
      <w:r w:rsidR="00B43F84" w:rsidRPr="008A1DB4">
        <w:rPr>
          <w:spacing w:val="-2"/>
          <w:lang w:val="en-US"/>
        </w:rPr>
        <w:t>of Wong</w:t>
      </w:r>
      <w:r w:rsidR="001C3321" w:rsidRPr="008A1DB4">
        <w:rPr>
          <w:spacing w:val="-2"/>
          <w:lang w:val="en-US"/>
        </w:rPr>
        <w:t xml:space="preserve"> Ho Wing </w:t>
      </w:r>
      <w:r w:rsidRPr="008A1DB4">
        <w:rPr>
          <w:spacing w:val="-2"/>
          <w:lang w:val="en-US"/>
        </w:rPr>
        <w:t xml:space="preserve">indefinitely. Less harmful measures exist than imprisonment in a detention center that Peru could have adopted to avoid his eventual extradition becoming unrealistic, and this was not considered or analyzed by the State until March </w:t>
      </w:r>
      <w:r w:rsidR="00601B3D" w:rsidRPr="008A1DB4">
        <w:rPr>
          <w:spacing w:val="-2"/>
          <w:lang w:val="en-US"/>
        </w:rPr>
        <w:t xml:space="preserve">2014. </w:t>
      </w:r>
      <w:r w:rsidR="00F36400" w:rsidRPr="008A1DB4">
        <w:rPr>
          <w:spacing w:val="-2"/>
          <w:lang w:val="en-US"/>
        </w:rPr>
        <w:t>The Court</w:t>
      </w:r>
      <w:r w:rsidR="00601B3D" w:rsidRPr="008A1DB4">
        <w:rPr>
          <w:spacing w:val="-2"/>
          <w:lang w:val="en-US"/>
        </w:rPr>
        <w:t xml:space="preserve"> </w:t>
      </w:r>
      <w:r w:rsidRPr="008A1DB4">
        <w:rPr>
          <w:spacing w:val="-2"/>
          <w:lang w:val="en-US"/>
        </w:rPr>
        <w:t xml:space="preserve">stresses that orders for </w:t>
      </w:r>
      <w:r w:rsidR="00C45946" w:rsidRPr="008A1DB4">
        <w:rPr>
          <w:spacing w:val="-2"/>
          <w:lang w:val="en-US"/>
        </w:rPr>
        <w:t>provisional measures</w:t>
      </w:r>
      <w:r w:rsidR="00601B3D" w:rsidRPr="008A1DB4">
        <w:rPr>
          <w:spacing w:val="-2"/>
          <w:lang w:val="en-US"/>
        </w:rPr>
        <w:t xml:space="preserve"> </w:t>
      </w:r>
      <w:r w:rsidRPr="008A1DB4">
        <w:rPr>
          <w:spacing w:val="-2"/>
          <w:lang w:val="en-US"/>
        </w:rPr>
        <w:t xml:space="preserve">must be interpreted taking into account </w:t>
      </w:r>
      <w:r w:rsidR="00F36400" w:rsidRPr="008A1DB4">
        <w:rPr>
          <w:spacing w:val="-2"/>
          <w:lang w:val="en-US"/>
        </w:rPr>
        <w:t xml:space="preserve">the American Convention and </w:t>
      </w:r>
      <w:r w:rsidRPr="008A1DB4">
        <w:rPr>
          <w:spacing w:val="-2"/>
          <w:lang w:val="en-US"/>
        </w:rPr>
        <w:t>this Court’s case law. Therefore, due diligence in the extradition proce</w:t>
      </w:r>
      <w:r w:rsidR="0056729D">
        <w:rPr>
          <w:spacing w:val="-2"/>
          <w:lang w:val="en-US"/>
        </w:rPr>
        <w:t>ss</w:t>
      </w:r>
      <w:r w:rsidRPr="008A1DB4">
        <w:rPr>
          <w:spacing w:val="-2"/>
          <w:lang w:val="en-US"/>
        </w:rPr>
        <w:t xml:space="preserve"> was required to ensure that the measures adopted were not arbitrary</w:t>
      </w:r>
      <w:r w:rsidR="00601B3D" w:rsidRPr="008A1DB4">
        <w:rPr>
          <w:spacing w:val="-2"/>
          <w:lang w:val="en-US"/>
        </w:rPr>
        <w:t xml:space="preserve"> (</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976DCA" w:rsidRPr="008A1DB4">
        <w:rPr>
          <w:spacing w:val="-2"/>
          <w:lang w:val="en-US"/>
        </w:rPr>
        <w:fldChar w:fldCharType="begin"/>
      </w:r>
      <w:r w:rsidR="00976DCA" w:rsidRPr="008A1DB4">
        <w:rPr>
          <w:spacing w:val="-2"/>
          <w:lang w:val="en-US"/>
        </w:rPr>
        <w:instrText xml:space="preserve"> REF _Ref428961047 \r \h </w:instrText>
      </w:r>
      <w:r w:rsidR="00DC41F4" w:rsidRPr="008A1DB4">
        <w:rPr>
          <w:spacing w:val="-2"/>
          <w:lang w:val="en-US"/>
        </w:rPr>
        <w:instrText xml:space="preserve"> \* MERGEFORMAT </w:instrText>
      </w:r>
      <w:r w:rsidR="00976DCA" w:rsidRPr="008A1DB4">
        <w:rPr>
          <w:spacing w:val="-2"/>
          <w:lang w:val="en-US"/>
        </w:rPr>
      </w:r>
      <w:r w:rsidR="00976DCA" w:rsidRPr="008A1DB4">
        <w:rPr>
          <w:spacing w:val="-2"/>
          <w:lang w:val="en-US"/>
        </w:rPr>
        <w:fldChar w:fldCharType="separate"/>
      </w:r>
      <w:r w:rsidR="00E961FA" w:rsidRPr="008A1DB4">
        <w:rPr>
          <w:spacing w:val="-2"/>
          <w:lang w:val="en-US"/>
        </w:rPr>
        <w:t>248</w:t>
      </w:r>
      <w:r w:rsidR="00976DCA" w:rsidRPr="008A1DB4">
        <w:rPr>
          <w:spacing w:val="-2"/>
          <w:lang w:val="en-US"/>
        </w:rPr>
        <w:fldChar w:fldCharType="end"/>
      </w:r>
      <w:r w:rsidR="00F36400" w:rsidRPr="008A1DB4">
        <w:rPr>
          <w:spacing w:val="-2"/>
          <w:lang w:val="en-US"/>
        </w:rPr>
        <w:t xml:space="preserve"> and </w:t>
      </w:r>
      <w:r w:rsidR="00976DCA" w:rsidRPr="008A1DB4">
        <w:rPr>
          <w:spacing w:val="-2"/>
          <w:lang w:val="en-US"/>
        </w:rPr>
        <w:fldChar w:fldCharType="begin"/>
      </w:r>
      <w:r w:rsidR="00976DCA" w:rsidRPr="008A1DB4">
        <w:rPr>
          <w:spacing w:val="-2"/>
          <w:lang w:val="en-US"/>
        </w:rPr>
        <w:instrText xml:space="preserve"> REF _Ref428982605 \r \h </w:instrText>
      </w:r>
      <w:r w:rsidR="00DC41F4" w:rsidRPr="008A1DB4">
        <w:rPr>
          <w:spacing w:val="-2"/>
          <w:lang w:val="en-US"/>
        </w:rPr>
        <w:instrText xml:space="preserve"> \* MERGEFORMAT </w:instrText>
      </w:r>
      <w:r w:rsidR="00976DCA" w:rsidRPr="008A1DB4">
        <w:rPr>
          <w:spacing w:val="-2"/>
          <w:lang w:val="en-US"/>
        </w:rPr>
      </w:r>
      <w:r w:rsidR="00976DCA" w:rsidRPr="008A1DB4">
        <w:rPr>
          <w:spacing w:val="-2"/>
          <w:lang w:val="en-US"/>
        </w:rPr>
        <w:fldChar w:fldCharType="separate"/>
      </w:r>
      <w:r w:rsidR="00E961FA" w:rsidRPr="008A1DB4">
        <w:rPr>
          <w:spacing w:val="-2"/>
          <w:lang w:val="en-US"/>
        </w:rPr>
        <w:t>255</w:t>
      </w:r>
      <w:r w:rsidR="00976DCA" w:rsidRPr="008A1DB4">
        <w:rPr>
          <w:spacing w:val="-2"/>
          <w:lang w:val="en-US"/>
        </w:rPr>
        <w:fldChar w:fldCharType="end"/>
      </w:r>
      <w:r w:rsidR="00601B3D" w:rsidRPr="008A1DB4">
        <w:rPr>
          <w:spacing w:val="-2"/>
          <w:lang w:val="en-US"/>
        </w:rPr>
        <w:t xml:space="preserve">). </w:t>
      </w:r>
    </w:p>
    <w:p w14:paraId="565E91E1" w14:textId="77777777" w:rsidR="00601B3D" w:rsidRPr="008A1DB4" w:rsidRDefault="00601B3D" w:rsidP="00956E97">
      <w:pPr>
        <w:pStyle w:val="ListParagraph"/>
        <w:tabs>
          <w:tab w:val="left" w:pos="567"/>
        </w:tabs>
        <w:ind w:left="0"/>
        <w:contextualSpacing w:val="0"/>
        <w:rPr>
          <w:spacing w:val="-2"/>
          <w:szCs w:val="20"/>
          <w:lang w:val="en-US"/>
        </w:rPr>
      </w:pPr>
    </w:p>
    <w:p w14:paraId="050F4D44" w14:textId="40093231" w:rsidR="00601B3D" w:rsidRPr="008A1DB4" w:rsidRDefault="00350390" w:rsidP="00956E97">
      <w:pPr>
        <w:pStyle w:val="PrrafodeSentencia"/>
        <w:rPr>
          <w:spacing w:val="-2"/>
          <w:lang w:val="en-US"/>
        </w:rPr>
      </w:pPr>
      <w:r w:rsidRPr="008A1DB4">
        <w:rPr>
          <w:spacing w:val="-2"/>
          <w:lang w:val="en-US"/>
        </w:rPr>
        <w:t xml:space="preserve">Similarly, in 2014, when examining the situation </w:t>
      </w:r>
      <w:r w:rsidR="00B43F84" w:rsidRPr="008A1DB4">
        <w:rPr>
          <w:spacing w:val="-2"/>
          <w:lang w:val="en-US"/>
        </w:rPr>
        <w:t>of Wong</w:t>
      </w:r>
      <w:r w:rsidRPr="008A1DB4">
        <w:rPr>
          <w:spacing w:val="-2"/>
          <w:lang w:val="en-US"/>
        </w:rPr>
        <w:t xml:space="preserve"> Ho Wing, </w:t>
      </w:r>
      <w:r w:rsidR="002B3582" w:rsidRPr="008A1DB4">
        <w:rPr>
          <w:spacing w:val="-2"/>
          <w:lang w:val="en-US"/>
        </w:rPr>
        <w:t>the Ombudsman</w:t>
      </w:r>
      <w:r w:rsidRPr="008A1DB4">
        <w:rPr>
          <w:spacing w:val="-2"/>
          <w:lang w:val="en-US"/>
        </w:rPr>
        <w:t xml:space="preserve"> stated that:</w:t>
      </w:r>
    </w:p>
    <w:p w14:paraId="3713EC17" w14:textId="77777777" w:rsidR="00601B3D" w:rsidRPr="008A1DB4" w:rsidRDefault="00601B3D" w:rsidP="00956E97">
      <w:pPr>
        <w:autoSpaceDE w:val="0"/>
        <w:autoSpaceDN w:val="0"/>
        <w:adjustRightInd w:val="0"/>
        <w:jc w:val="left"/>
        <w:rPr>
          <w:spacing w:val="-2"/>
          <w:szCs w:val="20"/>
          <w:lang w:val="en-US"/>
        </w:rPr>
      </w:pPr>
    </w:p>
    <w:p w14:paraId="1CB3BE3E" w14:textId="71A70FAA" w:rsidR="00350390" w:rsidRPr="008A1DB4" w:rsidRDefault="00350390" w:rsidP="00956E97">
      <w:pPr>
        <w:autoSpaceDE w:val="0"/>
        <w:autoSpaceDN w:val="0"/>
        <w:adjustRightInd w:val="0"/>
        <w:ind w:left="567" w:right="615"/>
        <w:rPr>
          <w:rFonts w:cs="Arial"/>
          <w:spacing w:val="-2"/>
          <w:sz w:val="18"/>
          <w:szCs w:val="18"/>
          <w:lang w:val="en-US"/>
        </w:rPr>
      </w:pPr>
      <w:r w:rsidRPr="008A1DB4">
        <w:rPr>
          <w:rFonts w:cs="Arial"/>
          <w:spacing w:val="-2"/>
          <w:sz w:val="18"/>
          <w:szCs w:val="18"/>
          <w:lang w:val="en-US"/>
        </w:rPr>
        <w:t xml:space="preserve">Although </w:t>
      </w:r>
      <w:r w:rsidR="00FC5891" w:rsidRPr="008A1DB4">
        <w:rPr>
          <w:rFonts w:cs="Arial"/>
          <w:spacing w:val="-2"/>
          <w:sz w:val="18"/>
          <w:szCs w:val="18"/>
          <w:lang w:val="en-US"/>
        </w:rPr>
        <w:t>extradition pro</w:t>
      </w:r>
      <w:r w:rsidRPr="008A1DB4">
        <w:rPr>
          <w:rFonts w:cs="Arial"/>
          <w:spacing w:val="-2"/>
          <w:sz w:val="18"/>
          <w:szCs w:val="18"/>
          <w:lang w:val="en-US"/>
        </w:rPr>
        <w:t>ce</w:t>
      </w:r>
      <w:r w:rsidR="0056729D">
        <w:rPr>
          <w:rFonts w:cs="Arial"/>
          <w:spacing w:val="-2"/>
          <w:sz w:val="18"/>
          <w:szCs w:val="18"/>
          <w:lang w:val="en-US"/>
        </w:rPr>
        <w:t>edings</w:t>
      </w:r>
      <w:r w:rsidRPr="008A1DB4">
        <w:rPr>
          <w:rFonts w:cs="Arial"/>
          <w:spacing w:val="-2"/>
          <w:sz w:val="18"/>
          <w:szCs w:val="18"/>
          <w:lang w:val="en-US"/>
        </w:rPr>
        <w:t xml:space="preserve"> do not have a legal time</w:t>
      </w:r>
      <w:r w:rsidR="0056729D">
        <w:rPr>
          <w:rFonts w:cs="Arial"/>
          <w:spacing w:val="-2"/>
          <w:sz w:val="18"/>
          <w:szCs w:val="18"/>
          <w:lang w:val="en-US"/>
        </w:rPr>
        <w:t xml:space="preserve"> limit</w:t>
      </w:r>
      <w:r w:rsidRPr="008A1DB4">
        <w:rPr>
          <w:rFonts w:cs="Arial"/>
          <w:spacing w:val="-2"/>
          <w:sz w:val="18"/>
          <w:szCs w:val="18"/>
          <w:lang w:val="en-US"/>
        </w:rPr>
        <w:t xml:space="preserve">, </w:t>
      </w:r>
      <w:r w:rsidR="009F24F8" w:rsidRPr="008A1DB4">
        <w:rPr>
          <w:rFonts w:cs="Arial"/>
          <w:spacing w:val="-2"/>
          <w:sz w:val="18"/>
          <w:szCs w:val="18"/>
          <w:lang w:val="en-US"/>
        </w:rPr>
        <w:t>the deprivation of liberty</w:t>
      </w:r>
      <w:r w:rsidR="00601B3D" w:rsidRPr="008A1DB4">
        <w:rPr>
          <w:rFonts w:cs="Arial"/>
          <w:spacing w:val="-2"/>
          <w:sz w:val="18"/>
          <w:szCs w:val="18"/>
          <w:lang w:val="en-US"/>
        </w:rPr>
        <w:t xml:space="preserve"> </w:t>
      </w:r>
      <w:r w:rsidRPr="008A1DB4">
        <w:rPr>
          <w:rFonts w:cs="Arial"/>
          <w:spacing w:val="-2"/>
          <w:sz w:val="18"/>
          <w:szCs w:val="18"/>
          <w:lang w:val="en-US"/>
        </w:rPr>
        <w:t xml:space="preserve">of the Chinese citizen for 39 months represented a delay that could not be justified by the fact that his defense had made use of constitutional or supranational proceedings. Consequently, [the State] was urged to adopt the corresponding measures that </w:t>
      </w:r>
      <w:r w:rsidR="0056729D">
        <w:rPr>
          <w:rFonts w:cs="Arial"/>
          <w:spacing w:val="-2"/>
          <w:sz w:val="18"/>
          <w:szCs w:val="18"/>
          <w:lang w:val="en-US"/>
        </w:rPr>
        <w:t xml:space="preserve">would </w:t>
      </w:r>
      <w:r w:rsidRPr="008A1DB4">
        <w:rPr>
          <w:rFonts w:cs="Arial"/>
          <w:spacing w:val="-2"/>
          <w:sz w:val="18"/>
          <w:szCs w:val="18"/>
          <w:lang w:val="en-US"/>
        </w:rPr>
        <w:t>allow the situation of [Wong] Ho Wing to be defined promptly.</w:t>
      </w:r>
    </w:p>
    <w:p w14:paraId="38153847" w14:textId="77777777" w:rsidR="00350390" w:rsidRPr="008A1DB4" w:rsidRDefault="00350390" w:rsidP="00956E97">
      <w:pPr>
        <w:autoSpaceDE w:val="0"/>
        <w:autoSpaceDN w:val="0"/>
        <w:adjustRightInd w:val="0"/>
        <w:ind w:left="567" w:right="615"/>
        <w:rPr>
          <w:rFonts w:cs="Arial"/>
          <w:spacing w:val="-2"/>
          <w:sz w:val="18"/>
          <w:szCs w:val="18"/>
          <w:lang w:val="en-US"/>
        </w:rPr>
      </w:pPr>
    </w:p>
    <w:p w14:paraId="7398D5D9" w14:textId="6CDF8A5F" w:rsidR="00601B3D" w:rsidRPr="008A1DB4" w:rsidRDefault="00350390" w:rsidP="00350390">
      <w:pPr>
        <w:autoSpaceDE w:val="0"/>
        <w:autoSpaceDN w:val="0"/>
        <w:adjustRightInd w:val="0"/>
        <w:ind w:left="567" w:right="615"/>
        <w:rPr>
          <w:rFonts w:cs="Arial"/>
          <w:spacing w:val="-2"/>
          <w:sz w:val="16"/>
          <w:szCs w:val="16"/>
          <w:lang w:val="en-US"/>
        </w:rPr>
      </w:pPr>
      <w:r w:rsidRPr="008A1DB4">
        <w:rPr>
          <w:rFonts w:cs="Arial"/>
          <w:spacing w:val="-2"/>
          <w:sz w:val="18"/>
          <w:szCs w:val="18"/>
          <w:lang w:val="en-US"/>
        </w:rPr>
        <w:t xml:space="preserve">Also, it was recommended that the decision adopted must respect the </w:t>
      </w:r>
      <w:r w:rsidR="00B43F84" w:rsidRPr="008A1DB4">
        <w:rPr>
          <w:rFonts w:cs="Arial"/>
          <w:spacing w:val="-2"/>
          <w:sz w:val="18"/>
          <w:szCs w:val="18"/>
          <w:lang w:val="en-US"/>
        </w:rPr>
        <w:t>Constitutional Court</w:t>
      </w:r>
      <w:r w:rsidR="0056729D">
        <w:rPr>
          <w:rFonts w:cs="Arial"/>
          <w:spacing w:val="-2"/>
          <w:sz w:val="18"/>
          <w:szCs w:val="18"/>
          <w:lang w:val="en-US"/>
        </w:rPr>
        <w:t>’s arguments</w:t>
      </w:r>
      <w:r w:rsidR="00601B3D" w:rsidRPr="008A1DB4">
        <w:rPr>
          <w:rFonts w:cs="Arial"/>
          <w:spacing w:val="-2"/>
          <w:sz w:val="18"/>
          <w:szCs w:val="18"/>
          <w:lang w:val="en-US"/>
        </w:rPr>
        <w:t xml:space="preserve"> </w:t>
      </w:r>
      <w:r w:rsidRPr="008A1DB4">
        <w:rPr>
          <w:rFonts w:cs="Arial"/>
          <w:spacing w:val="-2"/>
          <w:sz w:val="18"/>
          <w:szCs w:val="18"/>
          <w:lang w:val="en-US"/>
        </w:rPr>
        <w:t xml:space="preserve">in the application for </w:t>
      </w:r>
      <w:r w:rsidR="00E022F9" w:rsidRPr="008A1DB4">
        <w:rPr>
          <w:rFonts w:cs="Arial"/>
          <w:i/>
          <w:spacing w:val="-2"/>
          <w:sz w:val="18"/>
          <w:szCs w:val="18"/>
          <w:lang w:val="en-US"/>
        </w:rPr>
        <w:t>habeas corpus</w:t>
      </w:r>
      <w:r w:rsidRPr="008A1DB4">
        <w:rPr>
          <w:rFonts w:cs="Arial"/>
          <w:spacing w:val="-2"/>
          <w:sz w:val="18"/>
          <w:szCs w:val="18"/>
          <w:lang w:val="en-US"/>
        </w:rPr>
        <w:t xml:space="preserve"> filed </w:t>
      </w:r>
      <w:r w:rsidR="00E0188F" w:rsidRPr="008A1DB4">
        <w:rPr>
          <w:rFonts w:cs="Arial"/>
          <w:spacing w:val="-2"/>
          <w:sz w:val="18"/>
          <w:szCs w:val="18"/>
          <w:lang w:val="en-US"/>
        </w:rPr>
        <w:t>on behalf of</w:t>
      </w:r>
      <w:r w:rsidRPr="008A1DB4">
        <w:rPr>
          <w:rFonts w:cs="Arial"/>
          <w:spacing w:val="-2"/>
          <w:sz w:val="18"/>
          <w:szCs w:val="18"/>
          <w:lang w:val="en-US"/>
        </w:rPr>
        <w:t xml:space="preserve"> </w:t>
      </w:r>
      <w:r w:rsidR="00601B3D" w:rsidRPr="008A1DB4">
        <w:rPr>
          <w:rFonts w:cs="Arial"/>
          <w:spacing w:val="-2"/>
          <w:sz w:val="18"/>
          <w:szCs w:val="18"/>
          <w:lang w:val="en-US"/>
        </w:rPr>
        <w:t xml:space="preserve">Wong Ho Wing […], </w:t>
      </w:r>
      <w:r w:rsidRPr="008A1DB4">
        <w:rPr>
          <w:rFonts w:cs="Arial"/>
          <w:spacing w:val="-2"/>
          <w:sz w:val="18"/>
          <w:szCs w:val="18"/>
          <w:lang w:val="en-US"/>
        </w:rPr>
        <w:t xml:space="preserve">ordering </w:t>
      </w:r>
      <w:r w:rsidR="006324A5" w:rsidRPr="008A1DB4">
        <w:rPr>
          <w:rFonts w:cs="Arial"/>
          <w:spacing w:val="-2"/>
          <w:sz w:val="18"/>
          <w:szCs w:val="18"/>
          <w:lang w:val="en-US"/>
        </w:rPr>
        <w:t>the Peruvian State</w:t>
      </w:r>
      <w:r w:rsidR="00601B3D" w:rsidRPr="008A1DB4">
        <w:rPr>
          <w:rFonts w:cs="Arial"/>
          <w:spacing w:val="-2"/>
          <w:sz w:val="18"/>
          <w:szCs w:val="18"/>
          <w:lang w:val="en-US"/>
        </w:rPr>
        <w:t xml:space="preserve"> </w:t>
      </w:r>
      <w:r w:rsidRPr="008A1DB4">
        <w:rPr>
          <w:rFonts w:cs="Arial"/>
          <w:spacing w:val="-2"/>
          <w:sz w:val="18"/>
          <w:szCs w:val="18"/>
          <w:lang w:val="en-US"/>
        </w:rPr>
        <w:t>to refrain from extraditing this individual.</w:t>
      </w:r>
      <w:r w:rsidR="00601B3D" w:rsidRPr="008A1DB4">
        <w:rPr>
          <w:rStyle w:val="FootnoteReference"/>
          <w:rFonts w:cs="Arial"/>
          <w:spacing w:val="-2"/>
          <w:sz w:val="18"/>
          <w:szCs w:val="18"/>
          <w:lang w:val="en-US"/>
        </w:rPr>
        <w:footnoteReference w:id="356"/>
      </w:r>
    </w:p>
    <w:p w14:paraId="4950CDAF" w14:textId="77777777" w:rsidR="00601B3D" w:rsidRPr="008A1DB4" w:rsidRDefault="00601B3D" w:rsidP="00956E97">
      <w:pPr>
        <w:pStyle w:val="ListParagraph"/>
        <w:tabs>
          <w:tab w:val="left" w:pos="567"/>
        </w:tabs>
        <w:ind w:left="0"/>
        <w:contextualSpacing w:val="0"/>
        <w:rPr>
          <w:spacing w:val="-2"/>
          <w:szCs w:val="20"/>
          <w:lang w:val="en-US"/>
        </w:rPr>
      </w:pPr>
    </w:p>
    <w:p w14:paraId="3BEF831F" w14:textId="6051D1EB" w:rsidR="00601B3D" w:rsidRPr="008A1DB4" w:rsidRDefault="00350390" w:rsidP="00956E97">
      <w:pPr>
        <w:pStyle w:val="PrrafodeSentencia"/>
        <w:rPr>
          <w:spacing w:val="-2"/>
          <w:lang w:val="en-US"/>
        </w:rPr>
      </w:pPr>
      <w:bookmarkStart w:id="1129" w:name="_Ref419393036"/>
      <w:r w:rsidRPr="008A1DB4">
        <w:rPr>
          <w:spacing w:val="-2"/>
          <w:lang w:val="en-US"/>
        </w:rPr>
        <w:t>B</w:t>
      </w:r>
      <w:r w:rsidR="0079515C">
        <w:rPr>
          <w:spacing w:val="-2"/>
          <w:lang w:val="en-US"/>
        </w:rPr>
        <w:t>ased on the preceding conclusion</w:t>
      </w:r>
      <w:r w:rsidRPr="008A1DB4">
        <w:rPr>
          <w:spacing w:val="-2"/>
          <w:lang w:val="en-US"/>
        </w:rPr>
        <w:t>s, the State violated</w:t>
      </w:r>
      <w:r w:rsidR="00601B3D" w:rsidRPr="008A1DB4">
        <w:rPr>
          <w:spacing w:val="-2"/>
          <w:lang w:val="en-US"/>
        </w:rPr>
        <w:t xml:space="preserve"> </w:t>
      </w:r>
      <w:r w:rsidR="00F36400" w:rsidRPr="008A1DB4">
        <w:rPr>
          <w:spacing w:val="-2"/>
          <w:lang w:val="en-US"/>
        </w:rPr>
        <w:t>Article</w:t>
      </w:r>
      <w:r w:rsidRPr="008A1DB4">
        <w:rPr>
          <w:spacing w:val="-2"/>
          <w:lang w:val="en-US"/>
        </w:rPr>
        <w:t xml:space="preserve"> 7(</w:t>
      </w:r>
      <w:r w:rsidR="00601B3D" w:rsidRPr="008A1DB4">
        <w:rPr>
          <w:spacing w:val="-2"/>
          <w:lang w:val="en-US"/>
        </w:rPr>
        <w:t>1</w:t>
      </w:r>
      <w:r w:rsidRPr="008A1DB4">
        <w:rPr>
          <w:spacing w:val="-2"/>
          <w:lang w:val="en-US"/>
        </w:rPr>
        <w:t>)</w:t>
      </w:r>
      <w:r w:rsidR="00F36400" w:rsidRPr="008A1DB4">
        <w:rPr>
          <w:spacing w:val="-2"/>
          <w:lang w:val="en-US"/>
        </w:rPr>
        <w:t xml:space="preserve"> and </w:t>
      </w:r>
      <w:r w:rsidRPr="008A1DB4">
        <w:rPr>
          <w:spacing w:val="-2"/>
          <w:lang w:val="en-US"/>
        </w:rPr>
        <w:t>7(</w:t>
      </w:r>
      <w:r w:rsidR="00601B3D" w:rsidRPr="008A1DB4">
        <w:rPr>
          <w:spacing w:val="-2"/>
          <w:lang w:val="en-US"/>
        </w:rPr>
        <w:t>5</w:t>
      </w:r>
      <w:r w:rsidRPr="008A1DB4">
        <w:rPr>
          <w:spacing w:val="-2"/>
          <w:lang w:val="en-US"/>
        </w:rPr>
        <w:t>)</w:t>
      </w:r>
      <w:r w:rsidR="00F36400" w:rsidRPr="008A1DB4">
        <w:rPr>
          <w:spacing w:val="-2"/>
          <w:lang w:val="en-US"/>
        </w:rPr>
        <w:t xml:space="preserve"> of the Convention</w:t>
      </w:r>
      <w:r w:rsidR="00601B3D" w:rsidRPr="008A1DB4">
        <w:rPr>
          <w:spacing w:val="-2"/>
          <w:lang w:val="en-US"/>
        </w:rPr>
        <w:t xml:space="preserve">, </w:t>
      </w:r>
      <w:r w:rsidRPr="008A1DB4">
        <w:rPr>
          <w:spacing w:val="-2"/>
          <w:lang w:val="en-US"/>
        </w:rPr>
        <w:t>in relation to</w:t>
      </w:r>
      <w:r w:rsidR="008D5CCF" w:rsidRPr="008A1DB4">
        <w:rPr>
          <w:spacing w:val="-2"/>
          <w:lang w:val="en-US"/>
        </w:rPr>
        <w:t xml:space="preserve"> </w:t>
      </w:r>
      <w:r w:rsidR="00F36400" w:rsidRPr="008A1DB4">
        <w:rPr>
          <w:spacing w:val="-2"/>
          <w:lang w:val="en-US"/>
        </w:rPr>
        <w:t>Article 1(1)</w:t>
      </w:r>
      <w:r w:rsidR="008D5CCF" w:rsidRPr="008A1DB4">
        <w:rPr>
          <w:spacing w:val="-2"/>
          <w:lang w:val="en-US"/>
        </w:rPr>
        <w:t xml:space="preserve"> </w:t>
      </w:r>
      <w:r w:rsidRPr="008A1DB4">
        <w:rPr>
          <w:spacing w:val="-2"/>
          <w:lang w:val="en-US"/>
        </w:rPr>
        <w:t xml:space="preserve">of this instrument, </w:t>
      </w:r>
      <w:r w:rsidR="00F36400" w:rsidRPr="008A1DB4">
        <w:rPr>
          <w:spacing w:val="-2"/>
          <w:lang w:val="en-US"/>
        </w:rPr>
        <w:t>to the detriment of</w:t>
      </w:r>
      <w:r w:rsidR="00601B3D" w:rsidRPr="008A1DB4">
        <w:rPr>
          <w:spacing w:val="-2"/>
          <w:lang w:val="en-US"/>
        </w:rPr>
        <w:t xml:space="preserve"> Wong Ho Wing.</w:t>
      </w:r>
      <w:r w:rsidRPr="008A1DB4">
        <w:rPr>
          <w:spacing w:val="-2"/>
          <w:lang w:val="en-US"/>
        </w:rPr>
        <w:t xml:space="preserve"> The arguments on the alleged lack of judicial control will be analyzed in the following section.</w:t>
      </w:r>
      <w:bookmarkEnd w:id="1129"/>
    </w:p>
    <w:p w14:paraId="6E862037" w14:textId="77777777" w:rsidR="00601B3D" w:rsidRPr="008A1DB4" w:rsidRDefault="00601B3D" w:rsidP="00956E97">
      <w:pPr>
        <w:rPr>
          <w:spacing w:val="-2"/>
          <w:szCs w:val="20"/>
          <w:lang w:val="en-US"/>
        </w:rPr>
      </w:pPr>
    </w:p>
    <w:p w14:paraId="2A8EC3A9" w14:textId="7CA1DC82" w:rsidR="00601B3D" w:rsidRPr="008A1DB4" w:rsidRDefault="00601B3D" w:rsidP="00956E97">
      <w:pPr>
        <w:pStyle w:val="Heading1"/>
        <w:rPr>
          <w:spacing w:val="-2"/>
          <w:lang w:val="en-US"/>
        </w:rPr>
      </w:pPr>
      <w:bookmarkStart w:id="1130" w:name="_Toc418912643"/>
      <w:bookmarkStart w:id="1131" w:name="_Toc419394440"/>
      <w:bookmarkStart w:id="1132" w:name="_Toc429490299"/>
      <w:bookmarkStart w:id="1133" w:name="_Toc429503813"/>
      <w:bookmarkStart w:id="1134" w:name="_Toc429504319"/>
      <w:bookmarkStart w:id="1135" w:name="_Toc429678032"/>
      <w:bookmarkStart w:id="1136" w:name="_Toc430017195"/>
      <w:bookmarkStart w:id="1137" w:name="_Toc430017424"/>
      <w:bookmarkStart w:id="1138" w:name="_Toc430018706"/>
      <w:bookmarkStart w:id="1139" w:name="_Toc430125304"/>
      <w:bookmarkStart w:id="1140" w:name="_Toc430125412"/>
      <w:r w:rsidRPr="008A1DB4">
        <w:rPr>
          <w:spacing w:val="-2"/>
          <w:lang w:val="en-US"/>
        </w:rPr>
        <w:t xml:space="preserve">D. </w:t>
      </w:r>
      <w:r w:rsidR="00FC43E7" w:rsidRPr="008A1DB4">
        <w:rPr>
          <w:spacing w:val="-2"/>
          <w:lang w:val="en-US"/>
        </w:rPr>
        <w:t>Right to appeal before a competent court</w:t>
      </w:r>
      <w:bookmarkEnd w:id="1130"/>
      <w:bookmarkEnd w:id="1131"/>
      <w:bookmarkEnd w:id="1132"/>
      <w:bookmarkEnd w:id="1133"/>
      <w:bookmarkEnd w:id="1134"/>
      <w:bookmarkEnd w:id="1135"/>
      <w:bookmarkEnd w:id="1136"/>
      <w:bookmarkEnd w:id="1137"/>
      <w:bookmarkEnd w:id="1138"/>
      <w:bookmarkEnd w:id="1139"/>
      <w:bookmarkEnd w:id="1140"/>
      <w:r w:rsidRPr="008A1DB4">
        <w:rPr>
          <w:spacing w:val="-2"/>
          <w:lang w:val="en-US"/>
        </w:rPr>
        <w:t xml:space="preserve"> </w:t>
      </w:r>
    </w:p>
    <w:p w14:paraId="41F4F09A" w14:textId="77777777" w:rsidR="00601B3D" w:rsidRPr="008A1DB4" w:rsidRDefault="00601B3D" w:rsidP="00956E97">
      <w:pPr>
        <w:tabs>
          <w:tab w:val="left" w:pos="567"/>
          <w:tab w:val="left" w:pos="993"/>
        </w:tabs>
        <w:rPr>
          <w:i/>
          <w:spacing w:val="-2"/>
          <w:szCs w:val="20"/>
          <w:lang w:val="en-US"/>
        </w:rPr>
      </w:pPr>
    </w:p>
    <w:p w14:paraId="6CBF255A" w14:textId="48CBB632" w:rsidR="00601B3D" w:rsidRPr="008A1DB4" w:rsidRDefault="00601B3D" w:rsidP="00956E97">
      <w:pPr>
        <w:pStyle w:val="Heading2"/>
        <w:rPr>
          <w:spacing w:val="-2"/>
          <w:lang w:val="en-US"/>
        </w:rPr>
      </w:pPr>
      <w:bookmarkStart w:id="1141" w:name="_Toc430018707"/>
      <w:bookmarkStart w:id="1142" w:name="_Toc430125305"/>
      <w:bookmarkStart w:id="1143" w:name="_Toc430125413"/>
      <w:bookmarkStart w:id="1144" w:name="_Toc418074108"/>
      <w:bookmarkStart w:id="1145" w:name="_Toc418503913"/>
      <w:bookmarkStart w:id="1146" w:name="_Toc418912644"/>
      <w:bookmarkStart w:id="1147" w:name="_Toc419394441"/>
      <w:bookmarkStart w:id="1148" w:name="_Toc429490300"/>
      <w:bookmarkStart w:id="1149" w:name="_Toc429503814"/>
      <w:bookmarkStart w:id="1150" w:name="_Toc429504320"/>
      <w:bookmarkStart w:id="1151" w:name="_Toc429678033"/>
      <w:bookmarkStart w:id="1152" w:name="_Toc430017196"/>
      <w:bookmarkStart w:id="1153" w:name="_Toc430017425"/>
      <w:r w:rsidRPr="008A1DB4">
        <w:rPr>
          <w:spacing w:val="-2"/>
          <w:lang w:val="en-US"/>
        </w:rPr>
        <w:t xml:space="preserve">D.1) </w:t>
      </w:r>
      <w:r w:rsidR="0058668C" w:rsidRPr="008A1DB4">
        <w:rPr>
          <w:spacing w:val="-2"/>
          <w:lang w:val="en-US"/>
        </w:rPr>
        <w:t>Arguments</w:t>
      </w:r>
      <w:r w:rsidR="004C302D" w:rsidRPr="008A1DB4">
        <w:rPr>
          <w:spacing w:val="-2"/>
          <w:lang w:val="en-US"/>
        </w:rPr>
        <w:t xml:space="preserve"> </w:t>
      </w:r>
      <w:r w:rsidR="00860B3A" w:rsidRPr="008A1DB4">
        <w:rPr>
          <w:spacing w:val="-2"/>
          <w:lang w:val="en-US"/>
        </w:rPr>
        <w:t>of the parties</w:t>
      </w:r>
      <w:r w:rsidR="00F36400" w:rsidRPr="008A1DB4">
        <w:rPr>
          <w:spacing w:val="-2"/>
          <w:lang w:val="en-US"/>
        </w:rPr>
        <w:t xml:space="preserve"> and</w:t>
      </w:r>
      <w:r w:rsidR="00C45946" w:rsidRPr="008A1DB4">
        <w:rPr>
          <w:spacing w:val="-2"/>
          <w:lang w:val="en-US"/>
        </w:rPr>
        <w:t xml:space="preserve"> of the </w:t>
      </w:r>
      <w:r w:rsidR="00F36400" w:rsidRPr="008A1DB4">
        <w:rPr>
          <w:spacing w:val="-2"/>
          <w:lang w:val="en-US"/>
        </w:rPr>
        <w:t>Commission</w:t>
      </w:r>
      <w:bookmarkEnd w:id="1141"/>
      <w:bookmarkEnd w:id="1142"/>
      <w:bookmarkEnd w:id="1143"/>
      <w:r w:rsidRPr="008A1DB4">
        <w:rPr>
          <w:spacing w:val="-2"/>
          <w:lang w:val="en-US"/>
        </w:rPr>
        <w:t xml:space="preserve"> </w:t>
      </w:r>
      <w:bookmarkEnd w:id="1144"/>
      <w:bookmarkEnd w:id="1145"/>
      <w:bookmarkEnd w:id="1146"/>
      <w:bookmarkEnd w:id="1147"/>
      <w:bookmarkEnd w:id="1148"/>
      <w:bookmarkEnd w:id="1149"/>
      <w:bookmarkEnd w:id="1150"/>
      <w:bookmarkEnd w:id="1151"/>
      <w:bookmarkEnd w:id="1152"/>
      <w:bookmarkEnd w:id="1153"/>
    </w:p>
    <w:p w14:paraId="7C08CCA0" w14:textId="77777777" w:rsidR="00601B3D" w:rsidRPr="008A1DB4" w:rsidRDefault="00601B3D" w:rsidP="00956E97">
      <w:pPr>
        <w:rPr>
          <w:spacing w:val="-2"/>
          <w:szCs w:val="20"/>
          <w:lang w:val="en-US"/>
        </w:rPr>
      </w:pPr>
    </w:p>
    <w:p w14:paraId="789F1BB8" w14:textId="7BA15B73" w:rsidR="00601B3D" w:rsidRPr="008A1DB4" w:rsidRDefault="00F36400" w:rsidP="00E0188F">
      <w:pPr>
        <w:pStyle w:val="PrrafodeSentencia"/>
        <w:rPr>
          <w:spacing w:val="-2"/>
          <w:lang w:val="en-US"/>
        </w:rPr>
      </w:pPr>
      <w:r w:rsidRPr="0079515C">
        <w:rPr>
          <w:spacing w:val="-2"/>
          <w:lang w:val="en-US"/>
        </w:rPr>
        <w:t>The Commission</w:t>
      </w:r>
      <w:r w:rsidR="00601B3D" w:rsidRPr="0079515C">
        <w:rPr>
          <w:spacing w:val="-2"/>
          <w:lang w:val="en-US"/>
        </w:rPr>
        <w:t xml:space="preserve"> </w:t>
      </w:r>
      <w:r w:rsidR="00E0188F" w:rsidRPr="0079515C">
        <w:rPr>
          <w:spacing w:val="-2"/>
          <w:lang w:val="en-US"/>
        </w:rPr>
        <w:t xml:space="preserve">affirmed that </w:t>
      </w:r>
      <w:r w:rsidR="00601B3D" w:rsidRPr="0079515C">
        <w:rPr>
          <w:spacing w:val="-2"/>
          <w:lang w:val="en-US"/>
        </w:rPr>
        <w:t>“</w:t>
      </w:r>
      <w:r w:rsidR="00E0188F" w:rsidRPr="0079515C">
        <w:rPr>
          <w:spacing w:val="-2"/>
          <w:lang w:val="en-US"/>
        </w:rPr>
        <w:t xml:space="preserve">in the wake of the judgment </w:t>
      </w:r>
      <w:r w:rsidR="00C45946" w:rsidRPr="0079515C">
        <w:rPr>
          <w:spacing w:val="-2"/>
          <w:lang w:val="en-US"/>
        </w:rPr>
        <w:t xml:space="preserve">of the </w:t>
      </w:r>
      <w:r w:rsidR="00B43F84" w:rsidRPr="0079515C">
        <w:rPr>
          <w:spacing w:val="-2"/>
          <w:lang w:val="en-US"/>
        </w:rPr>
        <w:t>Constitutional Court</w:t>
      </w:r>
      <w:r w:rsidR="00FC43E7" w:rsidRPr="0079515C">
        <w:rPr>
          <w:spacing w:val="-2"/>
          <w:lang w:val="en-US"/>
        </w:rPr>
        <w:t xml:space="preserve"> of</w:t>
      </w:r>
      <w:r w:rsidR="00601B3D" w:rsidRPr="0079515C">
        <w:rPr>
          <w:spacing w:val="-2"/>
          <w:lang w:val="en-US"/>
        </w:rPr>
        <w:t xml:space="preserve"> </w:t>
      </w:r>
      <w:r w:rsidR="00B43F84" w:rsidRPr="0079515C">
        <w:rPr>
          <w:spacing w:val="-2"/>
          <w:lang w:val="en-US"/>
        </w:rPr>
        <w:t>May</w:t>
      </w:r>
      <w:r w:rsidR="00B43F84" w:rsidRPr="008A1DB4">
        <w:rPr>
          <w:spacing w:val="-2"/>
          <w:lang w:val="en-US"/>
        </w:rPr>
        <w:t xml:space="preserve"> 24,</w:t>
      </w:r>
      <w:r w:rsidR="00601B3D" w:rsidRPr="008A1DB4">
        <w:rPr>
          <w:spacing w:val="-2"/>
          <w:lang w:val="en-US"/>
        </w:rPr>
        <w:t xml:space="preserve"> 2011, </w:t>
      </w:r>
      <w:r w:rsidR="00E0188F" w:rsidRPr="008A1DB4">
        <w:rPr>
          <w:spacing w:val="-2"/>
          <w:lang w:val="en-US"/>
        </w:rPr>
        <w:t xml:space="preserve">[on October 18, 2011,] </w:t>
      </w:r>
      <w:r w:rsidR="00C45946" w:rsidRPr="008A1DB4">
        <w:rPr>
          <w:spacing w:val="-2"/>
          <w:lang w:val="en-US"/>
        </w:rPr>
        <w:t>the representative</w:t>
      </w:r>
      <w:r w:rsidR="00601B3D" w:rsidRPr="008A1DB4">
        <w:rPr>
          <w:spacing w:val="-2"/>
          <w:lang w:val="en-US"/>
        </w:rPr>
        <w:t xml:space="preserve"> […] </w:t>
      </w:r>
      <w:r w:rsidR="00E0188F" w:rsidRPr="008A1DB4">
        <w:rPr>
          <w:spacing w:val="-2"/>
          <w:lang w:val="en-US"/>
        </w:rPr>
        <w:t xml:space="preserve">sought his immediate release based on the order in that judgment,” but this “came up against several problems because the provisional </w:t>
      </w:r>
      <w:r w:rsidR="0079515C" w:rsidRPr="008A1DB4">
        <w:rPr>
          <w:spacing w:val="-2"/>
          <w:lang w:val="en-US"/>
        </w:rPr>
        <w:t>arrest</w:t>
      </w:r>
      <w:r w:rsidR="00E0188F" w:rsidRPr="008A1DB4">
        <w:rPr>
          <w:spacing w:val="-2"/>
          <w:lang w:val="en-US"/>
        </w:rPr>
        <w:t xml:space="preserve"> file was in the hands </w:t>
      </w:r>
      <w:r w:rsidR="00671326" w:rsidRPr="008A1DB4">
        <w:rPr>
          <w:spacing w:val="-2"/>
          <w:lang w:val="en-US"/>
        </w:rPr>
        <w:t xml:space="preserve">of the </w:t>
      </w:r>
      <w:r w:rsidR="002D1CFC" w:rsidRPr="008A1DB4">
        <w:rPr>
          <w:spacing w:val="-2"/>
          <w:lang w:val="en-US"/>
        </w:rPr>
        <w:t>Ministry of Justice</w:t>
      </w:r>
      <w:r w:rsidR="00E0188F" w:rsidRPr="008A1DB4">
        <w:rPr>
          <w:spacing w:val="-2"/>
          <w:lang w:val="en-US"/>
        </w:rPr>
        <w:t>.”</w:t>
      </w:r>
      <w:r w:rsidR="00601B3D" w:rsidRPr="008A1DB4">
        <w:rPr>
          <w:spacing w:val="-2"/>
          <w:lang w:val="en-US"/>
        </w:rPr>
        <w:t xml:space="preserve"> </w:t>
      </w:r>
      <w:r w:rsidR="00E0188F" w:rsidRPr="008A1DB4">
        <w:rPr>
          <w:spacing w:val="-2"/>
          <w:lang w:val="en-US"/>
        </w:rPr>
        <w:t>In its Merits Report, t</w:t>
      </w:r>
      <w:r w:rsidRPr="008A1DB4">
        <w:rPr>
          <w:spacing w:val="-2"/>
          <w:lang w:val="en-US"/>
        </w:rPr>
        <w:t>he Commission</w:t>
      </w:r>
      <w:r w:rsidR="00E0188F" w:rsidRPr="008A1DB4">
        <w:rPr>
          <w:spacing w:val="-2"/>
          <w:lang w:val="en-US"/>
        </w:rPr>
        <w:t xml:space="preserve"> indicated that, at that date, </w:t>
      </w:r>
      <w:r w:rsidR="00601B3D" w:rsidRPr="008A1DB4">
        <w:rPr>
          <w:spacing w:val="-2"/>
          <w:lang w:val="en-US"/>
        </w:rPr>
        <w:t>“</w:t>
      </w:r>
      <w:r w:rsidR="001E7113" w:rsidRPr="008A1DB4">
        <w:rPr>
          <w:spacing w:val="-2"/>
          <w:lang w:val="en-US"/>
        </w:rPr>
        <w:t>Wong</w:t>
      </w:r>
      <w:r w:rsidR="00601B3D" w:rsidRPr="008A1DB4">
        <w:rPr>
          <w:spacing w:val="-2"/>
          <w:lang w:val="en-US"/>
        </w:rPr>
        <w:t xml:space="preserve"> Ho Wing </w:t>
      </w:r>
      <w:r w:rsidR="00E0188F" w:rsidRPr="008A1DB4">
        <w:rPr>
          <w:spacing w:val="-2"/>
          <w:lang w:val="en-US"/>
        </w:rPr>
        <w:t xml:space="preserve">ha[d] not obtained a court ruling that, in the context of the remedies filed by his legal </w:t>
      </w:r>
      <w:r w:rsidR="008601B6" w:rsidRPr="008A1DB4">
        <w:rPr>
          <w:spacing w:val="-2"/>
          <w:lang w:val="en-US"/>
        </w:rPr>
        <w:t>representative</w:t>
      </w:r>
      <w:r w:rsidR="00601B3D" w:rsidRPr="008A1DB4">
        <w:rPr>
          <w:spacing w:val="-2"/>
          <w:lang w:val="en-US"/>
        </w:rPr>
        <w:t xml:space="preserve">, </w:t>
      </w:r>
      <w:r w:rsidR="00E0188F" w:rsidRPr="008A1DB4">
        <w:rPr>
          <w:spacing w:val="-2"/>
          <w:lang w:val="en-US"/>
        </w:rPr>
        <w:t xml:space="preserve">decide[]d] </w:t>
      </w:r>
      <w:r w:rsidR="0056729D">
        <w:rPr>
          <w:spacing w:val="-2"/>
          <w:lang w:val="en-US"/>
        </w:rPr>
        <w:t xml:space="preserve">on </w:t>
      </w:r>
      <w:r w:rsidR="00E0188F" w:rsidRPr="008A1DB4">
        <w:rPr>
          <w:spacing w:val="-2"/>
          <w:lang w:val="en-US"/>
        </w:rPr>
        <w:t>the l</w:t>
      </w:r>
      <w:r w:rsidR="0056729D">
        <w:rPr>
          <w:spacing w:val="-2"/>
          <w:lang w:val="en-US"/>
        </w:rPr>
        <w:t>awfulness</w:t>
      </w:r>
      <w:r w:rsidR="00E0188F" w:rsidRPr="008A1DB4">
        <w:rPr>
          <w:spacing w:val="-2"/>
          <w:lang w:val="en-US"/>
        </w:rPr>
        <w:t xml:space="preserve"> of his detention after the judgment </w:t>
      </w:r>
      <w:r w:rsidR="00C45946" w:rsidRPr="008A1DB4">
        <w:rPr>
          <w:spacing w:val="-2"/>
          <w:lang w:val="en-US"/>
        </w:rPr>
        <w:t xml:space="preserve">of the </w:t>
      </w:r>
      <w:r w:rsidR="00B43F84" w:rsidRPr="008A1DB4">
        <w:rPr>
          <w:spacing w:val="-2"/>
          <w:lang w:val="en-US"/>
        </w:rPr>
        <w:t>Constitutional Court</w:t>
      </w:r>
      <w:r w:rsidR="00E0188F" w:rsidRPr="008A1DB4">
        <w:rPr>
          <w:spacing w:val="-2"/>
          <w:lang w:val="en-US"/>
        </w:rPr>
        <w:t>,</w:t>
      </w:r>
      <w:r w:rsidR="00601B3D" w:rsidRPr="008A1DB4">
        <w:rPr>
          <w:spacing w:val="-2"/>
          <w:lang w:val="en-US"/>
        </w:rPr>
        <w:t xml:space="preserve">” </w:t>
      </w:r>
      <w:r w:rsidR="00E0188F" w:rsidRPr="008A1DB4">
        <w:rPr>
          <w:spacing w:val="-2"/>
          <w:lang w:val="en-US"/>
        </w:rPr>
        <w:t>thus violating the “right recognized in</w:t>
      </w:r>
      <w:r w:rsidR="00601B3D" w:rsidRPr="008A1DB4">
        <w:rPr>
          <w:spacing w:val="-2"/>
          <w:lang w:val="en-US"/>
        </w:rPr>
        <w:t xml:space="preserve"> </w:t>
      </w:r>
      <w:r w:rsidR="00851076" w:rsidRPr="008A1DB4">
        <w:rPr>
          <w:spacing w:val="-2"/>
          <w:lang w:val="en-US"/>
        </w:rPr>
        <w:t>Article 7(6)</w:t>
      </w:r>
      <w:r w:rsidRPr="008A1DB4">
        <w:rPr>
          <w:spacing w:val="-2"/>
          <w:lang w:val="en-US"/>
        </w:rPr>
        <w:t xml:space="preserve"> of the Convention</w:t>
      </w:r>
      <w:r w:rsidR="00601B3D" w:rsidRPr="008A1DB4">
        <w:rPr>
          <w:spacing w:val="-2"/>
          <w:lang w:val="en-US"/>
        </w:rPr>
        <w:t xml:space="preserve">”. </w:t>
      </w:r>
    </w:p>
    <w:p w14:paraId="0AF75CF4" w14:textId="77777777" w:rsidR="00601B3D" w:rsidRPr="008A1DB4" w:rsidRDefault="00601B3D" w:rsidP="00956E97">
      <w:pPr>
        <w:pStyle w:val="ListParagraph"/>
        <w:tabs>
          <w:tab w:val="left" w:pos="567"/>
        </w:tabs>
        <w:ind w:left="0"/>
        <w:contextualSpacing w:val="0"/>
        <w:rPr>
          <w:spacing w:val="-2"/>
          <w:szCs w:val="20"/>
          <w:lang w:val="en-US"/>
        </w:rPr>
      </w:pPr>
    </w:p>
    <w:p w14:paraId="4EB5C0E6" w14:textId="4A046E1B" w:rsidR="00601B3D" w:rsidRPr="008A1DB4" w:rsidRDefault="00C45946" w:rsidP="00E0188F">
      <w:pPr>
        <w:pStyle w:val="PrrafodeSentencia"/>
        <w:rPr>
          <w:spacing w:val="-2"/>
          <w:lang w:val="en-US"/>
        </w:rPr>
      </w:pPr>
      <w:bookmarkStart w:id="1154" w:name="_Ref429066357"/>
      <w:r w:rsidRPr="008A1DB4">
        <w:rPr>
          <w:spacing w:val="-2"/>
          <w:lang w:val="en-US"/>
        </w:rPr>
        <w:t>The representative</w:t>
      </w:r>
      <w:r w:rsidR="00601B3D" w:rsidRPr="008A1DB4">
        <w:rPr>
          <w:spacing w:val="-2"/>
          <w:lang w:val="en-US"/>
        </w:rPr>
        <w:t xml:space="preserve"> </w:t>
      </w:r>
      <w:r w:rsidR="00E0188F" w:rsidRPr="008A1DB4">
        <w:rPr>
          <w:spacing w:val="-2"/>
          <w:lang w:val="en-US"/>
        </w:rPr>
        <w:t>argued that, “[</w:t>
      </w:r>
      <w:proofErr w:type="spellStart"/>
      <w:r w:rsidR="00E0188F" w:rsidRPr="008A1DB4">
        <w:rPr>
          <w:spacing w:val="-2"/>
          <w:lang w:val="en-US"/>
        </w:rPr>
        <w:t>i</w:t>
      </w:r>
      <w:proofErr w:type="spellEnd"/>
      <w:r w:rsidR="00E0188F" w:rsidRPr="008A1DB4">
        <w:rPr>
          <w:spacing w:val="-2"/>
          <w:lang w:val="en-US"/>
        </w:rPr>
        <w:t xml:space="preserve">]n this case, the Peruvian authorities have not ensured the effectiveness of the remedy of </w:t>
      </w:r>
      <w:r w:rsidR="00E022F9" w:rsidRPr="008A1DB4">
        <w:rPr>
          <w:i/>
          <w:spacing w:val="-2"/>
          <w:lang w:val="en-US"/>
        </w:rPr>
        <w:t>habeas corpus</w:t>
      </w:r>
      <w:r w:rsidR="00E0188F" w:rsidRPr="008A1DB4">
        <w:rPr>
          <w:i/>
          <w:spacing w:val="-2"/>
          <w:lang w:val="en-US"/>
        </w:rPr>
        <w:t>.</w:t>
      </w:r>
      <w:r w:rsidR="00E0188F" w:rsidRPr="008A1DB4">
        <w:rPr>
          <w:spacing w:val="-2"/>
          <w:lang w:val="en-US"/>
        </w:rPr>
        <w:t>” In this regard, he indicated that “six application</w:t>
      </w:r>
      <w:r w:rsidR="0056729D">
        <w:rPr>
          <w:spacing w:val="-2"/>
          <w:lang w:val="en-US"/>
        </w:rPr>
        <w:t>s</w:t>
      </w:r>
      <w:r w:rsidR="00E0188F" w:rsidRPr="008A1DB4">
        <w:rPr>
          <w:spacing w:val="-2"/>
          <w:lang w:val="en-US"/>
        </w:rPr>
        <w:t xml:space="preserve"> for </w:t>
      </w:r>
      <w:r w:rsidR="00E022F9" w:rsidRPr="008A1DB4">
        <w:rPr>
          <w:i/>
          <w:spacing w:val="-2"/>
          <w:lang w:val="en-US"/>
        </w:rPr>
        <w:t xml:space="preserve">habeas </w:t>
      </w:r>
      <w:proofErr w:type="gramStart"/>
      <w:r w:rsidR="00E022F9" w:rsidRPr="008A1DB4">
        <w:rPr>
          <w:i/>
          <w:spacing w:val="-2"/>
          <w:lang w:val="en-US"/>
        </w:rPr>
        <w:t>corpus</w:t>
      </w:r>
      <w:r w:rsidR="00601B3D" w:rsidRPr="008A1DB4">
        <w:rPr>
          <w:spacing w:val="-2"/>
          <w:lang w:val="en-US"/>
        </w:rPr>
        <w:t>”</w:t>
      </w:r>
      <w:r w:rsidR="00E0188F" w:rsidRPr="008A1DB4">
        <w:rPr>
          <w:spacing w:val="-2"/>
          <w:lang w:val="en-US"/>
        </w:rPr>
        <w:t xml:space="preserve"> had been filed,”</w:t>
      </w:r>
      <w:proofErr w:type="gramEnd"/>
      <w:r w:rsidR="00E0188F" w:rsidRPr="008A1DB4">
        <w:rPr>
          <w:spacing w:val="-2"/>
          <w:lang w:val="en-US"/>
        </w:rPr>
        <w:t xml:space="preserve"> and the third one “was declared admissible by </w:t>
      </w:r>
      <w:r w:rsidR="00F36400" w:rsidRPr="008A1DB4">
        <w:rPr>
          <w:spacing w:val="-2"/>
          <w:lang w:val="en-US"/>
        </w:rPr>
        <w:t xml:space="preserve">the </w:t>
      </w:r>
      <w:r w:rsidR="00B43F84" w:rsidRPr="008A1DB4">
        <w:rPr>
          <w:spacing w:val="-2"/>
          <w:lang w:val="en-US"/>
        </w:rPr>
        <w:t>Constitutional Court</w:t>
      </w:r>
      <w:r w:rsidR="0056729D">
        <w:rPr>
          <w:spacing w:val="-2"/>
          <w:lang w:val="en-US"/>
        </w:rPr>
        <w:t>”; however, “the Peruvian State has no complied with this decision, because it has</w:t>
      </w:r>
      <w:r w:rsidR="00E0188F" w:rsidRPr="008A1DB4">
        <w:rPr>
          <w:spacing w:val="-2"/>
          <w:lang w:val="en-US"/>
        </w:rPr>
        <w:t xml:space="preserve"> not </w:t>
      </w:r>
      <w:r w:rsidR="0056729D">
        <w:rPr>
          <w:spacing w:val="-2"/>
          <w:lang w:val="en-US"/>
        </w:rPr>
        <w:t>denied the request for</w:t>
      </w:r>
      <w:r w:rsidR="00E0188F" w:rsidRPr="008A1DB4">
        <w:rPr>
          <w:spacing w:val="-2"/>
          <w:lang w:val="en-US"/>
        </w:rPr>
        <w:t xml:space="preserve"> Wong Ho Wing’s extradition and ordered his release.” In addition, he indicated that, with regard to the fourth, fifth and sixth application for </w:t>
      </w:r>
      <w:r w:rsidR="00E022F9" w:rsidRPr="008A1DB4">
        <w:rPr>
          <w:i/>
          <w:spacing w:val="-2"/>
          <w:lang w:val="en-US"/>
        </w:rPr>
        <w:t>habeas corpus</w:t>
      </w:r>
      <w:r w:rsidR="00E0188F" w:rsidRPr="008A1DB4">
        <w:rPr>
          <w:i/>
          <w:spacing w:val="-2"/>
          <w:lang w:val="en-US"/>
        </w:rPr>
        <w:t>,</w:t>
      </w:r>
      <w:r w:rsidR="00E0188F" w:rsidRPr="008A1DB4">
        <w:rPr>
          <w:spacing w:val="-2"/>
          <w:lang w:val="en-US"/>
        </w:rPr>
        <w:t xml:space="preserve"> the judicial authorities had “not decided on their merits to ensure his</w:t>
      </w:r>
      <w:r w:rsidR="00601B3D" w:rsidRPr="008A1DB4">
        <w:rPr>
          <w:spacing w:val="-2"/>
          <w:lang w:val="en-US"/>
        </w:rPr>
        <w:t xml:space="preserve"> </w:t>
      </w:r>
      <w:r w:rsidR="00776D24" w:rsidRPr="008A1DB4">
        <w:rPr>
          <w:spacing w:val="-2"/>
          <w:lang w:val="en-US"/>
        </w:rPr>
        <w:t>personal liberty</w:t>
      </w:r>
      <w:r w:rsidR="00E0188F" w:rsidRPr="008A1DB4">
        <w:rPr>
          <w:spacing w:val="-2"/>
          <w:lang w:val="en-US"/>
        </w:rPr>
        <w:t xml:space="preserve">.” In this regard, he stressed that, at the time of the submission of the motions and arguments brief, the “fourth application for </w:t>
      </w:r>
      <w:r w:rsidR="00E022F9" w:rsidRPr="008A1DB4">
        <w:rPr>
          <w:i/>
          <w:spacing w:val="-2"/>
          <w:lang w:val="en-US"/>
        </w:rPr>
        <w:t>habeas corpus</w:t>
      </w:r>
      <w:r w:rsidR="00FC43E7" w:rsidRPr="008A1DB4">
        <w:rPr>
          <w:spacing w:val="-2"/>
          <w:lang w:val="en-US"/>
        </w:rPr>
        <w:t xml:space="preserve">, </w:t>
      </w:r>
      <w:r w:rsidR="00E0188F" w:rsidRPr="008A1DB4">
        <w:rPr>
          <w:spacing w:val="-2"/>
          <w:lang w:val="en-US"/>
        </w:rPr>
        <w:t>filed</w:t>
      </w:r>
      <w:r w:rsidR="00FC43E7" w:rsidRPr="008A1DB4">
        <w:rPr>
          <w:spacing w:val="-2"/>
          <w:lang w:val="en-US"/>
        </w:rPr>
        <w:t xml:space="preserve"> on </w:t>
      </w:r>
      <w:r w:rsidR="00A3310A" w:rsidRPr="008A1DB4">
        <w:rPr>
          <w:spacing w:val="-2"/>
          <w:lang w:val="en-US"/>
        </w:rPr>
        <w:t xml:space="preserve">November </w:t>
      </w:r>
      <w:r w:rsidR="00FC43E7" w:rsidRPr="008A1DB4">
        <w:rPr>
          <w:spacing w:val="-2"/>
          <w:lang w:val="en-US"/>
        </w:rPr>
        <w:t>1</w:t>
      </w:r>
      <w:r w:rsidR="00A3310A" w:rsidRPr="008A1DB4">
        <w:rPr>
          <w:spacing w:val="-2"/>
          <w:lang w:val="en-US"/>
        </w:rPr>
        <w:t>6,</w:t>
      </w:r>
      <w:r w:rsidR="00601B3D" w:rsidRPr="008A1DB4">
        <w:rPr>
          <w:spacing w:val="-2"/>
          <w:lang w:val="en-US"/>
        </w:rPr>
        <w:t xml:space="preserve"> 2011</w:t>
      </w:r>
      <w:r w:rsidR="00E0188F" w:rsidRPr="008A1DB4">
        <w:rPr>
          <w:spacing w:val="-2"/>
          <w:lang w:val="en-US"/>
        </w:rPr>
        <w:t xml:space="preserve">,” had not been decided after two years and two months, “which evidently also violates the guarantee of a </w:t>
      </w:r>
      <w:r w:rsidR="00A33F97" w:rsidRPr="008A1DB4">
        <w:rPr>
          <w:spacing w:val="-2"/>
          <w:lang w:val="en-US"/>
        </w:rPr>
        <w:t>reasonable time</w:t>
      </w:r>
      <w:r w:rsidR="00601B3D" w:rsidRPr="008A1DB4">
        <w:rPr>
          <w:spacing w:val="-2"/>
          <w:lang w:val="en-US"/>
        </w:rPr>
        <w:t xml:space="preserve"> </w:t>
      </w:r>
      <w:r w:rsidR="00E0188F" w:rsidRPr="008A1DB4">
        <w:rPr>
          <w:spacing w:val="-2"/>
          <w:lang w:val="en-US"/>
        </w:rPr>
        <w:t xml:space="preserve">established in </w:t>
      </w:r>
      <w:r w:rsidR="00F36400" w:rsidRPr="008A1DB4">
        <w:rPr>
          <w:spacing w:val="-2"/>
          <w:lang w:val="en-US"/>
        </w:rPr>
        <w:t>Article</w:t>
      </w:r>
      <w:r w:rsidR="00A33F97" w:rsidRPr="008A1DB4">
        <w:rPr>
          <w:spacing w:val="-2"/>
          <w:lang w:val="en-US"/>
        </w:rPr>
        <w:t xml:space="preserve"> 8(1)</w:t>
      </w:r>
      <w:r w:rsidR="00F36400" w:rsidRPr="008A1DB4">
        <w:rPr>
          <w:spacing w:val="-2"/>
          <w:lang w:val="en-US"/>
        </w:rPr>
        <w:t xml:space="preserve"> of the American Convention</w:t>
      </w:r>
      <w:r w:rsidR="00E0188F" w:rsidRPr="008A1DB4">
        <w:rPr>
          <w:spacing w:val="-2"/>
          <w:lang w:val="en-US"/>
        </w:rPr>
        <w:t>.” He also indicated that the fifth and sixth applications for</w:t>
      </w:r>
      <w:r w:rsidR="00712B7E" w:rsidRPr="008A1DB4">
        <w:rPr>
          <w:spacing w:val="-2"/>
          <w:lang w:val="en-US"/>
        </w:rPr>
        <w:t xml:space="preserve"> </w:t>
      </w:r>
      <w:r w:rsidR="00E022F9" w:rsidRPr="008A1DB4">
        <w:rPr>
          <w:i/>
          <w:spacing w:val="-2"/>
          <w:lang w:val="en-US"/>
        </w:rPr>
        <w:t>habeas corpus</w:t>
      </w:r>
      <w:r w:rsidR="00FC43E7" w:rsidRPr="008A1DB4">
        <w:rPr>
          <w:spacing w:val="-2"/>
          <w:lang w:val="en-US"/>
        </w:rPr>
        <w:t xml:space="preserve"> </w:t>
      </w:r>
      <w:r w:rsidR="00E0188F" w:rsidRPr="008A1DB4">
        <w:rPr>
          <w:spacing w:val="-2"/>
          <w:lang w:val="en-US"/>
        </w:rPr>
        <w:t xml:space="preserve">filed </w:t>
      </w:r>
      <w:r w:rsidR="00FC43E7" w:rsidRPr="008A1DB4">
        <w:rPr>
          <w:spacing w:val="-2"/>
          <w:lang w:val="en-US"/>
        </w:rPr>
        <w:t xml:space="preserve">on </w:t>
      </w:r>
      <w:r w:rsidR="00D72E3B" w:rsidRPr="008A1DB4">
        <w:rPr>
          <w:spacing w:val="-2"/>
          <w:lang w:val="en-US"/>
        </w:rPr>
        <w:t>March 13,</w:t>
      </w:r>
      <w:r w:rsidR="00601B3D" w:rsidRPr="008A1DB4">
        <w:rPr>
          <w:spacing w:val="-2"/>
          <w:lang w:val="en-US"/>
        </w:rPr>
        <w:t xml:space="preserve"> 2012</w:t>
      </w:r>
      <w:r w:rsidR="00E0188F" w:rsidRPr="008A1DB4">
        <w:rPr>
          <w:spacing w:val="-2"/>
          <w:lang w:val="en-US"/>
        </w:rPr>
        <w:t>,</w:t>
      </w:r>
      <w:r w:rsidR="00F36400" w:rsidRPr="008A1DB4">
        <w:rPr>
          <w:spacing w:val="-2"/>
          <w:lang w:val="en-US"/>
        </w:rPr>
        <w:t xml:space="preserve"> and </w:t>
      </w:r>
      <w:r w:rsidR="00D72E3B" w:rsidRPr="008A1DB4">
        <w:rPr>
          <w:spacing w:val="-2"/>
          <w:lang w:val="en-US"/>
        </w:rPr>
        <w:t>April 26,</w:t>
      </w:r>
      <w:r w:rsidR="00601B3D" w:rsidRPr="008A1DB4">
        <w:rPr>
          <w:spacing w:val="-2"/>
          <w:lang w:val="en-US"/>
        </w:rPr>
        <w:t xml:space="preserve"> 2013</w:t>
      </w:r>
      <w:r w:rsidR="00E0188F" w:rsidRPr="008A1DB4">
        <w:rPr>
          <w:spacing w:val="-2"/>
          <w:lang w:val="en-US"/>
        </w:rPr>
        <w:t xml:space="preserve">, had also not been decided. In addition, he indicated that the response of </w:t>
      </w:r>
      <w:r w:rsidR="002D1CFC" w:rsidRPr="008A1DB4">
        <w:rPr>
          <w:spacing w:val="-2"/>
          <w:lang w:val="en-US"/>
        </w:rPr>
        <w:t xml:space="preserve">the </w:t>
      </w:r>
      <w:r w:rsidR="00FC5891" w:rsidRPr="008A1DB4">
        <w:rPr>
          <w:spacing w:val="-2"/>
          <w:lang w:val="en-US"/>
        </w:rPr>
        <w:t>Permanent Criminal Chamber</w:t>
      </w:r>
      <w:r w:rsidR="00FC43E7" w:rsidRPr="008A1DB4">
        <w:rPr>
          <w:spacing w:val="-2"/>
          <w:lang w:val="en-US"/>
        </w:rPr>
        <w:t xml:space="preserve"> </w:t>
      </w:r>
      <w:r w:rsidR="00E0188F" w:rsidRPr="008A1DB4">
        <w:rPr>
          <w:spacing w:val="-2"/>
          <w:lang w:val="en-US"/>
        </w:rPr>
        <w:t xml:space="preserve">to the </w:t>
      </w:r>
      <w:r w:rsidR="00947926" w:rsidRPr="008A1DB4">
        <w:rPr>
          <w:spacing w:val="-2"/>
          <w:lang w:val="en-US"/>
        </w:rPr>
        <w:t>release</w:t>
      </w:r>
      <w:r w:rsidR="00E0188F" w:rsidRPr="008A1DB4">
        <w:rPr>
          <w:spacing w:val="-2"/>
          <w:lang w:val="en-US"/>
        </w:rPr>
        <w:t xml:space="preserve"> request </w:t>
      </w:r>
      <w:r w:rsidR="00FC43E7" w:rsidRPr="008A1DB4">
        <w:rPr>
          <w:spacing w:val="-2"/>
          <w:lang w:val="en-US"/>
        </w:rPr>
        <w:t>of</w:t>
      </w:r>
      <w:r w:rsidR="00601B3D" w:rsidRPr="008A1DB4">
        <w:rPr>
          <w:spacing w:val="-2"/>
          <w:lang w:val="en-US"/>
        </w:rPr>
        <w:t xml:space="preserve"> </w:t>
      </w:r>
      <w:r w:rsidR="00A3310A" w:rsidRPr="008A1DB4">
        <w:rPr>
          <w:spacing w:val="-2"/>
          <w:lang w:val="en-US"/>
        </w:rPr>
        <w:t>October 10,</w:t>
      </w:r>
      <w:r w:rsidR="00601B3D" w:rsidRPr="008A1DB4">
        <w:rPr>
          <w:spacing w:val="-2"/>
          <w:lang w:val="en-US"/>
        </w:rPr>
        <w:t xml:space="preserve"> 2011</w:t>
      </w:r>
      <w:r w:rsidR="00FC43E7" w:rsidRPr="008A1DB4">
        <w:rPr>
          <w:spacing w:val="-2"/>
          <w:lang w:val="en-US"/>
        </w:rPr>
        <w:t>,</w:t>
      </w:r>
      <w:r w:rsidR="00601B3D" w:rsidRPr="008A1DB4">
        <w:rPr>
          <w:spacing w:val="-2"/>
          <w:lang w:val="en-US"/>
        </w:rPr>
        <w:t xml:space="preserve"> “</w:t>
      </w:r>
      <w:r w:rsidR="00E0188F" w:rsidRPr="008A1DB4">
        <w:rPr>
          <w:spacing w:val="-2"/>
          <w:lang w:val="en-US"/>
        </w:rPr>
        <w:t xml:space="preserve">mean[t] that </w:t>
      </w:r>
      <w:r w:rsidR="00071662" w:rsidRPr="008A1DB4">
        <w:rPr>
          <w:spacing w:val="-2"/>
          <w:lang w:val="en-US"/>
        </w:rPr>
        <w:t>the Peruvian State</w:t>
      </w:r>
      <w:r w:rsidR="00601B3D" w:rsidRPr="008A1DB4">
        <w:rPr>
          <w:spacing w:val="-2"/>
          <w:lang w:val="en-US"/>
        </w:rPr>
        <w:t xml:space="preserve"> </w:t>
      </w:r>
      <w:r w:rsidR="00E0188F" w:rsidRPr="008A1DB4">
        <w:rPr>
          <w:spacing w:val="-2"/>
          <w:lang w:val="en-US"/>
        </w:rPr>
        <w:t xml:space="preserve">did not </w:t>
      </w:r>
      <w:r w:rsidR="0079515C" w:rsidRPr="008A1DB4">
        <w:rPr>
          <w:spacing w:val="-2"/>
          <w:lang w:val="en-US"/>
        </w:rPr>
        <w:t>guarantee</w:t>
      </w:r>
      <w:r w:rsidR="00E0188F" w:rsidRPr="008A1DB4">
        <w:rPr>
          <w:spacing w:val="-2"/>
          <w:lang w:val="en-US"/>
        </w:rPr>
        <w:t xml:space="preserve">, in the terms </w:t>
      </w:r>
      <w:r w:rsidR="0058668C" w:rsidRPr="008A1DB4">
        <w:rPr>
          <w:spacing w:val="-2"/>
          <w:lang w:val="en-US"/>
        </w:rPr>
        <w:t>of Article</w:t>
      </w:r>
      <w:r w:rsidR="00FC43E7" w:rsidRPr="008A1DB4">
        <w:rPr>
          <w:spacing w:val="-2"/>
          <w:lang w:val="en-US"/>
        </w:rPr>
        <w:t xml:space="preserve"> 25(</w:t>
      </w:r>
      <w:r w:rsidR="00601B3D" w:rsidRPr="008A1DB4">
        <w:rPr>
          <w:spacing w:val="-2"/>
          <w:lang w:val="en-US"/>
        </w:rPr>
        <w:t>1</w:t>
      </w:r>
      <w:r w:rsidR="00FC43E7" w:rsidRPr="008A1DB4">
        <w:rPr>
          <w:spacing w:val="-2"/>
          <w:lang w:val="en-US"/>
        </w:rPr>
        <w:t>)</w:t>
      </w:r>
      <w:r w:rsidR="00F36400" w:rsidRPr="008A1DB4">
        <w:rPr>
          <w:spacing w:val="-2"/>
          <w:lang w:val="en-US"/>
        </w:rPr>
        <w:t xml:space="preserve"> of the Convention</w:t>
      </w:r>
      <w:r w:rsidR="00601B3D" w:rsidRPr="008A1DB4">
        <w:rPr>
          <w:spacing w:val="-2"/>
          <w:lang w:val="en-US"/>
        </w:rPr>
        <w:t xml:space="preserve"> […], </w:t>
      </w:r>
      <w:r w:rsidR="00E0188F" w:rsidRPr="008A1DB4">
        <w:rPr>
          <w:spacing w:val="-2"/>
          <w:lang w:val="en-US"/>
        </w:rPr>
        <w:t>a simple and p</w:t>
      </w:r>
      <w:r w:rsidR="0056729D">
        <w:rPr>
          <w:spacing w:val="-2"/>
          <w:lang w:val="en-US"/>
        </w:rPr>
        <w:t>rompt remedy, but rather obliged</w:t>
      </w:r>
      <w:r w:rsidR="00E0188F" w:rsidRPr="008A1DB4">
        <w:rPr>
          <w:spacing w:val="-2"/>
          <w:lang w:val="en-US"/>
        </w:rPr>
        <w:t xml:space="preserve"> the [presumed] victim […] to use a series of remedies that, owing </w:t>
      </w:r>
      <w:r w:rsidR="0056729D">
        <w:rPr>
          <w:spacing w:val="-2"/>
          <w:lang w:val="en-US"/>
        </w:rPr>
        <w:t>to the passage of time, make</w:t>
      </w:r>
      <w:r w:rsidR="00E0188F" w:rsidRPr="008A1DB4">
        <w:rPr>
          <w:spacing w:val="-2"/>
          <w:lang w:val="en-US"/>
        </w:rPr>
        <w:t xml:space="preserve"> execution of the Constitutional Court’s judgment unrealistic.” In addition, he indicated that in the context of the release request of Oc</w:t>
      </w:r>
      <w:r w:rsidR="00FC43E7" w:rsidRPr="008A1DB4">
        <w:rPr>
          <w:spacing w:val="-2"/>
          <w:lang w:val="en-US"/>
        </w:rPr>
        <w:t>tober 18,</w:t>
      </w:r>
      <w:r w:rsidR="00601B3D" w:rsidRPr="008A1DB4">
        <w:rPr>
          <w:spacing w:val="-2"/>
          <w:lang w:val="en-US"/>
        </w:rPr>
        <w:t xml:space="preserve"> 2011</w:t>
      </w:r>
      <w:r w:rsidR="00FC43E7" w:rsidRPr="008A1DB4">
        <w:rPr>
          <w:spacing w:val="-2"/>
          <w:lang w:val="en-US"/>
        </w:rPr>
        <w:t>,</w:t>
      </w:r>
      <w:r w:rsidR="00601B3D" w:rsidRPr="008A1DB4">
        <w:rPr>
          <w:spacing w:val="-2"/>
          <w:lang w:val="en-US"/>
        </w:rPr>
        <w:t xml:space="preserve"> “</w:t>
      </w:r>
      <w:r w:rsidR="00FC43E7" w:rsidRPr="008A1DB4">
        <w:rPr>
          <w:spacing w:val="-2"/>
          <w:lang w:val="en-US"/>
        </w:rPr>
        <w:t>officials</w:t>
      </w:r>
      <w:r w:rsidR="00776D24" w:rsidRPr="008A1DB4">
        <w:rPr>
          <w:spacing w:val="-2"/>
          <w:lang w:val="en-US"/>
        </w:rPr>
        <w:t xml:space="preserve"> of the </w:t>
      </w:r>
      <w:r w:rsidR="00B43F84" w:rsidRPr="008A1DB4">
        <w:rPr>
          <w:spacing w:val="-2"/>
          <w:lang w:val="en-US"/>
        </w:rPr>
        <w:t>Executive Branch</w:t>
      </w:r>
      <w:r w:rsidR="00601B3D" w:rsidRPr="008A1DB4">
        <w:rPr>
          <w:spacing w:val="-2"/>
          <w:lang w:val="en-US"/>
        </w:rPr>
        <w:t xml:space="preserve"> […] </w:t>
      </w:r>
      <w:r w:rsidR="00E0188F" w:rsidRPr="008A1DB4">
        <w:rPr>
          <w:spacing w:val="-2"/>
          <w:lang w:val="en-US"/>
        </w:rPr>
        <w:t xml:space="preserve">failed to forward the provisional arrest file to the </w:t>
      </w:r>
      <w:r w:rsidR="00FC43E7" w:rsidRPr="008A1DB4">
        <w:rPr>
          <w:spacing w:val="-2"/>
          <w:lang w:val="en-US"/>
        </w:rPr>
        <w:t>Seventh Criminal Court of El Callao</w:t>
      </w:r>
      <w:r w:rsidR="00601B3D" w:rsidRPr="008A1DB4">
        <w:rPr>
          <w:spacing w:val="-2"/>
          <w:lang w:val="en-US"/>
        </w:rPr>
        <w:t xml:space="preserve"> […]</w:t>
      </w:r>
      <w:r w:rsidR="00E0188F" w:rsidRPr="008A1DB4">
        <w:rPr>
          <w:spacing w:val="-2"/>
          <w:lang w:val="en-US"/>
        </w:rPr>
        <w:t>, even in response to two urgent requests</w:t>
      </w:r>
      <w:r w:rsidR="0056729D">
        <w:rPr>
          <w:spacing w:val="-2"/>
          <w:lang w:val="en-US"/>
        </w:rPr>
        <w:t>, so that it could</w:t>
      </w:r>
      <w:r w:rsidR="00E0188F" w:rsidRPr="008A1DB4">
        <w:rPr>
          <w:spacing w:val="-2"/>
          <w:lang w:val="en-US"/>
        </w:rPr>
        <w:t xml:space="preserve"> take a decision on </w:t>
      </w:r>
      <w:r w:rsidR="00B43F84" w:rsidRPr="008A1DB4">
        <w:rPr>
          <w:spacing w:val="-2"/>
          <w:lang w:val="en-US"/>
        </w:rPr>
        <w:t>Wong</w:t>
      </w:r>
      <w:r w:rsidR="00601B3D" w:rsidRPr="008A1DB4">
        <w:rPr>
          <w:spacing w:val="-2"/>
          <w:lang w:val="en-US"/>
        </w:rPr>
        <w:t xml:space="preserve"> Ho Wing</w:t>
      </w:r>
      <w:r w:rsidR="0056729D">
        <w:rPr>
          <w:spacing w:val="-2"/>
          <w:lang w:val="en-US"/>
        </w:rPr>
        <w:t>’s release</w:t>
      </w:r>
      <w:r w:rsidR="00601B3D" w:rsidRPr="008A1DB4">
        <w:rPr>
          <w:spacing w:val="-2"/>
          <w:lang w:val="en-US"/>
        </w:rPr>
        <w:t xml:space="preserve"> </w:t>
      </w:r>
      <w:r w:rsidR="00E0188F" w:rsidRPr="008A1DB4">
        <w:rPr>
          <w:spacing w:val="-2"/>
          <w:lang w:val="en-US"/>
        </w:rPr>
        <w:t xml:space="preserve">in execution of the ruling of </w:t>
      </w:r>
      <w:r w:rsidR="00F36400" w:rsidRPr="008A1DB4">
        <w:rPr>
          <w:spacing w:val="-2"/>
          <w:lang w:val="en-US"/>
        </w:rPr>
        <w:t xml:space="preserve">the </w:t>
      </w:r>
      <w:r w:rsidR="00B43F84" w:rsidRPr="008A1DB4">
        <w:rPr>
          <w:spacing w:val="-2"/>
          <w:lang w:val="en-US"/>
        </w:rPr>
        <w:t>Constitutional Court</w:t>
      </w:r>
      <w:r w:rsidR="00E0188F" w:rsidRPr="008A1DB4">
        <w:rPr>
          <w:spacing w:val="-2"/>
          <w:lang w:val="en-US"/>
        </w:rPr>
        <w:t>.” He emphasized that this “serious omission […] prevented the Seventh Crimin</w:t>
      </w:r>
      <w:r w:rsidR="0056729D">
        <w:rPr>
          <w:spacing w:val="-2"/>
          <w:lang w:val="en-US"/>
        </w:rPr>
        <w:t xml:space="preserve">al Court […] from carrying out </w:t>
      </w:r>
      <w:r w:rsidR="00E0188F" w:rsidRPr="008A1DB4">
        <w:rPr>
          <w:spacing w:val="-2"/>
          <w:lang w:val="en-US"/>
        </w:rPr>
        <w:t xml:space="preserve">prompt judicial control for more than two years and eight month.” He concluded that the Peruvian authorities had not ensured the effectiveness of the application for </w:t>
      </w:r>
      <w:r w:rsidR="00E022F9" w:rsidRPr="008A1DB4">
        <w:rPr>
          <w:i/>
          <w:spacing w:val="-2"/>
          <w:lang w:val="en-US"/>
        </w:rPr>
        <w:t>habeas corpus</w:t>
      </w:r>
      <w:r w:rsidR="00E0188F" w:rsidRPr="008A1DB4">
        <w:rPr>
          <w:spacing w:val="-2"/>
          <w:lang w:val="en-US"/>
        </w:rPr>
        <w:t xml:space="preserve"> on behalf of</w:t>
      </w:r>
      <w:r w:rsidR="00B43F84" w:rsidRPr="008A1DB4">
        <w:rPr>
          <w:spacing w:val="-2"/>
          <w:lang w:val="en-US"/>
        </w:rPr>
        <w:t xml:space="preserve"> Wong</w:t>
      </w:r>
      <w:r w:rsidR="00292D65" w:rsidRPr="008A1DB4">
        <w:rPr>
          <w:spacing w:val="-2"/>
          <w:lang w:val="en-US"/>
        </w:rPr>
        <w:t xml:space="preserve"> Ho Wing,</w:t>
      </w:r>
      <w:r w:rsidR="00601B3D" w:rsidRPr="008A1DB4">
        <w:rPr>
          <w:spacing w:val="-2"/>
          <w:lang w:val="en-US"/>
        </w:rPr>
        <w:t xml:space="preserve"> </w:t>
      </w:r>
      <w:r w:rsidR="00E0188F" w:rsidRPr="008A1DB4">
        <w:rPr>
          <w:spacing w:val="-2"/>
          <w:lang w:val="en-US"/>
        </w:rPr>
        <w:t>in violation of</w:t>
      </w:r>
      <w:r w:rsidR="00601B3D" w:rsidRPr="008A1DB4">
        <w:rPr>
          <w:spacing w:val="-2"/>
          <w:lang w:val="en-US"/>
        </w:rPr>
        <w:t xml:space="preserve"> </w:t>
      </w:r>
      <w:r w:rsidR="00F36400" w:rsidRPr="008A1DB4">
        <w:rPr>
          <w:spacing w:val="-2"/>
          <w:lang w:val="en-US"/>
        </w:rPr>
        <w:t>Article</w:t>
      </w:r>
      <w:r w:rsidR="00FC43E7" w:rsidRPr="008A1DB4">
        <w:rPr>
          <w:spacing w:val="-2"/>
          <w:lang w:val="en-US"/>
        </w:rPr>
        <w:t>s 7(</w:t>
      </w:r>
      <w:r w:rsidR="00601B3D" w:rsidRPr="008A1DB4">
        <w:rPr>
          <w:spacing w:val="-2"/>
          <w:lang w:val="en-US"/>
        </w:rPr>
        <w:t>6</w:t>
      </w:r>
      <w:r w:rsidR="00FC43E7" w:rsidRPr="008A1DB4">
        <w:rPr>
          <w:spacing w:val="-2"/>
          <w:lang w:val="en-US"/>
        </w:rPr>
        <w:t>)</w:t>
      </w:r>
      <w:r w:rsidR="00601B3D" w:rsidRPr="008A1DB4">
        <w:rPr>
          <w:spacing w:val="-2"/>
          <w:lang w:val="en-US"/>
        </w:rPr>
        <w:t>,</w:t>
      </w:r>
      <w:r w:rsidR="00A33F97" w:rsidRPr="008A1DB4">
        <w:rPr>
          <w:spacing w:val="-2"/>
          <w:lang w:val="en-US"/>
        </w:rPr>
        <w:t xml:space="preserve"> 8(1)</w:t>
      </w:r>
      <w:r w:rsidR="00601B3D" w:rsidRPr="008A1DB4">
        <w:rPr>
          <w:spacing w:val="-2"/>
          <w:lang w:val="en-US"/>
        </w:rPr>
        <w:t xml:space="preserve">, </w:t>
      </w:r>
      <w:r w:rsidR="00FC43E7" w:rsidRPr="008A1DB4">
        <w:rPr>
          <w:spacing w:val="-2"/>
          <w:lang w:val="en-US"/>
        </w:rPr>
        <w:t>25(</w:t>
      </w:r>
      <w:r w:rsidR="00601B3D" w:rsidRPr="008A1DB4">
        <w:rPr>
          <w:spacing w:val="-2"/>
          <w:lang w:val="en-US"/>
        </w:rPr>
        <w:t>1</w:t>
      </w:r>
      <w:r w:rsidR="00FC43E7" w:rsidRPr="008A1DB4">
        <w:rPr>
          <w:spacing w:val="-2"/>
          <w:lang w:val="en-US"/>
        </w:rPr>
        <w:t>), 25(</w:t>
      </w:r>
      <w:r w:rsidR="00601B3D" w:rsidRPr="008A1DB4">
        <w:rPr>
          <w:spacing w:val="-2"/>
          <w:lang w:val="en-US"/>
        </w:rPr>
        <w:t>2</w:t>
      </w:r>
      <w:r w:rsidR="00FC43E7" w:rsidRPr="008A1DB4">
        <w:rPr>
          <w:spacing w:val="-2"/>
          <w:lang w:val="en-US"/>
        </w:rPr>
        <w:t>)(</w:t>
      </w:r>
      <w:r w:rsidR="00601B3D" w:rsidRPr="008A1DB4">
        <w:rPr>
          <w:spacing w:val="-2"/>
          <w:lang w:val="en-US"/>
        </w:rPr>
        <w:t>a)</w:t>
      </w:r>
      <w:r w:rsidR="00F36400" w:rsidRPr="008A1DB4">
        <w:rPr>
          <w:spacing w:val="-2"/>
          <w:lang w:val="en-US"/>
        </w:rPr>
        <w:t xml:space="preserve"> and </w:t>
      </w:r>
      <w:r w:rsidR="00FC43E7" w:rsidRPr="008A1DB4">
        <w:rPr>
          <w:spacing w:val="-2"/>
          <w:lang w:val="en-US"/>
        </w:rPr>
        <w:t>25(</w:t>
      </w:r>
      <w:r w:rsidR="00601B3D" w:rsidRPr="008A1DB4">
        <w:rPr>
          <w:spacing w:val="-2"/>
          <w:lang w:val="en-US"/>
        </w:rPr>
        <w:t>2</w:t>
      </w:r>
      <w:r w:rsidR="00FC43E7" w:rsidRPr="008A1DB4">
        <w:rPr>
          <w:spacing w:val="-2"/>
          <w:lang w:val="en-US"/>
        </w:rPr>
        <w:t>)(</w:t>
      </w:r>
      <w:r w:rsidR="00601B3D" w:rsidRPr="008A1DB4">
        <w:rPr>
          <w:spacing w:val="-2"/>
          <w:lang w:val="en-US"/>
        </w:rPr>
        <w:t>c)</w:t>
      </w:r>
      <w:r w:rsidR="00F36400" w:rsidRPr="008A1DB4">
        <w:rPr>
          <w:spacing w:val="-2"/>
          <w:lang w:val="en-US"/>
        </w:rPr>
        <w:t xml:space="preserve"> of the Convention</w:t>
      </w:r>
      <w:r w:rsidR="00FC43E7" w:rsidRPr="008A1DB4">
        <w:rPr>
          <w:spacing w:val="-2"/>
          <w:lang w:val="en-US"/>
        </w:rPr>
        <w:t>, in relation to Article 1(</w:t>
      </w:r>
      <w:r w:rsidR="00601B3D" w:rsidRPr="008A1DB4">
        <w:rPr>
          <w:spacing w:val="-2"/>
          <w:lang w:val="en-US"/>
        </w:rPr>
        <w:t>1</w:t>
      </w:r>
      <w:r w:rsidR="00FC43E7" w:rsidRPr="008A1DB4">
        <w:rPr>
          <w:spacing w:val="-2"/>
          <w:lang w:val="en-US"/>
        </w:rPr>
        <w:t>)</w:t>
      </w:r>
      <w:r w:rsidR="00601B3D" w:rsidRPr="008A1DB4">
        <w:rPr>
          <w:spacing w:val="-2"/>
          <w:lang w:val="en-US"/>
        </w:rPr>
        <w:t xml:space="preserve"> </w:t>
      </w:r>
      <w:bookmarkEnd w:id="1154"/>
      <w:r w:rsidR="00FC43E7" w:rsidRPr="008A1DB4">
        <w:rPr>
          <w:spacing w:val="-2"/>
          <w:lang w:val="en-US"/>
        </w:rPr>
        <w:t>of this instrument.</w:t>
      </w:r>
      <w:r w:rsidR="00601B3D" w:rsidRPr="008A1DB4">
        <w:rPr>
          <w:spacing w:val="-2"/>
          <w:lang w:val="en-US"/>
        </w:rPr>
        <w:t xml:space="preserve"> </w:t>
      </w:r>
    </w:p>
    <w:p w14:paraId="2DB6239A" w14:textId="77777777" w:rsidR="00601B3D" w:rsidRPr="008A1DB4" w:rsidRDefault="00601B3D" w:rsidP="00956E97">
      <w:pPr>
        <w:pStyle w:val="ListParagraph"/>
        <w:tabs>
          <w:tab w:val="left" w:pos="567"/>
        </w:tabs>
        <w:ind w:left="0"/>
        <w:contextualSpacing w:val="0"/>
        <w:rPr>
          <w:spacing w:val="-2"/>
          <w:szCs w:val="20"/>
          <w:lang w:val="en-US"/>
        </w:rPr>
      </w:pPr>
    </w:p>
    <w:p w14:paraId="3F80A1F0" w14:textId="3A5647FE" w:rsidR="00601B3D" w:rsidRPr="008A1DB4" w:rsidRDefault="00F36400" w:rsidP="00E0188F">
      <w:pPr>
        <w:pStyle w:val="PrrafodeSentencia"/>
        <w:rPr>
          <w:spacing w:val="-2"/>
          <w:lang w:val="en-US"/>
        </w:rPr>
      </w:pPr>
      <w:r w:rsidRPr="008A1DB4">
        <w:rPr>
          <w:spacing w:val="-2"/>
          <w:lang w:val="en-US"/>
        </w:rPr>
        <w:t>The State</w:t>
      </w:r>
      <w:r w:rsidR="00601B3D" w:rsidRPr="008A1DB4">
        <w:rPr>
          <w:spacing w:val="-2"/>
          <w:lang w:val="en-US"/>
        </w:rPr>
        <w:t xml:space="preserve">, </w:t>
      </w:r>
      <w:r w:rsidR="00E0188F" w:rsidRPr="008A1DB4">
        <w:rPr>
          <w:spacing w:val="-2"/>
          <w:lang w:val="en-US"/>
        </w:rPr>
        <w:t xml:space="preserve">with regard to </w:t>
      </w:r>
      <w:r w:rsidR="004257EF" w:rsidRPr="008A1DB4">
        <w:rPr>
          <w:spacing w:val="-2"/>
          <w:lang w:val="en-US"/>
        </w:rPr>
        <w:t>the alleged violation</w:t>
      </w:r>
      <w:r w:rsidR="00601B3D" w:rsidRPr="008A1DB4">
        <w:rPr>
          <w:spacing w:val="-2"/>
          <w:lang w:val="en-US"/>
        </w:rPr>
        <w:t xml:space="preserve"> </w:t>
      </w:r>
      <w:r w:rsidR="0058668C" w:rsidRPr="008A1DB4">
        <w:rPr>
          <w:spacing w:val="-2"/>
          <w:lang w:val="en-US"/>
        </w:rPr>
        <w:t xml:space="preserve">of </w:t>
      </w:r>
      <w:r w:rsidR="00851076" w:rsidRPr="008A1DB4">
        <w:rPr>
          <w:spacing w:val="-2"/>
          <w:lang w:val="en-US"/>
        </w:rPr>
        <w:t>Article 7(6)</w:t>
      </w:r>
      <w:r w:rsidRPr="008A1DB4">
        <w:rPr>
          <w:spacing w:val="-2"/>
          <w:lang w:val="en-US"/>
        </w:rPr>
        <w:t xml:space="preserve"> of the Convention</w:t>
      </w:r>
      <w:r w:rsidR="00E0188F" w:rsidRPr="008A1DB4">
        <w:rPr>
          <w:spacing w:val="-2"/>
          <w:lang w:val="en-US"/>
        </w:rPr>
        <w:t xml:space="preserve">, denied that it had had “the intention not to provide the provisional arrest file to the courts in order to decide the release request filed following the judgment the Constitutional Court.” It indicated that the </w:t>
      </w:r>
      <w:r w:rsidR="00E0188F" w:rsidRPr="008A1DB4">
        <w:rPr>
          <w:spacing w:val="-2"/>
          <w:lang w:val="en-US"/>
        </w:rPr>
        <w:lastRenderedPageBreak/>
        <w:t>“Ministry, at the appropriate moment, complied with the judge’s request and, after he had ruled on the request, he ordered that the respective file be returned to the Ministry.” Added to this, it indicated that,</w:t>
      </w:r>
      <w:r w:rsidR="00601B3D" w:rsidRPr="008A1DB4">
        <w:rPr>
          <w:spacing w:val="-2"/>
          <w:lang w:val="en-US"/>
        </w:rPr>
        <w:t xml:space="preserve"> “</w:t>
      </w:r>
      <w:r w:rsidR="00D003F8" w:rsidRPr="008A1DB4">
        <w:rPr>
          <w:spacing w:val="-2"/>
          <w:lang w:val="en-US"/>
        </w:rPr>
        <w:t>on March 10,</w:t>
      </w:r>
      <w:r w:rsidR="00601B3D" w:rsidRPr="008A1DB4">
        <w:rPr>
          <w:spacing w:val="-2"/>
          <w:lang w:val="en-US"/>
        </w:rPr>
        <w:t xml:space="preserve"> 2014</w:t>
      </w:r>
      <w:r w:rsidR="00FC43E7" w:rsidRPr="008A1DB4">
        <w:rPr>
          <w:spacing w:val="-2"/>
          <w:lang w:val="en-US"/>
        </w:rPr>
        <w:t>,</w:t>
      </w:r>
      <w:r w:rsidR="00601B3D" w:rsidRPr="008A1DB4">
        <w:rPr>
          <w:spacing w:val="-2"/>
          <w:lang w:val="en-US"/>
        </w:rPr>
        <w:t xml:space="preserve"> </w:t>
      </w:r>
      <w:r w:rsidR="001E7113" w:rsidRPr="008A1DB4">
        <w:rPr>
          <w:spacing w:val="-2"/>
          <w:lang w:val="en-US"/>
        </w:rPr>
        <w:t>the Seventh Criminal Court of El Callao</w:t>
      </w:r>
      <w:r w:rsidR="00E0188F" w:rsidRPr="008A1DB4">
        <w:rPr>
          <w:spacing w:val="-2"/>
          <w:lang w:val="en-US"/>
        </w:rPr>
        <w:t>, declared the release request admissible</w:t>
      </w:r>
      <w:r w:rsidR="00601B3D" w:rsidRPr="008A1DB4">
        <w:rPr>
          <w:spacing w:val="-2"/>
          <w:lang w:val="en-US"/>
        </w:rPr>
        <w:t xml:space="preserve"> […], </w:t>
      </w:r>
      <w:r w:rsidR="00E0188F" w:rsidRPr="008A1DB4">
        <w:rPr>
          <w:spacing w:val="-2"/>
          <w:lang w:val="en-US"/>
        </w:rPr>
        <w:t xml:space="preserve">and therefore annulled the provisional arrest warrant and ordered the coercive measure of </w:t>
      </w:r>
      <w:r w:rsidR="00F26E60">
        <w:rPr>
          <w:spacing w:val="-2"/>
          <w:lang w:val="en-US"/>
        </w:rPr>
        <w:t xml:space="preserve">an </w:t>
      </w:r>
      <w:r w:rsidR="00F26E60" w:rsidRPr="008A1DB4">
        <w:rPr>
          <w:spacing w:val="-2"/>
          <w:lang w:val="en-US"/>
        </w:rPr>
        <w:t>order to appear in court</w:t>
      </w:r>
      <w:r w:rsidR="00F26E60">
        <w:rPr>
          <w:spacing w:val="-2"/>
          <w:lang w:val="en-US"/>
        </w:rPr>
        <w:t xml:space="preserve"> periodically </w:t>
      </w:r>
      <w:r w:rsidR="00E0188F" w:rsidRPr="008A1DB4">
        <w:rPr>
          <w:spacing w:val="-2"/>
          <w:lang w:val="en-US"/>
        </w:rPr>
        <w:t xml:space="preserve">[…] because the Executive </w:t>
      </w:r>
      <w:r w:rsidR="0056729D">
        <w:rPr>
          <w:spacing w:val="-2"/>
          <w:lang w:val="en-US"/>
        </w:rPr>
        <w:t xml:space="preserve">Branch </w:t>
      </w:r>
      <w:r w:rsidR="00E0188F" w:rsidRPr="008A1DB4">
        <w:rPr>
          <w:spacing w:val="-2"/>
          <w:lang w:val="en-US"/>
        </w:rPr>
        <w:t xml:space="preserve">had not yet taken a final decision on </w:t>
      </w:r>
      <w:r w:rsidR="00087CF8" w:rsidRPr="008A1DB4">
        <w:rPr>
          <w:spacing w:val="-2"/>
          <w:lang w:val="en-US"/>
        </w:rPr>
        <w:t>the extradition request</w:t>
      </w:r>
      <w:r w:rsidR="0056729D">
        <w:rPr>
          <w:spacing w:val="-2"/>
          <w:lang w:val="en-US"/>
        </w:rPr>
        <w:t>.” Regarding</w:t>
      </w:r>
      <w:r w:rsidR="00E0188F" w:rsidRPr="008A1DB4">
        <w:rPr>
          <w:spacing w:val="-2"/>
          <w:lang w:val="en-US"/>
        </w:rPr>
        <w:t xml:space="preserve"> the relationship o</w:t>
      </w:r>
      <w:r w:rsidR="0056729D">
        <w:rPr>
          <w:spacing w:val="-2"/>
          <w:lang w:val="en-US"/>
        </w:rPr>
        <w:t>f this to the alleged violation</w:t>
      </w:r>
      <w:r w:rsidR="00E0188F" w:rsidRPr="008A1DB4">
        <w:rPr>
          <w:spacing w:val="-2"/>
          <w:lang w:val="en-US"/>
        </w:rPr>
        <w:t xml:space="preserve"> of </w:t>
      </w:r>
      <w:r w:rsidRPr="008A1DB4">
        <w:rPr>
          <w:spacing w:val="-2"/>
          <w:lang w:val="en-US"/>
        </w:rPr>
        <w:t>Article</w:t>
      </w:r>
      <w:r w:rsidR="00FC43E7" w:rsidRPr="008A1DB4">
        <w:rPr>
          <w:spacing w:val="-2"/>
          <w:lang w:val="en-US"/>
        </w:rPr>
        <w:t>s 25(</w:t>
      </w:r>
      <w:r w:rsidR="00601B3D" w:rsidRPr="008A1DB4">
        <w:rPr>
          <w:spacing w:val="-2"/>
          <w:lang w:val="en-US"/>
        </w:rPr>
        <w:t>1</w:t>
      </w:r>
      <w:r w:rsidR="00FC43E7" w:rsidRPr="008A1DB4">
        <w:rPr>
          <w:spacing w:val="-2"/>
          <w:lang w:val="en-US"/>
        </w:rPr>
        <w:t>)</w:t>
      </w:r>
      <w:r w:rsidRPr="008A1DB4">
        <w:rPr>
          <w:spacing w:val="-2"/>
          <w:lang w:val="en-US"/>
        </w:rPr>
        <w:t xml:space="preserve"> and </w:t>
      </w:r>
      <w:r w:rsidR="00FC43E7" w:rsidRPr="008A1DB4">
        <w:rPr>
          <w:spacing w:val="-2"/>
          <w:lang w:val="en-US"/>
        </w:rPr>
        <w:t>25(</w:t>
      </w:r>
      <w:r w:rsidR="00601B3D" w:rsidRPr="008A1DB4">
        <w:rPr>
          <w:spacing w:val="-2"/>
          <w:lang w:val="en-US"/>
        </w:rPr>
        <w:t>2</w:t>
      </w:r>
      <w:proofErr w:type="gramStart"/>
      <w:r w:rsidR="00FC43E7" w:rsidRPr="008A1DB4">
        <w:rPr>
          <w:spacing w:val="-2"/>
          <w:lang w:val="en-US"/>
        </w:rPr>
        <w:t>)(</w:t>
      </w:r>
      <w:proofErr w:type="gramEnd"/>
      <w:r w:rsidR="00601B3D" w:rsidRPr="008A1DB4">
        <w:rPr>
          <w:spacing w:val="-2"/>
          <w:lang w:val="en-US"/>
        </w:rPr>
        <w:t xml:space="preserve">a), </w:t>
      </w:r>
      <w:r w:rsidR="00FE5E87" w:rsidRPr="008A1DB4">
        <w:rPr>
          <w:spacing w:val="-2"/>
          <w:lang w:val="en-US"/>
        </w:rPr>
        <w:t>Peru</w:t>
      </w:r>
      <w:r w:rsidR="00601B3D" w:rsidRPr="008A1DB4">
        <w:rPr>
          <w:spacing w:val="-2"/>
          <w:lang w:val="en-US"/>
        </w:rPr>
        <w:t xml:space="preserve"> </w:t>
      </w:r>
      <w:r w:rsidR="00E0188F" w:rsidRPr="008A1DB4">
        <w:rPr>
          <w:spacing w:val="-2"/>
          <w:lang w:val="en-US"/>
        </w:rPr>
        <w:t xml:space="preserve">stressed that </w:t>
      </w:r>
      <w:r w:rsidR="00C45946" w:rsidRPr="008A1DB4">
        <w:rPr>
          <w:spacing w:val="-2"/>
          <w:lang w:val="en-US"/>
        </w:rPr>
        <w:t>the representative</w:t>
      </w:r>
      <w:r w:rsidR="00054292" w:rsidRPr="008A1DB4">
        <w:rPr>
          <w:spacing w:val="-2"/>
          <w:lang w:val="en-US"/>
        </w:rPr>
        <w:t xml:space="preserve"> </w:t>
      </w:r>
      <w:r w:rsidR="00E0188F" w:rsidRPr="008A1DB4">
        <w:rPr>
          <w:spacing w:val="-2"/>
          <w:lang w:val="en-US"/>
        </w:rPr>
        <w:t>was referring to th</w:t>
      </w:r>
      <w:r w:rsidR="0056729D">
        <w:rPr>
          <w:spacing w:val="-2"/>
          <w:lang w:val="en-US"/>
        </w:rPr>
        <w:t>e violation of these provisions</w:t>
      </w:r>
      <w:r w:rsidR="00E0188F" w:rsidRPr="008A1DB4">
        <w:rPr>
          <w:spacing w:val="-2"/>
          <w:lang w:val="en-US"/>
        </w:rPr>
        <w:t xml:space="preserve"> in the sense that “the jurisdictional authorities before whom he had filed three applications for </w:t>
      </w:r>
      <w:r w:rsidR="00E022F9" w:rsidRPr="008A1DB4">
        <w:rPr>
          <w:i/>
          <w:spacing w:val="-2"/>
          <w:lang w:val="en-US"/>
        </w:rPr>
        <w:t>habeas corpus</w:t>
      </w:r>
      <w:r w:rsidR="00E0188F" w:rsidRPr="008A1DB4">
        <w:rPr>
          <w:spacing w:val="-2"/>
          <w:lang w:val="en-US"/>
        </w:rPr>
        <w:t xml:space="preserve"> had not decided them favorably,” considering that “the State does not fail to comply with its obligation to administer justice […] if this does not provide a </w:t>
      </w:r>
      <w:r w:rsidR="0056729D">
        <w:rPr>
          <w:spacing w:val="-2"/>
          <w:lang w:val="en-US"/>
        </w:rPr>
        <w:t xml:space="preserve">result that </w:t>
      </w:r>
      <w:r w:rsidR="00E0188F" w:rsidRPr="008A1DB4">
        <w:rPr>
          <w:spacing w:val="-2"/>
          <w:lang w:val="en-US"/>
        </w:rPr>
        <w:t>satisf</w:t>
      </w:r>
      <w:r w:rsidR="0056729D">
        <w:rPr>
          <w:spacing w:val="-2"/>
          <w:lang w:val="en-US"/>
        </w:rPr>
        <w:t xml:space="preserve">ies </w:t>
      </w:r>
      <w:r w:rsidR="00E0188F" w:rsidRPr="008A1DB4">
        <w:rPr>
          <w:spacing w:val="-2"/>
          <w:lang w:val="en-US"/>
        </w:rPr>
        <w:t xml:space="preserve">the petitioner’s claims.” Also, it asked the Court “to set aside the claim to […] include this in the analysis of the case, […] because [the facts described] are outside </w:t>
      </w:r>
      <w:r w:rsidR="00776D24" w:rsidRPr="008A1DB4">
        <w:rPr>
          <w:spacing w:val="-2"/>
          <w:lang w:val="en-US"/>
        </w:rPr>
        <w:t>the factual framework</w:t>
      </w:r>
      <w:r w:rsidR="00601B3D" w:rsidRPr="008A1DB4">
        <w:rPr>
          <w:spacing w:val="-2"/>
          <w:lang w:val="en-US"/>
        </w:rPr>
        <w:t xml:space="preserve"> </w:t>
      </w:r>
      <w:r w:rsidR="00E0188F" w:rsidRPr="008A1DB4">
        <w:rPr>
          <w:spacing w:val="-2"/>
          <w:lang w:val="en-US"/>
        </w:rPr>
        <w:t xml:space="preserve">of the case delimited by the [Commission], since </w:t>
      </w:r>
      <w:r w:rsidR="0056729D">
        <w:rPr>
          <w:spacing w:val="-2"/>
          <w:lang w:val="en-US"/>
        </w:rPr>
        <w:t>the latter has not questioned</w:t>
      </w:r>
      <w:r w:rsidR="00E0188F" w:rsidRPr="008A1DB4">
        <w:rPr>
          <w:spacing w:val="-2"/>
          <w:lang w:val="en-US"/>
        </w:rPr>
        <w:t xml:space="preserve"> the specific situation of the </w:t>
      </w:r>
      <w:r w:rsidR="00601B3D" w:rsidRPr="008A1DB4">
        <w:rPr>
          <w:spacing w:val="-2"/>
          <w:lang w:val="en-US"/>
        </w:rPr>
        <w:t>[</w:t>
      </w:r>
      <w:r w:rsidR="00E022F9" w:rsidRPr="008A1DB4">
        <w:rPr>
          <w:i/>
          <w:spacing w:val="-2"/>
          <w:lang w:val="en-US"/>
        </w:rPr>
        <w:t>habeas corpus</w:t>
      </w:r>
      <w:r w:rsidR="00E0188F" w:rsidRPr="008A1DB4">
        <w:rPr>
          <w:spacing w:val="-2"/>
          <w:lang w:val="en-US"/>
        </w:rPr>
        <w:t>] or other release requests</w:t>
      </w:r>
      <w:r w:rsidR="00601B3D" w:rsidRPr="008A1DB4">
        <w:rPr>
          <w:spacing w:val="-2"/>
          <w:lang w:val="en-US"/>
        </w:rPr>
        <w:t xml:space="preserve"> […] (</w:t>
      </w:r>
      <w:r w:rsidR="00E0188F" w:rsidRPr="008A1DB4">
        <w:rPr>
          <w:spacing w:val="-2"/>
          <w:lang w:val="en-US"/>
        </w:rPr>
        <w:t>other than that</w:t>
      </w:r>
      <w:r w:rsidR="00601B3D" w:rsidRPr="008A1DB4">
        <w:rPr>
          <w:spacing w:val="-2"/>
          <w:lang w:val="en-US"/>
        </w:rPr>
        <w:t xml:space="preserve"> […]</w:t>
      </w:r>
      <w:r w:rsidR="00E0188F" w:rsidRPr="008A1DB4">
        <w:rPr>
          <w:spacing w:val="-2"/>
          <w:lang w:val="en-US"/>
        </w:rPr>
        <w:t xml:space="preserve"> of</w:t>
      </w:r>
      <w:r w:rsidR="00601B3D" w:rsidRPr="008A1DB4">
        <w:rPr>
          <w:spacing w:val="-2"/>
          <w:lang w:val="en-US"/>
        </w:rPr>
        <w:t xml:space="preserve"> </w:t>
      </w:r>
      <w:r w:rsidR="00FC43E7" w:rsidRPr="008A1DB4">
        <w:rPr>
          <w:spacing w:val="-2"/>
          <w:lang w:val="en-US"/>
        </w:rPr>
        <w:t>October 18,</w:t>
      </w:r>
      <w:r w:rsidR="00601B3D" w:rsidRPr="008A1DB4">
        <w:rPr>
          <w:spacing w:val="-2"/>
          <w:lang w:val="en-US"/>
        </w:rPr>
        <w:t xml:space="preserve"> 2011</w:t>
      </w:r>
      <w:r w:rsidR="00054292" w:rsidRPr="008A1DB4">
        <w:rPr>
          <w:spacing w:val="-2"/>
          <w:lang w:val="en-US"/>
        </w:rPr>
        <w:t>)</w:t>
      </w:r>
      <w:r w:rsidR="00E0188F" w:rsidRPr="008A1DB4">
        <w:rPr>
          <w:spacing w:val="-2"/>
          <w:lang w:val="en-US"/>
        </w:rPr>
        <w:t>.</w:t>
      </w:r>
      <w:r w:rsidR="00FC43E7" w:rsidRPr="008A1DB4">
        <w:rPr>
          <w:spacing w:val="-2"/>
          <w:lang w:val="en-US"/>
        </w:rPr>
        <w:t>”</w:t>
      </w:r>
    </w:p>
    <w:p w14:paraId="44D1499B" w14:textId="77777777" w:rsidR="00601B3D" w:rsidRPr="008A1DB4" w:rsidRDefault="00601B3D" w:rsidP="00956E97">
      <w:pPr>
        <w:pStyle w:val="ListParagraph"/>
        <w:tabs>
          <w:tab w:val="left" w:pos="567"/>
        </w:tabs>
        <w:ind w:left="0"/>
        <w:contextualSpacing w:val="0"/>
        <w:rPr>
          <w:strike/>
          <w:spacing w:val="-2"/>
          <w:szCs w:val="20"/>
          <w:lang w:val="en-US"/>
        </w:rPr>
      </w:pPr>
    </w:p>
    <w:p w14:paraId="2C019BD9" w14:textId="4C6442A7" w:rsidR="00601B3D" w:rsidRPr="008A1DB4" w:rsidRDefault="00601B3D" w:rsidP="00956E97">
      <w:pPr>
        <w:pStyle w:val="Heading2"/>
        <w:rPr>
          <w:spacing w:val="-2"/>
          <w:lang w:val="en-US"/>
        </w:rPr>
      </w:pPr>
      <w:bookmarkStart w:id="1155" w:name="_Toc418074109"/>
      <w:bookmarkStart w:id="1156" w:name="_Toc418503914"/>
      <w:bookmarkStart w:id="1157" w:name="_Toc418912645"/>
      <w:bookmarkStart w:id="1158" w:name="_Toc419394442"/>
      <w:bookmarkStart w:id="1159" w:name="_Toc429490301"/>
      <w:bookmarkStart w:id="1160" w:name="_Toc429503815"/>
      <w:bookmarkStart w:id="1161" w:name="_Toc429504321"/>
      <w:bookmarkStart w:id="1162" w:name="_Toc429678034"/>
      <w:bookmarkStart w:id="1163" w:name="_Toc430017197"/>
      <w:bookmarkStart w:id="1164" w:name="_Toc430017426"/>
      <w:bookmarkStart w:id="1165" w:name="_Toc430018708"/>
      <w:bookmarkStart w:id="1166" w:name="_Toc430125306"/>
      <w:bookmarkStart w:id="1167" w:name="_Toc430125414"/>
      <w:r w:rsidRPr="008A1DB4">
        <w:rPr>
          <w:spacing w:val="-2"/>
          <w:lang w:val="en-US"/>
        </w:rPr>
        <w:t xml:space="preserve">D.2) </w:t>
      </w:r>
      <w:r w:rsidR="00A836C4" w:rsidRPr="008A1DB4">
        <w:rPr>
          <w:spacing w:val="-2"/>
          <w:lang w:val="en-US"/>
        </w:rPr>
        <w:t>Considerations</w:t>
      </w:r>
      <w:r w:rsidR="00F36400" w:rsidRPr="008A1DB4">
        <w:rPr>
          <w:spacing w:val="-2"/>
          <w:lang w:val="en-US"/>
        </w:rPr>
        <w:t xml:space="preserve"> of the Court</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54C493D2" w14:textId="77777777" w:rsidR="00601B3D" w:rsidRPr="008A1DB4" w:rsidRDefault="00601B3D" w:rsidP="00956E97">
      <w:pPr>
        <w:pStyle w:val="ListParagraph"/>
        <w:rPr>
          <w:spacing w:val="-2"/>
          <w:szCs w:val="20"/>
          <w:lang w:val="en-US"/>
        </w:rPr>
      </w:pPr>
    </w:p>
    <w:p w14:paraId="1467BDC7" w14:textId="4F20676D" w:rsidR="00601B3D" w:rsidRPr="008A1DB4" w:rsidRDefault="00FC43E7" w:rsidP="00956E97">
      <w:pPr>
        <w:pStyle w:val="PrrafodeSentencia"/>
        <w:rPr>
          <w:spacing w:val="-2"/>
          <w:lang w:val="en-US"/>
        </w:rPr>
      </w:pPr>
      <w:bookmarkStart w:id="1168" w:name="_Ref419393058"/>
      <w:r w:rsidRPr="008A1DB4">
        <w:rPr>
          <w:spacing w:val="-2"/>
          <w:lang w:val="en-US"/>
        </w:rPr>
        <w:t>First</w:t>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w:t>
      </w:r>
      <w:r w:rsidR="00E0188F" w:rsidRPr="008A1DB4">
        <w:rPr>
          <w:spacing w:val="-2"/>
          <w:lang w:val="en-US"/>
        </w:rPr>
        <w:t xml:space="preserve">notes that the applications for </w:t>
      </w:r>
      <w:r w:rsidR="00E022F9" w:rsidRPr="008A1DB4">
        <w:rPr>
          <w:i/>
          <w:spacing w:val="-2"/>
          <w:lang w:val="en-US"/>
        </w:rPr>
        <w:t>habeas corpus</w:t>
      </w:r>
      <w:r w:rsidR="00601B3D" w:rsidRPr="008A1DB4">
        <w:rPr>
          <w:spacing w:val="-2"/>
          <w:lang w:val="en-US"/>
        </w:rPr>
        <w:t xml:space="preserve"> </w:t>
      </w:r>
      <w:r w:rsidR="00E0188F" w:rsidRPr="008A1DB4">
        <w:rPr>
          <w:spacing w:val="-2"/>
          <w:lang w:val="en-US"/>
        </w:rPr>
        <w:t>filed on behalf of</w:t>
      </w:r>
      <w:r w:rsidR="00B43F84" w:rsidRPr="008A1DB4">
        <w:rPr>
          <w:spacing w:val="-2"/>
          <w:lang w:val="en-US"/>
        </w:rPr>
        <w:t xml:space="preserve"> Wong</w:t>
      </w:r>
      <w:r w:rsidR="00601B3D" w:rsidRPr="008A1DB4">
        <w:rPr>
          <w:spacing w:val="-2"/>
          <w:lang w:val="en-US"/>
        </w:rPr>
        <w:t xml:space="preserve"> Ho Wing </w:t>
      </w:r>
      <w:r w:rsidR="00E0188F" w:rsidRPr="008A1DB4">
        <w:rPr>
          <w:spacing w:val="-2"/>
          <w:lang w:val="en-US"/>
        </w:rPr>
        <w:t xml:space="preserve">do form part </w:t>
      </w:r>
      <w:r w:rsidR="00776D24" w:rsidRPr="008A1DB4">
        <w:rPr>
          <w:spacing w:val="-2"/>
          <w:lang w:val="en-US"/>
        </w:rPr>
        <w:t>of the factual framework</w:t>
      </w:r>
      <w:r w:rsidR="00601B3D" w:rsidRPr="008A1DB4">
        <w:rPr>
          <w:spacing w:val="-2"/>
          <w:lang w:val="en-US"/>
        </w:rPr>
        <w:t xml:space="preserve"> </w:t>
      </w:r>
      <w:r w:rsidR="00E0188F" w:rsidRPr="008A1DB4">
        <w:rPr>
          <w:spacing w:val="-2"/>
          <w:lang w:val="en-US"/>
        </w:rPr>
        <w:t xml:space="preserve">of this case </w:t>
      </w:r>
      <w:r w:rsidR="00B72F3A" w:rsidRPr="008A1DB4">
        <w:rPr>
          <w:spacing w:val="-2"/>
          <w:lang w:val="en-US"/>
        </w:rPr>
        <w:t>(</w:t>
      </w:r>
      <w:r w:rsidR="00B72F3A" w:rsidRPr="008A1DB4">
        <w:rPr>
          <w:i/>
          <w:spacing w:val="-2"/>
          <w:lang w:val="en-US"/>
        </w:rPr>
        <w:t>supra</w:t>
      </w:r>
      <w:r w:rsidR="00B72F3A" w:rsidRPr="008A1DB4">
        <w:rPr>
          <w:spacing w:val="-2"/>
          <w:lang w:val="en-US"/>
        </w:rPr>
        <w:t xml:space="preserve"> </w:t>
      </w:r>
      <w:r w:rsidR="00C45946" w:rsidRPr="008A1DB4">
        <w:rPr>
          <w:spacing w:val="-2"/>
          <w:lang w:val="en-US"/>
        </w:rPr>
        <w:t xml:space="preserve">para. </w:t>
      </w:r>
      <w:r w:rsidR="00B72F3A" w:rsidRPr="008A1DB4">
        <w:rPr>
          <w:spacing w:val="-2"/>
          <w:lang w:val="en-US"/>
        </w:rPr>
        <w:fldChar w:fldCharType="begin"/>
      </w:r>
      <w:r w:rsidR="00B72F3A" w:rsidRPr="008A1DB4">
        <w:rPr>
          <w:spacing w:val="-2"/>
          <w:lang w:val="en-US"/>
        </w:rPr>
        <w:instrText xml:space="preserve"> REF _Ref428977240 \r \h </w:instrText>
      </w:r>
      <w:r w:rsidR="00DC41F4" w:rsidRPr="008A1DB4">
        <w:rPr>
          <w:spacing w:val="-2"/>
          <w:lang w:val="en-US"/>
        </w:rPr>
        <w:instrText xml:space="preserve"> \* MERGEFORMAT </w:instrText>
      </w:r>
      <w:r w:rsidR="00B72F3A" w:rsidRPr="008A1DB4">
        <w:rPr>
          <w:spacing w:val="-2"/>
          <w:lang w:val="en-US"/>
        </w:rPr>
      </w:r>
      <w:r w:rsidR="00B72F3A" w:rsidRPr="008A1DB4">
        <w:rPr>
          <w:spacing w:val="-2"/>
          <w:lang w:val="en-US"/>
        </w:rPr>
        <w:fldChar w:fldCharType="separate"/>
      </w:r>
      <w:r w:rsidR="00E961FA" w:rsidRPr="008A1DB4">
        <w:rPr>
          <w:spacing w:val="-2"/>
          <w:lang w:val="en-US"/>
        </w:rPr>
        <w:t>35</w:t>
      </w:r>
      <w:r w:rsidR="00B72F3A" w:rsidRPr="008A1DB4">
        <w:rPr>
          <w:spacing w:val="-2"/>
          <w:lang w:val="en-US"/>
        </w:rPr>
        <w:fldChar w:fldCharType="end"/>
      </w:r>
      <w:r w:rsidR="00B72F3A" w:rsidRPr="008A1DB4">
        <w:rPr>
          <w:spacing w:val="-2"/>
          <w:lang w:val="en-US"/>
        </w:rPr>
        <w:t>)</w:t>
      </w:r>
      <w:r w:rsidR="00601B3D" w:rsidRPr="008A1DB4">
        <w:rPr>
          <w:spacing w:val="-2"/>
          <w:lang w:val="en-US"/>
        </w:rPr>
        <w:t xml:space="preserve">. </w:t>
      </w:r>
      <w:r w:rsidR="00E0188F" w:rsidRPr="008A1DB4">
        <w:rPr>
          <w:spacing w:val="-2"/>
          <w:lang w:val="en-US"/>
        </w:rPr>
        <w:t xml:space="preserve">In this regard, the Court reiterates that the representatives of the presumed victims may allege violations that differ from those described by </w:t>
      </w:r>
      <w:r w:rsidR="00F36400" w:rsidRPr="008A1DB4">
        <w:rPr>
          <w:spacing w:val="-2"/>
          <w:lang w:val="en-US"/>
        </w:rPr>
        <w:t>the Commission</w:t>
      </w:r>
      <w:r w:rsidR="00601B3D" w:rsidRPr="008A1DB4">
        <w:rPr>
          <w:spacing w:val="-2"/>
          <w:lang w:val="en-US"/>
        </w:rPr>
        <w:t xml:space="preserve"> </w:t>
      </w:r>
      <w:r w:rsidR="00E0188F" w:rsidRPr="008A1DB4">
        <w:rPr>
          <w:spacing w:val="-2"/>
          <w:lang w:val="en-US"/>
        </w:rPr>
        <w:t>in its</w:t>
      </w:r>
      <w:r w:rsidR="00601B3D" w:rsidRPr="008A1DB4">
        <w:rPr>
          <w:spacing w:val="-2"/>
          <w:lang w:val="en-US"/>
        </w:rPr>
        <w:t xml:space="preserve"> </w:t>
      </w:r>
      <w:r w:rsidR="00F36400" w:rsidRPr="008A1DB4">
        <w:rPr>
          <w:spacing w:val="-2"/>
          <w:lang w:val="en-US"/>
        </w:rPr>
        <w:t>Merits Report</w:t>
      </w:r>
      <w:r w:rsidR="00601B3D" w:rsidRPr="008A1DB4">
        <w:rPr>
          <w:spacing w:val="-2"/>
          <w:lang w:val="en-US"/>
        </w:rPr>
        <w:t>.</w:t>
      </w:r>
      <w:bookmarkEnd w:id="1168"/>
      <w:r w:rsidR="00601B3D" w:rsidRPr="008A1DB4">
        <w:rPr>
          <w:spacing w:val="-2"/>
          <w:lang w:val="en-US"/>
        </w:rPr>
        <w:t xml:space="preserve"> </w:t>
      </w:r>
      <w:bookmarkStart w:id="1169" w:name="_Ref375138082"/>
    </w:p>
    <w:p w14:paraId="6AE830A4" w14:textId="77777777" w:rsidR="00601B3D" w:rsidRPr="008A1DB4" w:rsidRDefault="00601B3D" w:rsidP="00956E97">
      <w:pPr>
        <w:pStyle w:val="ListParagraph"/>
        <w:tabs>
          <w:tab w:val="left" w:pos="567"/>
        </w:tabs>
        <w:ind w:left="0"/>
        <w:contextualSpacing w:val="0"/>
        <w:rPr>
          <w:spacing w:val="-2"/>
          <w:szCs w:val="20"/>
          <w:lang w:val="en-US"/>
        </w:rPr>
      </w:pPr>
    </w:p>
    <w:p w14:paraId="689EEA01" w14:textId="0AA8DD85" w:rsidR="00601B3D" w:rsidRPr="008A1DB4" w:rsidRDefault="00C00A07" w:rsidP="00C00A07">
      <w:pPr>
        <w:pStyle w:val="PrrafodeSentencia"/>
        <w:rPr>
          <w:spacing w:val="-2"/>
          <w:lang w:val="en-US"/>
        </w:rPr>
      </w:pPr>
      <w:r w:rsidRPr="008A1DB4">
        <w:rPr>
          <w:spacing w:val="-2"/>
          <w:lang w:val="en-US"/>
        </w:rPr>
        <w:t>As can be seen, with regard to the application</w:t>
      </w:r>
      <w:r w:rsidR="0056729D">
        <w:rPr>
          <w:spacing w:val="-2"/>
          <w:lang w:val="en-US"/>
        </w:rPr>
        <w:t>s</w:t>
      </w:r>
      <w:r w:rsidRPr="008A1DB4">
        <w:rPr>
          <w:spacing w:val="-2"/>
          <w:lang w:val="en-US"/>
        </w:rPr>
        <w:t xml:space="preserve"> for</w:t>
      </w:r>
      <w:r w:rsidR="00F146B3" w:rsidRPr="008A1DB4">
        <w:rPr>
          <w:spacing w:val="-2"/>
          <w:lang w:val="en-US"/>
        </w:rPr>
        <w:t xml:space="preserve"> </w:t>
      </w:r>
      <w:r w:rsidR="00E022F9" w:rsidRPr="008A1DB4">
        <w:rPr>
          <w:i/>
          <w:spacing w:val="-2"/>
          <w:lang w:val="en-US"/>
        </w:rPr>
        <w:t>habeas corpu</w:t>
      </w:r>
      <w:r w:rsidRPr="008A1DB4">
        <w:rPr>
          <w:i/>
          <w:spacing w:val="-2"/>
          <w:lang w:val="en-US"/>
        </w:rPr>
        <w:t>s,</w:t>
      </w:r>
      <w:r w:rsidR="00F146B3" w:rsidRPr="008A1DB4">
        <w:rPr>
          <w:spacing w:val="-2"/>
          <w:lang w:val="en-US"/>
        </w:rPr>
        <w:t xml:space="preserve"> </w:t>
      </w:r>
      <w:r w:rsidR="00F36400" w:rsidRPr="008A1DB4">
        <w:rPr>
          <w:spacing w:val="-2"/>
          <w:lang w:val="en-US"/>
        </w:rPr>
        <w:t>the Commission</w:t>
      </w:r>
      <w:r w:rsidR="00601B3D" w:rsidRPr="008A1DB4">
        <w:rPr>
          <w:spacing w:val="-2"/>
          <w:lang w:val="en-US"/>
        </w:rPr>
        <w:t xml:space="preserve"> a</w:t>
      </w:r>
      <w:r w:rsidRPr="008A1DB4">
        <w:rPr>
          <w:spacing w:val="-2"/>
          <w:lang w:val="en-US"/>
        </w:rPr>
        <w:t xml:space="preserve">rgued the violation </w:t>
      </w:r>
      <w:r w:rsidR="0058668C" w:rsidRPr="008A1DB4">
        <w:rPr>
          <w:spacing w:val="-2"/>
          <w:lang w:val="en-US"/>
        </w:rPr>
        <w:t xml:space="preserve">of </w:t>
      </w:r>
      <w:r w:rsidR="00851076" w:rsidRPr="008A1DB4">
        <w:rPr>
          <w:spacing w:val="-2"/>
          <w:lang w:val="en-US"/>
        </w:rPr>
        <w:t>Article 7(6)</w:t>
      </w:r>
      <w:r w:rsidRPr="008A1DB4">
        <w:rPr>
          <w:spacing w:val="-2"/>
          <w:lang w:val="en-US"/>
        </w:rPr>
        <w:t>, while</w:t>
      </w:r>
      <w:r w:rsidR="00601B3D" w:rsidRPr="008A1DB4">
        <w:rPr>
          <w:spacing w:val="-2"/>
          <w:lang w:val="en-US"/>
        </w:rPr>
        <w:t xml:space="preserve"> </w:t>
      </w:r>
      <w:r w:rsidR="00C45946" w:rsidRPr="008A1DB4">
        <w:rPr>
          <w:spacing w:val="-2"/>
          <w:lang w:val="en-US"/>
        </w:rPr>
        <w:t>the representative</w:t>
      </w:r>
      <w:r w:rsidR="00601B3D" w:rsidRPr="008A1DB4">
        <w:rPr>
          <w:spacing w:val="-2"/>
          <w:lang w:val="en-US"/>
        </w:rPr>
        <w:t xml:space="preserve"> a</w:t>
      </w:r>
      <w:r w:rsidRPr="008A1DB4">
        <w:rPr>
          <w:spacing w:val="-2"/>
          <w:lang w:val="en-US"/>
        </w:rPr>
        <w:t xml:space="preserve">lso argued the violation of </w:t>
      </w:r>
      <w:r w:rsidR="00F36400" w:rsidRPr="008A1DB4">
        <w:rPr>
          <w:spacing w:val="-2"/>
          <w:lang w:val="en-US"/>
        </w:rPr>
        <w:t>Article</w:t>
      </w:r>
      <w:r w:rsidR="00601B3D" w:rsidRPr="008A1DB4">
        <w:rPr>
          <w:spacing w:val="-2"/>
          <w:lang w:val="en-US"/>
        </w:rPr>
        <w:t>s 8</w:t>
      </w:r>
      <w:r w:rsidR="00F36400" w:rsidRPr="008A1DB4">
        <w:rPr>
          <w:spacing w:val="-2"/>
          <w:lang w:val="en-US"/>
        </w:rPr>
        <w:t xml:space="preserve"> and </w:t>
      </w:r>
      <w:r w:rsidR="00601B3D" w:rsidRPr="008A1DB4">
        <w:rPr>
          <w:spacing w:val="-2"/>
          <w:lang w:val="en-US"/>
        </w:rPr>
        <w:t>25</w:t>
      </w:r>
      <w:r w:rsidR="00F36400" w:rsidRPr="008A1DB4">
        <w:rPr>
          <w:spacing w:val="-2"/>
          <w:lang w:val="en-US"/>
        </w:rPr>
        <w:t xml:space="preserve"> of the Convention</w:t>
      </w:r>
      <w:r w:rsidR="00601B3D" w:rsidRPr="008A1DB4">
        <w:rPr>
          <w:spacing w:val="-2"/>
          <w:lang w:val="en-US"/>
        </w:rPr>
        <w:t xml:space="preserve">. </w:t>
      </w:r>
      <w:r w:rsidR="00F36400" w:rsidRPr="008A1DB4">
        <w:rPr>
          <w:spacing w:val="-2"/>
          <w:lang w:val="en-US"/>
        </w:rPr>
        <w:t>The Court</w:t>
      </w:r>
      <w:r w:rsidRPr="008A1DB4">
        <w:rPr>
          <w:spacing w:val="-2"/>
          <w:lang w:val="en-US"/>
        </w:rPr>
        <w:t xml:space="preserve"> recalls that </w:t>
      </w:r>
      <w:r w:rsidR="00F36400" w:rsidRPr="008A1DB4">
        <w:rPr>
          <w:spacing w:val="-2"/>
          <w:lang w:val="en-US"/>
        </w:rPr>
        <w:t>Article</w:t>
      </w:r>
      <w:r w:rsidR="00FC43E7" w:rsidRPr="008A1DB4">
        <w:rPr>
          <w:spacing w:val="-2"/>
          <w:lang w:val="en-US"/>
        </w:rPr>
        <w:t>s 7(</w:t>
      </w:r>
      <w:r w:rsidR="00601B3D" w:rsidRPr="008A1DB4">
        <w:rPr>
          <w:spacing w:val="-2"/>
          <w:lang w:val="en-US"/>
        </w:rPr>
        <w:t>6</w:t>
      </w:r>
      <w:r w:rsidR="00FC43E7" w:rsidRPr="008A1DB4">
        <w:rPr>
          <w:spacing w:val="-2"/>
          <w:lang w:val="en-US"/>
        </w:rPr>
        <w:t>)</w:t>
      </w:r>
      <w:r w:rsidR="00F36400" w:rsidRPr="008A1DB4">
        <w:rPr>
          <w:spacing w:val="-2"/>
          <w:lang w:val="en-US"/>
        </w:rPr>
        <w:t xml:space="preserve"> and </w:t>
      </w:r>
      <w:r w:rsidR="00601B3D" w:rsidRPr="008A1DB4">
        <w:rPr>
          <w:spacing w:val="-2"/>
          <w:lang w:val="en-US"/>
        </w:rPr>
        <w:t>25</w:t>
      </w:r>
      <w:r w:rsidR="00F36400" w:rsidRPr="008A1DB4">
        <w:rPr>
          <w:spacing w:val="-2"/>
          <w:lang w:val="en-US"/>
        </w:rPr>
        <w:t xml:space="preserve"> of the Convention</w:t>
      </w:r>
      <w:r w:rsidR="00601B3D" w:rsidRPr="008A1DB4">
        <w:rPr>
          <w:spacing w:val="-2"/>
          <w:lang w:val="en-US"/>
        </w:rPr>
        <w:t xml:space="preserve"> </w:t>
      </w:r>
      <w:r w:rsidRPr="008A1DB4">
        <w:rPr>
          <w:spacing w:val="-2"/>
          <w:lang w:val="en-US"/>
        </w:rPr>
        <w:t xml:space="preserve">refer to different spheres of protection. In this section, the Court will analyze whether the State gave </w:t>
      </w:r>
      <w:r w:rsidR="00B43F84" w:rsidRPr="008A1DB4">
        <w:rPr>
          <w:spacing w:val="-2"/>
          <w:lang w:val="en-US"/>
        </w:rPr>
        <w:t>Wong</w:t>
      </w:r>
      <w:r w:rsidR="00601B3D" w:rsidRPr="008A1DB4">
        <w:rPr>
          <w:spacing w:val="-2"/>
          <w:lang w:val="en-US"/>
        </w:rPr>
        <w:t xml:space="preserve"> Ho Wing </w:t>
      </w:r>
      <w:r w:rsidRPr="008A1DB4">
        <w:rPr>
          <w:spacing w:val="-2"/>
          <w:lang w:val="en-US"/>
        </w:rPr>
        <w:t>the possibility of appealing before a competent court “i</w:t>
      </w:r>
      <w:r w:rsidRPr="008A1DB4">
        <w:rPr>
          <w:spacing w:val="-3"/>
          <w:lang w:val="en-US"/>
        </w:rPr>
        <w:t>n order that the court may decide without delay on the lawfulness of his arrest or detention and order his release if the arrest or detention is unlawful,” in accordance with</w:t>
      </w:r>
      <w:r w:rsidRPr="008A1DB4">
        <w:rPr>
          <w:spacing w:val="-2"/>
          <w:lang w:val="en-US"/>
        </w:rPr>
        <w:t xml:space="preserve"> </w:t>
      </w:r>
      <w:r w:rsidR="00851076" w:rsidRPr="008A1DB4">
        <w:rPr>
          <w:spacing w:val="-2"/>
          <w:lang w:val="en-US"/>
        </w:rPr>
        <w:t>Article 7(6)</w:t>
      </w:r>
      <w:r w:rsidR="00F36400" w:rsidRPr="008A1DB4">
        <w:rPr>
          <w:spacing w:val="-2"/>
          <w:lang w:val="en-US"/>
        </w:rPr>
        <w:t xml:space="preserve"> of the Convention</w:t>
      </w:r>
      <w:r w:rsidR="00601B3D" w:rsidRPr="008A1DB4">
        <w:rPr>
          <w:spacing w:val="-2"/>
          <w:lang w:val="en-US"/>
        </w:rPr>
        <w:t xml:space="preserve">. </w:t>
      </w:r>
      <w:r w:rsidRPr="008A1DB4">
        <w:rPr>
          <w:rFonts w:cs="Verdana"/>
          <w:spacing w:val="-2"/>
          <w:lang w:val="en-US"/>
        </w:rPr>
        <w:t>Given that</w:t>
      </w:r>
      <w:r w:rsidR="00601B3D" w:rsidRPr="008A1DB4">
        <w:rPr>
          <w:rFonts w:cs="Verdana"/>
          <w:spacing w:val="-2"/>
          <w:lang w:val="en-US"/>
        </w:rPr>
        <w:t xml:space="preserve"> </w:t>
      </w:r>
      <w:r w:rsidR="00851076" w:rsidRPr="008A1DB4">
        <w:rPr>
          <w:rFonts w:cs="Verdana"/>
          <w:spacing w:val="-2"/>
          <w:lang w:val="en-US"/>
        </w:rPr>
        <w:t>Article 7(6)</w:t>
      </w:r>
      <w:r w:rsidR="00F36400" w:rsidRPr="008A1DB4">
        <w:rPr>
          <w:rFonts w:cs="Verdana"/>
          <w:spacing w:val="-2"/>
          <w:lang w:val="en-US"/>
        </w:rPr>
        <w:t xml:space="preserve"> of the Convention</w:t>
      </w:r>
      <w:r w:rsidR="00601B3D" w:rsidRPr="008A1DB4">
        <w:rPr>
          <w:rFonts w:cs="Verdana"/>
          <w:spacing w:val="-2"/>
          <w:lang w:val="en-US"/>
        </w:rPr>
        <w:t xml:space="preserve"> </w:t>
      </w:r>
      <w:r w:rsidRPr="008A1DB4">
        <w:rPr>
          <w:rFonts w:cs="Verdana"/>
          <w:spacing w:val="-2"/>
          <w:lang w:val="en-US"/>
        </w:rPr>
        <w:t xml:space="preserve">has its own legal content and that the principle of practical effects </w:t>
      </w:r>
      <w:r w:rsidR="00601B3D" w:rsidRPr="008A1DB4">
        <w:rPr>
          <w:rFonts w:cs="Verdana"/>
          <w:spacing w:val="-2"/>
          <w:lang w:val="en-US"/>
        </w:rPr>
        <w:t>(</w:t>
      </w:r>
      <w:proofErr w:type="spellStart"/>
      <w:r w:rsidR="00601B3D" w:rsidRPr="008A1DB4">
        <w:rPr>
          <w:rFonts w:cs="Verdana"/>
          <w:i/>
          <w:iCs/>
          <w:spacing w:val="-2"/>
          <w:lang w:val="en-US"/>
        </w:rPr>
        <w:t>effet</w:t>
      </w:r>
      <w:proofErr w:type="spellEnd"/>
      <w:r w:rsidR="00601B3D" w:rsidRPr="008A1DB4">
        <w:rPr>
          <w:rFonts w:cs="Verdana"/>
          <w:i/>
          <w:iCs/>
          <w:spacing w:val="-2"/>
          <w:lang w:val="en-US"/>
        </w:rPr>
        <w:t xml:space="preserve"> utile</w:t>
      </w:r>
      <w:r w:rsidR="00601B3D" w:rsidRPr="008A1DB4">
        <w:rPr>
          <w:rFonts w:cs="Verdana"/>
          <w:spacing w:val="-2"/>
          <w:lang w:val="en-US"/>
        </w:rPr>
        <w:t xml:space="preserve">) </w:t>
      </w:r>
      <w:r w:rsidRPr="008A1DB4">
        <w:rPr>
          <w:rFonts w:cs="Verdana"/>
          <w:spacing w:val="-2"/>
          <w:lang w:val="en-US"/>
        </w:rPr>
        <w:t xml:space="preserve">crosscuts the due protection of all the rights recognized in this instrument, the Court finds it unnecessary to examine </w:t>
      </w:r>
      <w:r w:rsidR="004257EF" w:rsidRPr="008A1DB4">
        <w:rPr>
          <w:rFonts w:cs="Verdana"/>
          <w:spacing w:val="-2"/>
          <w:lang w:val="en-US"/>
        </w:rPr>
        <w:t>the alleged violation</w:t>
      </w:r>
      <w:r w:rsidR="00601B3D" w:rsidRPr="008A1DB4">
        <w:rPr>
          <w:rFonts w:cs="Verdana"/>
          <w:spacing w:val="-2"/>
          <w:lang w:val="en-US"/>
        </w:rPr>
        <w:t xml:space="preserve"> </w:t>
      </w:r>
      <w:r w:rsidR="0058668C" w:rsidRPr="008A1DB4">
        <w:rPr>
          <w:rFonts w:cs="Verdana"/>
          <w:spacing w:val="-2"/>
          <w:lang w:val="en-US"/>
        </w:rPr>
        <w:t>of Article</w:t>
      </w:r>
      <w:r w:rsidR="00601B3D" w:rsidRPr="008A1DB4">
        <w:rPr>
          <w:rFonts w:cs="Verdana"/>
          <w:spacing w:val="-2"/>
          <w:lang w:val="en-US"/>
        </w:rPr>
        <w:t xml:space="preserve"> 25</w:t>
      </w:r>
      <w:r w:rsidR="00F36400" w:rsidRPr="008A1DB4">
        <w:rPr>
          <w:rFonts w:cs="Verdana"/>
          <w:spacing w:val="-2"/>
          <w:lang w:val="en-US"/>
        </w:rPr>
        <w:t xml:space="preserve"> of the Convention</w:t>
      </w:r>
      <w:r w:rsidR="0056729D">
        <w:rPr>
          <w:rFonts w:cs="Verdana"/>
          <w:spacing w:val="-2"/>
          <w:lang w:val="en-US"/>
        </w:rPr>
        <w:t>.</w:t>
      </w:r>
      <w:r w:rsidR="00601B3D" w:rsidRPr="008A1DB4">
        <w:rPr>
          <w:rStyle w:val="FootnoteReference"/>
          <w:rFonts w:cs="Verdana"/>
          <w:spacing w:val="-2"/>
          <w:lang w:val="en-US"/>
        </w:rPr>
        <w:footnoteReference w:id="357"/>
      </w:r>
      <w:r w:rsidR="0056729D">
        <w:rPr>
          <w:rFonts w:cs="Verdana"/>
          <w:spacing w:val="-2"/>
          <w:lang w:val="en-US"/>
        </w:rPr>
        <w:t xml:space="preserve"> </w:t>
      </w:r>
    </w:p>
    <w:p w14:paraId="33840DE4" w14:textId="77777777" w:rsidR="00601B3D" w:rsidRPr="008A1DB4" w:rsidRDefault="00601B3D" w:rsidP="00956E97">
      <w:pPr>
        <w:pStyle w:val="ListParagraph"/>
        <w:contextualSpacing w:val="0"/>
        <w:rPr>
          <w:spacing w:val="-2"/>
          <w:szCs w:val="20"/>
          <w:lang w:val="en-US"/>
        </w:rPr>
      </w:pPr>
    </w:p>
    <w:p w14:paraId="6C15C263" w14:textId="50E3DEEB" w:rsidR="00601B3D" w:rsidRPr="008A1DB4" w:rsidRDefault="00C00A07" w:rsidP="00956E97">
      <w:pPr>
        <w:pStyle w:val="PrrafodeSentencia"/>
        <w:rPr>
          <w:spacing w:val="-2"/>
          <w:lang w:val="en-US"/>
        </w:rPr>
      </w:pPr>
      <w:r w:rsidRPr="008A1DB4">
        <w:rPr>
          <w:spacing w:val="-2"/>
          <w:lang w:val="en-US"/>
        </w:rPr>
        <w:t xml:space="preserve">Furthermore, the Court has established that, under </w:t>
      </w:r>
      <w:r w:rsidR="00851076" w:rsidRPr="008A1DB4">
        <w:rPr>
          <w:spacing w:val="-2"/>
          <w:lang w:val="en-US"/>
        </w:rPr>
        <w:t>Article 7(6)</w:t>
      </w:r>
      <w:r w:rsidR="00F36400" w:rsidRPr="008A1DB4">
        <w:rPr>
          <w:spacing w:val="-2"/>
          <w:lang w:val="en-US"/>
        </w:rPr>
        <w:t xml:space="preserve"> of the Convention</w:t>
      </w:r>
      <w:r w:rsidR="00601B3D" w:rsidRPr="008A1DB4">
        <w:rPr>
          <w:spacing w:val="-2"/>
          <w:lang w:val="en-US"/>
        </w:rPr>
        <w:t xml:space="preserve">, </w:t>
      </w:r>
      <w:r w:rsidRPr="008A1DB4">
        <w:rPr>
          <w:spacing w:val="-2"/>
          <w:lang w:val="en-US"/>
        </w:rPr>
        <w:t xml:space="preserve">the authority that should decide of the lawfulness of the arrest or detention is a judge or court. Thus, the Convention is safeguarding the fact </w:t>
      </w:r>
      <w:r w:rsidR="0056729D">
        <w:rPr>
          <w:spacing w:val="-2"/>
          <w:lang w:val="en-US"/>
        </w:rPr>
        <w:t xml:space="preserve">that </w:t>
      </w:r>
      <w:r w:rsidRPr="008A1DB4">
        <w:rPr>
          <w:spacing w:val="-2"/>
          <w:lang w:val="en-US"/>
        </w:rPr>
        <w:t>control of the deprivation of liberty should be judicial.</w:t>
      </w:r>
      <w:r w:rsidR="00601B3D" w:rsidRPr="008A1DB4">
        <w:rPr>
          <w:rStyle w:val="FootnoteReference"/>
          <w:spacing w:val="-2"/>
          <w:lang w:val="en-US"/>
        </w:rPr>
        <w:footnoteReference w:id="358"/>
      </w:r>
      <w:r w:rsidR="00601B3D" w:rsidRPr="008A1DB4">
        <w:rPr>
          <w:spacing w:val="-2"/>
          <w:lang w:val="en-US"/>
        </w:rPr>
        <w:t xml:space="preserve"> </w:t>
      </w:r>
      <w:r w:rsidRPr="008A1DB4">
        <w:rPr>
          <w:spacing w:val="-2"/>
          <w:lang w:val="en-US"/>
        </w:rPr>
        <w:t xml:space="preserve">In addition, the Court has stated that it is not sufficient that remedies concerning the judicial control of detention exist formally in the law, but they must also be effective; that is, comply with the </w:t>
      </w:r>
      <w:r w:rsidR="0056729D">
        <w:rPr>
          <w:spacing w:val="-2"/>
          <w:lang w:val="en-US"/>
        </w:rPr>
        <w:t xml:space="preserve">purpose of obtaining </w:t>
      </w:r>
      <w:r w:rsidRPr="008A1DB4">
        <w:rPr>
          <w:spacing w:val="-2"/>
          <w:lang w:val="en-US"/>
        </w:rPr>
        <w:t xml:space="preserve">a </w:t>
      </w:r>
      <w:r w:rsidR="0056729D">
        <w:rPr>
          <w:spacing w:val="-2"/>
          <w:lang w:val="en-US"/>
        </w:rPr>
        <w:t xml:space="preserve">prompt </w:t>
      </w:r>
      <w:r w:rsidRPr="008A1DB4">
        <w:rPr>
          <w:spacing w:val="-2"/>
          <w:lang w:val="en-US"/>
        </w:rPr>
        <w:t>decision on the lawfulness of the arrest or detention.</w:t>
      </w:r>
      <w:r w:rsidR="00601B3D" w:rsidRPr="008A1DB4">
        <w:rPr>
          <w:rStyle w:val="FootnoteReference"/>
          <w:spacing w:val="-2"/>
          <w:lang w:val="en-US"/>
        </w:rPr>
        <w:footnoteReference w:id="359"/>
      </w:r>
      <w:r w:rsidRPr="008A1DB4">
        <w:rPr>
          <w:spacing w:val="-2"/>
          <w:lang w:val="en-US"/>
        </w:rPr>
        <w:t xml:space="preserve"> Thus, this Court </w:t>
      </w:r>
      <w:r w:rsidR="0056729D">
        <w:rPr>
          <w:spacing w:val="-2"/>
          <w:lang w:val="en-US"/>
        </w:rPr>
        <w:t>notes</w:t>
      </w:r>
      <w:r w:rsidRPr="008A1DB4">
        <w:rPr>
          <w:spacing w:val="-2"/>
          <w:lang w:val="en-US"/>
        </w:rPr>
        <w:t xml:space="preserve"> that the laws of Peru establish judicial remedies to control the lawfulness of </w:t>
      </w:r>
      <w:r w:rsidR="009F24F8" w:rsidRPr="008A1DB4">
        <w:rPr>
          <w:rFonts w:cs="Verdana"/>
          <w:spacing w:val="-2"/>
          <w:lang w:val="en-US"/>
        </w:rPr>
        <w:t>the deprivation of liberty</w:t>
      </w:r>
      <w:r w:rsidR="00601B3D" w:rsidRPr="008A1DB4">
        <w:rPr>
          <w:rFonts w:cs="Verdana"/>
          <w:spacing w:val="-2"/>
          <w:lang w:val="en-US"/>
        </w:rPr>
        <w:t xml:space="preserve">. </w:t>
      </w:r>
      <w:r w:rsidRPr="008A1DB4">
        <w:rPr>
          <w:rFonts w:cs="Verdana"/>
          <w:spacing w:val="-2"/>
          <w:lang w:val="en-US"/>
        </w:rPr>
        <w:t xml:space="preserve">Indeed, </w:t>
      </w:r>
      <w:r w:rsidR="00467AFC" w:rsidRPr="008A1DB4">
        <w:rPr>
          <w:rFonts w:cs="Verdana"/>
          <w:spacing w:val="-2"/>
          <w:lang w:val="en-US"/>
        </w:rPr>
        <w:t>in this case</w:t>
      </w:r>
      <w:r w:rsidR="00601B3D" w:rsidRPr="008A1DB4">
        <w:rPr>
          <w:rFonts w:cs="Verdana"/>
          <w:spacing w:val="-2"/>
          <w:lang w:val="en-US"/>
        </w:rPr>
        <w:t xml:space="preserve">, </w:t>
      </w:r>
      <w:r w:rsidR="00C45946" w:rsidRPr="008A1DB4">
        <w:rPr>
          <w:rFonts w:cs="Verdana"/>
          <w:spacing w:val="-2"/>
          <w:lang w:val="en-US"/>
        </w:rPr>
        <w:t>the representative</w:t>
      </w:r>
      <w:r w:rsidR="00601B3D" w:rsidRPr="008A1DB4">
        <w:rPr>
          <w:rFonts w:cs="Verdana"/>
          <w:spacing w:val="-2"/>
          <w:lang w:val="en-US"/>
        </w:rPr>
        <w:t xml:space="preserve"> </w:t>
      </w:r>
      <w:r w:rsidRPr="008A1DB4">
        <w:rPr>
          <w:rFonts w:cs="Verdana"/>
          <w:spacing w:val="-2"/>
          <w:lang w:val="en-US"/>
        </w:rPr>
        <w:t xml:space="preserve">filed four release requests and one request for a change in </w:t>
      </w:r>
      <w:r w:rsidR="004257EF" w:rsidRPr="008A1DB4">
        <w:rPr>
          <w:rFonts w:cs="Verdana"/>
          <w:spacing w:val="-2"/>
          <w:lang w:val="en-US"/>
        </w:rPr>
        <w:t xml:space="preserve">the provisional </w:t>
      </w:r>
      <w:r w:rsidRPr="008A1DB4">
        <w:rPr>
          <w:rFonts w:cs="Verdana"/>
          <w:spacing w:val="-2"/>
          <w:lang w:val="en-US"/>
        </w:rPr>
        <w:t>detention</w:t>
      </w:r>
      <w:r w:rsidR="00601B3D" w:rsidRPr="008A1DB4">
        <w:rPr>
          <w:rFonts w:cs="Verdana"/>
          <w:spacing w:val="-2"/>
          <w:lang w:val="en-US"/>
        </w:rPr>
        <w:t xml:space="preserve">. </w:t>
      </w:r>
      <w:r w:rsidRPr="008A1DB4">
        <w:rPr>
          <w:rFonts w:cs="Verdana"/>
          <w:spacing w:val="-2"/>
          <w:lang w:val="en-US"/>
        </w:rPr>
        <w:t xml:space="preserve">He also filed six </w:t>
      </w:r>
      <w:r w:rsidR="0079515C" w:rsidRPr="008A1DB4">
        <w:rPr>
          <w:rFonts w:cs="Verdana"/>
          <w:spacing w:val="-2"/>
          <w:lang w:val="en-US"/>
        </w:rPr>
        <w:t>applications</w:t>
      </w:r>
      <w:r w:rsidRPr="008A1DB4">
        <w:rPr>
          <w:rFonts w:cs="Verdana"/>
          <w:spacing w:val="-2"/>
          <w:lang w:val="en-US"/>
        </w:rPr>
        <w:t xml:space="preserve"> for </w:t>
      </w:r>
      <w:r w:rsidR="00E022F9" w:rsidRPr="008A1DB4">
        <w:rPr>
          <w:rFonts w:cs="Verdana"/>
          <w:i/>
          <w:spacing w:val="-2"/>
          <w:lang w:val="en-US"/>
        </w:rPr>
        <w:t>habeas corpus</w:t>
      </w:r>
      <w:r w:rsidR="00601B3D" w:rsidRPr="008A1DB4">
        <w:rPr>
          <w:rFonts w:cs="Verdana"/>
          <w:spacing w:val="-2"/>
          <w:lang w:val="en-US"/>
        </w:rPr>
        <w:t>.</w:t>
      </w:r>
      <w:r w:rsidR="00601B3D" w:rsidRPr="008A1DB4">
        <w:rPr>
          <w:spacing w:val="-2"/>
          <w:lang w:val="en-US"/>
        </w:rPr>
        <w:t xml:space="preserve"> </w:t>
      </w:r>
      <w:r w:rsidRPr="008A1DB4">
        <w:rPr>
          <w:rFonts w:cs="Verdana"/>
          <w:spacing w:val="-2"/>
          <w:lang w:val="en-US"/>
        </w:rPr>
        <w:t xml:space="preserve">Not all of them have been decided in favor of his claims and only one of them resulted in effective control of </w:t>
      </w:r>
      <w:r w:rsidR="009F24F8" w:rsidRPr="008A1DB4">
        <w:rPr>
          <w:rFonts w:cs="Verdana"/>
          <w:spacing w:val="-2"/>
          <w:lang w:val="en-US"/>
        </w:rPr>
        <w:t>the deprivation of liberty</w:t>
      </w:r>
      <w:r w:rsidRPr="008A1DB4">
        <w:rPr>
          <w:rFonts w:cs="Verdana"/>
          <w:spacing w:val="-2"/>
          <w:lang w:val="en-US"/>
        </w:rPr>
        <w:t xml:space="preserve"> (i</w:t>
      </w:r>
      <w:r w:rsidR="00601B3D" w:rsidRPr="008A1DB4">
        <w:rPr>
          <w:rFonts w:cs="Verdana"/>
          <w:spacing w:val="-2"/>
          <w:lang w:val="en-US"/>
        </w:rPr>
        <w:t>n 2014</w:t>
      </w:r>
      <w:r w:rsidRPr="008A1DB4">
        <w:rPr>
          <w:rFonts w:cs="Verdana"/>
          <w:spacing w:val="-2"/>
          <w:lang w:val="en-US"/>
        </w:rPr>
        <w:t xml:space="preserve">, when the detention method was changed to house arrest owing to the time that had elapsed). However, this does not mean that </w:t>
      </w:r>
      <w:r w:rsidRPr="008A1DB4">
        <w:rPr>
          <w:rFonts w:cs="Verdana"/>
          <w:spacing w:val="-2"/>
          <w:lang w:val="en-US"/>
        </w:rPr>
        <w:lastRenderedPageBreak/>
        <w:t>the remedies filed were ineffective. To determine this, the Court must examine the arguments and the processing of each of these remedies</w:t>
      </w:r>
      <w:r w:rsidR="00601B3D" w:rsidRPr="008A1DB4">
        <w:rPr>
          <w:rFonts w:cs="Verdana"/>
          <w:spacing w:val="-2"/>
          <w:lang w:val="en-US"/>
        </w:rPr>
        <w:t xml:space="preserve">. </w:t>
      </w:r>
    </w:p>
    <w:p w14:paraId="19CF32A6" w14:textId="77777777" w:rsidR="00601B3D" w:rsidRPr="008A1DB4" w:rsidRDefault="00601B3D" w:rsidP="00956E97">
      <w:pPr>
        <w:pStyle w:val="ListParagraph"/>
        <w:tabs>
          <w:tab w:val="left" w:pos="567"/>
        </w:tabs>
        <w:ind w:left="0"/>
        <w:contextualSpacing w:val="0"/>
        <w:rPr>
          <w:spacing w:val="-2"/>
          <w:szCs w:val="20"/>
          <w:lang w:val="en-US"/>
        </w:rPr>
      </w:pPr>
    </w:p>
    <w:p w14:paraId="3CD6C653" w14:textId="5D659FA2" w:rsidR="00601B3D" w:rsidRPr="008A1DB4" w:rsidRDefault="00C00A07" w:rsidP="00956E97">
      <w:pPr>
        <w:pStyle w:val="PrrafodeSentencia"/>
        <w:rPr>
          <w:spacing w:val="-2"/>
          <w:lang w:val="en-US"/>
        </w:rPr>
      </w:pPr>
      <w:r w:rsidRPr="008A1DB4">
        <w:rPr>
          <w:spacing w:val="-2"/>
          <w:lang w:val="en-US"/>
        </w:rPr>
        <w:t>The</w:t>
      </w:r>
      <w:r w:rsidR="00601B3D" w:rsidRPr="008A1DB4">
        <w:rPr>
          <w:spacing w:val="-2"/>
          <w:lang w:val="en-US"/>
        </w:rPr>
        <w:t xml:space="preserve"> </w:t>
      </w:r>
      <w:r w:rsidR="0058668C" w:rsidRPr="008A1DB4">
        <w:rPr>
          <w:spacing w:val="-2"/>
          <w:lang w:val="en-US"/>
        </w:rPr>
        <w:t>arguments</w:t>
      </w:r>
      <w:r w:rsidR="00C45946" w:rsidRPr="008A1DB4">
        <w:rPr>
          <w:spacing w:val="-2"/>
          <w:lang w:val="en-US"/>
        </w:rPr>
        <w:t xml:space="preserve"> of the </w:t>
      </w:r>
      <w:r w:rsidR="00F36400" w:rsidRPr="008A1DB4">
        <w:rPr>
          <w:spacing w:val="-2"/>
          <w:lang w:val="en-US"/>
        </w:rPr>
        <w:t xml:space="preserve">Commission and </w:t>
      </w:r>
      <w:r w:rsidR="00C45946" w:rsidRPr="008A1DB4">
        <w:rPr>
          <w:spacing w:val="-2"/>
          <w:lang w:val="en-US"/>
        </w:rPr>
        <w:t>the representative</w:t>
      </w:r>
      <w:r w:rsidRPr="008A1DB4">
        <w:rPr>
          <w:spacing w:val="-2"/>
          <w:lang w:val="en-US"/>
        </w:rPr>
        <w:t xml:space="preserve"> include specific allegations about the release requests of </w:t>
      </w:r>
      <w:r w:rsidR="00FC43E7" w:rsidRPr="008A1DB4">
        <w:rPr>
          <w:spacing w:val="-2"/>
          <w:lang w:val="en-US"/>
        </w:rPr>
        <w:t xml:space="preserve">October </w:t>
      </w:r>
      <w:r w:rsidRPr="008A1DB4">
        <w:rPr>
          <w:spacing w:val="-2"/>
          <w:lang w:val="en-US"/>
        </w:rPr>
        <w:t xml:space="preserve">5 and </w:t>
      </w:r>
      <w:r w:rsidR="00FC43E7" w:rsidRPr="008A1DB4">
        <w:rPr>
          <w:spacing w:val="-2"/>
          <w:lang w:val="en-US"/>
        </w:rPr>
        <w:t>18,</w:t>
      </w:r>
      <w:r w:rsidR="00601B3D" w:rsidRPr="008A1DB4">
        <w:rPr>
          <w:spacing w:val="-2"/>
          <w:lang w:val="en-US"/>
        </w:rPr>
        <w:t xml:space="preserve"> 2011</w:t>
      </w:r>
      <w:r w:rsidR="0071795C" w:rsidRPr="008A1DB4">
        <w:rPr>
          <w:spacing w:val="-2"/>
          <w:lang w:val="en-US"/>
        </w:rPr>
        <w:t xml:space="preserve"> (</w:t>
      </w:r>
      <w:r w:rsidR="0071795C" w:rsidRPr="008A1DB4">
        <w:rPr>
          <w:i/>
          <w:spacing w:val="-2"/>
          <w:lang w:val="en-US"/>
        </w:rPr>
        <w:t>supra</w:t>
      </w:r>
      <w:r w:rsidR="0071795C" w:rsidRPr="008A1DB4">
        <w:rPr>
          <w:spacing w:val="-2"/>
          <w:lang w:val="en-US"/>
        </w:rPr>
        <w:t xml:space="preserve"> </w:t>
      </w:r>
      <w:r w:rsidR="00C45946" w:rsidRPr="008A1DB4">
        <w:rPr>
          <w:spacing w:val="-2"/>
          <w:lang w:val="en-US"/>
        </w:rPr>
        <w:t xml:space="preserve">para. </w:t>
      </w:r>
      <w:r w:rsidR="0071795C" w:rsidRPr="008A1DB4">
        <w:rPr>
          <w:spacing w:val="-2"/>
          <w:lang w:val="en-US"/>
        </w:rPr>
        <w:fldChar w:fldCharType="begin"/>
      </w:r>
      <w:r w:rsidR="0071795C" w:rsidRPr="008A1DB4">
        <w:rPr>
          <w:spacing w:val="-2"/>
          <w:lang w:val="en-US"/>
        </w:rPr>
        <w:instrText xml:space="preserve"> REF _Ref429065839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104</w:t>
      </w:r>
      <w:r w:rsidR="0071795C" w:rsidRPr="008A1DB4">
        <w:rPr>
          <w:spacing w:val="-2"/>
          <w:lang w:val="en-US"/>
        </w:rPr>
        <w:fldChar w:fldCharType="end"/>
      </w:r>
      <w:r w:rsidR="0071795C" w:rsidRPr="008A1DB4">
        <w:rPr>
          <w:spacing w:val="-2"/>
          <w:lang w:val="en-US"/>
        </w:rPr>
        <w:t>)</w:t>
      </w:r>
      <w:r w:rsidR="00601B3D" w:rsidRPr="008A1DB4">
        <w:rPr>
          <w:spacing w:val="-2"/>
          <w:lang w:val="en-US"/>
        </w:rPr>
        <w:t>, as</w:t>
      </w:r>
      <w:r w:rsidRPr="008A1DB4">
        <w:rPr>
          <w:spacing w:val="-2"/>
          <w:lang w:val="en-US"/>
        </w:rPr>
        <w:t xml:space="preserve"> well as about the applications for </w:t>
      </w:r>
      <w:r w:rsidR="00E022F9" w:rsidRPr="008A1DB4">
        <w:rPr>
          <w:i/>
          <w:spacing w:val="-2"/>
          <w:lang w:val="en-US"/>
        </w:rPr>
        <w:t>habeas corpus</w:t>
      </w:r>
      <w:r w:rsidR="00FC43E7" w:rsidRPr="008A1DB4">
        <w:rPr>
          <w:spacing w:val="-2"/>
          <w:lang w:val="en-US"/>
        </w:rPr>
        <w:t xml:space="preserve"> </w:t>
      </w:r>
      <w:r w:rsidRPr="008A1DB4">
        <w:rPr>
          <w:spacing w:val="-2"/>
          <w:lang w:val="en-US"/>
        </w:rPr>
        <w:t>filed</w:t>
      </w:r>
      <w:r w:rsidR="00FC43E7" w:rsidRPr="008A1DB4">
        <w:rPr>
          <w:spacing w:val="-2"/>
          <w:lang w:val="en-US"/>
        </w:rPr>
        <w:t xml:space="preserve"> on</w:t>
      </w:r>
      <w:r w:rsidR="00601B3D" w:rsidRPr="008A1DB4">
        <w:rPr>
          <w:spacing w:val="-2"/>
          <w:lang w:val="en-US"/>
        </w:rPr>
        <w:t xml:space="preserve"> </w:t>
      </w:r>
      <w:r w:rsidR="00631F9C" w:rsidRPr="008A1DB4">
        <w:rPr>
          <w:spacing w:val="-2"/>
          <w:lang w:val="en-US"/>
        </w:rPr>
        <w:t>February 9,</w:t>
      </w:r>
      <w:r w:rsidR="00FC43E7" w:rsidRPr="008A1DB4">
        <w:rPr>
          <w:spacing w:val="-2"/>
          <w:lang w:val="en-US"/>
        </w:rPr>
        <w:t xml:space="preserve"> 2010, </w:t>
      </w:r>
      <w:r w:rsidR="00A3310A" w:rsidRPr="008A1DB4">
        <w:rPr>
          <w:spacing w:val="-2"/>
          <w:lang w:val="en-US"/>
        </w:rPr>
        <w:t xml:space="preserve">November </w:t>
      </w:r>
      <w:r w:rsidR="00FC43E7" w:rsidRPr="008A1DB4">
        <w:rPr>
          <w:spacing w:val="-2"/>
          <w:lang w:val="en-US"/>
        </w:rPr>
        <w:t>1</w:t>
      </w:r>
      <w:r w:rsidR="00A3310A" w:rsidRPr="008A1DB4">
        <w:rPr>
          <w:spacing w:val="-2"/>
          <w:lang w:val="en-US"/>
        </w:rPr>
        <w:t>6,</w:t>
      </w:r>
      <w:r w:rsidR="00FC43E7" w:rsidRPr="008A1DB4">
        <w:rPr>
          <w:spacing w:val="-2"/>
          <w:lang w:val="en-US"/>
        </w:rPr>
        <w:t xml:space="preserve"> 2011, </w:t>
      </w:r>
      <w:r w:rsidR="00D72E3B" w:rsidRPr="008A1DB4">
        <w:rPr>
          <w:spacing w:val="-2"/>
          <w:lang w:val="en-US"/>
        </w:rPr>
        <w:t>March 13,</w:t>
      </w:r>
      <w:r w:rsidR="00601B3D" w:rsidRPr="008A1DB4">
        <w:rPr>
          <w:spacing w:val="-2"/>
          <w:lang w:val="en-US"/>
        </w:rPr>
        <w:t xml:space="preserve"> 2012</w:t>
      </w:r>
      <w:r w:rsidRPr="008A1DB4">
        <w:rPr>
          <w:spacing w:val="-2"/>
          <w:lang w:val="en-US"/>
        </w:rPr>
        <w:t>,</w:t>
      </w:r>
      <w:r w:rsidR="00FC43E7" w:rsidRPr="008A1DB4">
        <w:rPr>
          <w:spacing w:val="-2"/>
          <w:lang w:val="en-US"/>
        </w:rPr>
        <w:t xml:space="preserve"> and</w:t>
      </w:r>
      <w:r w:rsidR="00601B3D" w:rsidRPr="008A1DB4">
        <w:rPr>
          <w:spacing w:val="-2"/>
          <w:lang w:val="en-US"/>
        </w:rPr>
        <w:t xml:space="preserve"> </w:t>
      </w:r>
      <w:r w:rsidR="00D72E3B" w:rsidRPr="008A1DB4">
        <w:rPr>
          <w:spacing w:val="-2"/>
          <w:lang w:val="en-US"/>
        </w:rPr>
        <w:t>April 26,</w:t>
      </w:r>
      <w:r w:rsidR="00601B3D" w:rsidRPr="008A1DB4">
        <w:rPr>
          <w:spacing w:val="-2"/>
          <w:lang w:val="en-US"/>
        </w:rPr>
        <w:t xml:space="preserve"> 2013</w:t>
      </w:r>
      <w:r w:rsidR="0071795C" w:rsidRPr="008A1DB4">
        <w:rPr>
          <w:spacing w:val="-2"/>
          <w:lang w:val="en-US"/>
        </w:rPr>
        <w:t xml:space="preserve"> (</w:t>
      </w:r>
      <w:r w:rsidR="0071795C" w:rsidRPr="008A1DB4">
        <w:rPr>
          <w:i/>
          <w:spacing w:val="-2"/>
          <w:lang w:val="en-US"/>
        </w:rPr>
        <w:t>supra</w:t>
      </w:r>
      <w:r w:rsidR="0071795C" w:rsidRPr="008A1DB4">
        <w:rPr>
          <w:spacing w:val="-2"/>
          <w:lang w:val="en-US"/>
        </w:rPr>
        <w:t xml:space="preserve"> </w:t>
      </w:r>
      <w:r w:rsidR="00631F9C" w:rsidRPr="008A1DB4">
        <w:rPr>
          <w:spacing w:val="-2"/>
          <w:lang w:val="en-US"/>
        </w:rPr>
        <w:t>paras.</w:t>
      </w:r>
      <w:r w:rsidR="0071795C" w:rsidRPr="008A1DB4">
        <w:rPr>
          <w:spacing w:val="-2"/>
          <w:lang w:val="en-US"/>
        </w:rPr>
        <w:t xml:space="preserve"> </w:t>
      </w:r>
      <w:r w:rsidR="0071795C" w:rsidRPr="008A1DB4">
        <w:rPr>
          <w:spacing w:val="-2"/>
          <w:lang w:val="en-US"/>
        </w:rPr>
        <w:fldChar w:fldCharType="begin"/>
      </w:r>
      <w:r w:rsidR="0071795C" w:rsidRPr="008A1DB4">
        <w:rPr>
          <w:spacing w:val="-2"/>
          <w:lang w:val="en-US"/>
        </w:rPr>
        <w:instrText xml:space="preserve"> REF _Ref418911268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79</w:t>
      </w:r>
      <w:r w:rsidR="0071795C" w:rsidRPr="008A1DB4">
        <w:rPr>
          <w:spacing w:val="-2"/>
          <w:lang w:val="en-US"/>
        </w:rPr>
        <w:fldChar w:fldCharType="end"/>
      </w:r>
      <w:r w:rsidR="0071795C" w:rsidRPr="008A1DB4">
        <w:rPr>
          <w:spacing w:val="-2"/>
          <w:lang w:val="en-US"/>
        </w:rPr>
        <w:t xml:space="preserve">, </w:t>
      </w:r>
      <w:r w:rsidR="0071795C" w:rsidRPr="008A1DB4">
        <w:rPr>
          <w:spacing w:val="-2"/>
          <w:lang w:val="en-US"/>
        </w:rPr>
        <w:fldChar w:fldCharType="begin"/>
      </w:r>
      <w:r w:rsidR="0071795C" w:rsidRPr="008A1DB4">
        <w:rPr>
          <w:spacing w:val="-2"/>
          <w:lang w:val="en-US"/>
        </w:rPr>
        <w:instrText xml:space="preserve"> REF _Ref429065898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88</w:t>
      </w:r>
      <w:r w:rsidR="0071795C" w:rsidRPr="008A1DB4">
        <w:rPr>
          <w:spacing w:val="-2"/>
          <w:lang w:val="en-US"/>
        </w:rPr>
        <w:fldChar w:fldCharType="end"/>
      </w:r>
      <w:r w:rsidR="0071795C" w:rsidRPr="008A1DB4">
        <w:rPr>
          <w:spacing w:val="-2"/>
          <w:lang w:val="en-US"/>
        </w:rPr>
        <w:t xml:space="preserve">, </w:t>
      </w:r>
      <w:r w:rsidR="0071795C" w:rsidRPr="008A1DB4">
        <w:rPr>
          <w:spacing w:val="-2"/>
          <w:lang w:val="en-US"/>
        </w:rPr>
        <w:fldChar w:fldCharType="begin"/>
      </w:r>
      <w:r w:rsidR="0071795C" w:rsidRPr="008A1DB4">
        <w:rPr>
          <w:spacing w:val="-2"/>
          <w:lang w:val="en-US"/>
        </w:rPr>
        <w:instrText xml:space="preserve"> REF _Ref429065874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108</w:t>
      </w:r>
      <w:r w:rsidR="0071795C" w:rsidRPr="008A1DB4">
        <w:rPr>
          <w:spacing w:val="-2"/>
          <w:lang w:val="en-US"/>
        </w:rPr>
        <w:fldChar w:fldCharType="end"/>
      </w:r>
      <w:r w:rsidR="00F36400" w:rsidRPr="008A1DB4">
        <w:rPr>
          <w:spacing w:val="-2"/>
          <w:lang w:val="en-US"/>
        </w:rPr>
        <w:t xml:space="preserve"> and </w:t>
      </w:r>
      <w:r w:rsidR="0071795C" w:rsidRPr="008A1DB4">
        <w:rPr>
          <w:spacing w:val="-2"/>
          <w:lang w:val="en-US"/>
        </w:rPr>
        <w:fldChar w:fldCharType="begin"/>
      </w:r>
      <w:r w:rsidR="0071795C" w:rsidRPr="008A1DB4">
        <w:rPr>
          <w:spacing w:val="-2"/>
          <w:lang w:val="en-US"/>
        </w:rPr>
        <w:instrText xml:space="preserve"> REF _Ref429065925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109</w:t>
      </w:r>
      <w:r w:rsidR="0071795C" w:rsidRPr="008A1DB4">
        <w:rPr>
          <w:spacing w:val="-2"/>
          <w:lang w:val="en-US"/>
        </w:rPr>
        <w:fldChar w:fldCharType="end"/>
      </w:r>
      <w:r w:rsidR="0071795C" w:rsidRPr="008A1DB4">
        <w:rPr>
          <w:spacing w:val="-2"/>
          <w:lang w:val="en-US"/>
        </w:rPr>
        <w:t>)</w:t>
      </w:r>
      <w:r w:rsidR="00601B3D" w:rsidRPr="008A1DB4">
        <w:rPr>
          <w:spacing w:val="-2"/>
          <w:lang w:val="en-US"/>
        </w:rPr>
        <w:t xml:space="preserve">. </w:t>
      </w:r>
      <w:r w:rsidR="00F36400" w:rsidRPr="008A1DB4">
        <w:rPr>
          <w:spacing w:val="-2"/>
          <w:lang w:val="en-US"/>
        </w:rPr>
        <w:t>The Court</w:t>
      </w:r>
      <w:r w:rsidR="00601B3D" w:rsidRPr="008A1DB4">
        <w:rPr>
          <w:spacing w:val="-2"/>
          <w:lang w:val="en-US"/>
        </w:rPr>
        <w:t xml:space="preserve"> </w:t>
      </w:r>
      <w:r w:rsidRPr="008A1DB4">
        <w:rPr>
          <w:spacing w:val="-2"/>
          <w:lang w:val="en-US"/>
        </w:rPr>
        <w:t>will now examine the effectiveness of each of these reque</w:t>
      </w:r>
      <w:r w:rsidR="0079515C">
        <w:rPr>
          <w:spacing w:val="-2"/>
          <w:lang w:val="en-US"/>
        </w:rPr>
        <w:t>s</w:t>
      </w:r>
      <w:r w:rsidRPr="008A1DB4">
        <w:rPr>
          <w:spacing w:val="-2"/>
          <w:lang w:val="en-US"/>
        </w:rPr>
        <w:t xml:space="preserve">ts and remedies. It will not examine the first two applications for </w:t>
      </w:r>
      <w:r w:rsidR="00E022F9" w:rsidRPr="008A1DB4">
        <w:rPr>
          <w:i/>
          <w:spacing w:val="-2"/>
          <w:lang w:val="en-US"/>
        </w:rPr>
        <w:t>habeas corpus</w:t>
      </w:r>
      <w:r w:rsidRPr="008A1DB4">
        <w:rPr>
          <w:spacing w:val="-2"/>
          <w:lang w:val="en-US"/>
        </w:rPr>
        <w:t xml:space="preserve"> that were filed, or the other </w:t>
      </w:r>
      <w:r w:rsidR="00947926" w:rsidRPr="008A1DB4">
        <w:rPr>
          <w:spacing w:val="-2"/>
          <w:lang w:val="en-US"/>
        </w:rPr>
        <w:t>release</w:t>
      </w:r>
      <w:r w:rsidRPr="008A1DB4">
        <w:rPr>
          <w:spacing w:val="-2"/>
          <w:lang w:val="en-US"/>
        </w:rPr>
        <w:t xml:space="preserve"> requests the effectiveness of which has not been questioned.</w:t>
      </w:r>
    </w:p>
    <w:p w14:paraId="16832496" w14:textId="77777777" w:rsidR="00601B3D" w:rsidRPr="008A1DB4" w:rsidRDefault="00601B3D" w:rsidP="00956E97">
      <w:pPr>
        <w:pStyle w:val="ListParagraph"/>
        <w:ind w:left="644"/>
        <w:contextualSpacing w:val="0"/>
        <w:rPr>
          <w:spacing w:val="-2"/>
          <w:szCs w:val="20"/>
          <w:lang w:val="en-US"/>
        </w:rPr>
      </w:pPr>
    </w:p>
    <w:p w14:paraId="401F5E71" w14:textId="43EC09E5" w:rsidR="00601B3D" w:rsidRPr="008A1DB4" w:rsidRDefault="00601B3D" w:rsidP="00956E97">
      <w:pPr>
        <w:pStyle w:val="Heading3"/>
        <w:rPr>
          <w:rFonts w:cs="Verdana"/>
          <w:spacing w:val="-2"/>
          <w:lang w:val="en-US"/>
        </w:rPr>
      </w:pPr>
      <w:bookmarkStart w:id="1170" w:name="_Toc419394443"/>
      <w:bookmarkStart w:id="1171" w:name="_Toc429490302"/>
      <w:bookmarkStart w:id="1172" w:name="_Toc429503816"/>
      <w:bookmarkStart w:id="1173" w:name="_Toc429504322"/>
      <w:bookmarkStart w:id="1174" w:name="_Toc429678035"/>
      <w:bookmarkStart w:id="1175" w:name="_Toc430017198"/>
      <w:bookmarkStart w:id="1176" w:name="_Toc430017427"/>
      <w:bookmarkStart w:id="1177" w:name="_Toc430018709"/>
      <w:bookmarkStart w:id="1178" w:name="_Toc430125307"/>
      <w:bookmarkStart w:id="1179" w:name="_Toc430125415"/>
      <w:r w:rsidRPr="008A1DB4">
        <w:rPr>
          <w:spacing w:val="-2"/>
          <w:lang w:val="en-US"/>
        </w:rPr>
        <w:t xml:space="preserve">D.2.a) </w:t>
      </w:r>
      <w:r w:rsidR="00FC43E7" w:rsidRPr="008A1DB4">
        <w:rPr>
          <w:i/>
          <w:spacing w:val="-2"/>
          <w:lang w:val="en-US"/>
        </w:rPr>
        <w:t>Habeas corpus</w:t>
      </w:r>
      <w:r w:rsidR="00FC43E7" w:rsidRPr="008A1DB4">
        <w:rPr>
          <w:spacing w:val="-2"/>
          <w:lang w:val="en-US"/>
        </w:rPr>
        <w:t xml:space="preserve"> of</w:t>
      </w:r>
      <w:r w:rsidRPr="008A1DB4">
        <w:rPr>
          <w:spacing w:val="-2"/>
          <w:lang w:val="en-US"/>
        </w:rPr>
        <w:t xml:space="preserve"> </w:t>
      </w:r>
      <w:r w:rsidR="00631F9C" w:rsidRPr="008A1DB4">
        <w:rPr>
          <w:rFonts w:cs="Verdana"/>
          <w:spacing w:val="-2"/>
          <w:lang w:val="en-US"/>
        </w:rPr>
        <w:t>February 9,</w:t>
      </w:r>
      <w:r w:rsidRPr="008A1DB4">
        <w:rPr>
          <w:rFonts w:cs="Verdana"/>
          <w:spacing w:val="-2"/>
          <w:lang w:val="en-US"/>
        </w:rPr>
        <w:t xml:space="preserve"> 2010</w:t>
      </w:r>
      <w:bookmarkEnd w:id="1170"/>
      <w:bookmarkEnd w:id="1171"/>
      <w:bookmarkEnd w:id="1172"/>
      <w:bookmarkEnd w:id="1173"/>
      <w:bookmarkEnd w:id="1174"/>
      <w:bookmarkEnd w:id="1175"/>
      <w:bookmarkEnd w:id="1176"/>
      <w:bookmarkEnd w:id="1177"/>
      <w:bookmarkEnd w:id="1178"/>
      <w:bookmarkEnd w:id="1179"/>
    </w:p>
    <w:p w14:paraId="0E76E7A0" w14:textId="77777777" w:rsidR="00601B3D" w:rsidRPr="008A1DB4" w:rsidRDefault="00601B3D" w:rsidP="00956E97">
      <w:pPr>
        <w:pStyle w:val="ListParagraph"/>
        <w:ind w:left="644"/>
        <w:rPr>
          <w:spacing w:val="-2"/>
          <w:szCs w:val="20"/>
          <w:u w:val="single"/>
          <w:lang w:val="en-US"/>
        </w:rPr>
      </w:pPr>
    </w:p>
    <w:p w14:paraId="02A09F0C" w14:textId="374EE7E0" w:rsidR="00601B3D" w:rsidRPr="008A1DB4" w:rsidRDefault="00F36400" w:rsidP="00956E97">
      <w:pPr>
        <w:pStyle w:val="PrrafodeSentencia"/>
        <w:rPr>
          <w:spacing w:val="-2"/>
          <w:lang w:val="en-US"/>
        </w:rPr>
      </w:pPr>
      <w:r w:rsidRPr="008A1DB4">
        <w:rPr>
          <w:spacing w:val="-2"/>
          <w:lang w:val="en-US"/>
        </w:rPr>
        <w:t>The Court</w:t>
      </w:r>
      <w:r w:rsidR="00601B3D" w:rsidRPr="008A1DB4">
        <w:rPr>
          <w:spacing w:val="-2"/>
          <w:lang w:val="en-US"/>
        </w:rPr>
        <w:t xml:space="preserve"> </w:t>
      </w:r>
      <w:r w:rsidR="00915186" w:rsidRPr="008A1DB4">
        <w:rPr>
          <w:spacing w:val="-2"/>
          <w:lang w:val="en-US"/>
        </w:rPr>
        <w:t xml:space="preserve">notes that the application of </w:t>
      </w:r>
      <w:r w:rsidR="00631F9C" w:rsidRPr="008A1DB4">
        <w:rPr>
          <w:spacing w:val="-2"/>
          <w:lang w:val="en-US"/>
        </w:rPr>
        <w:t>February 9,</w:t>
      </w:r>
      <w:r w:rsidR="0071795C" w:rsidRPr="008A1DB4">
        <w:rPr>
          <w:spacing w:val="-2"/>
          <w:lang w:val="en-US"/>
        </w:rPr>
        <w:t xml:space="preserve"> 2010</w:t>
      </w:r>
      <w:r w:rsidR="00915186" w:rsidRPr="008A1DB4">
        <w:rPr>
          <w:spacing w:val="-2"/>
          <w:lang w:val="en-US"/>
        </w:rPr>
        <w:t>, was the third application for</w:t>
      </w:r>
      <w:r w:rsidR="0071795C" w:rsidRPr="008A1DB4">
        <w:rPr>
          <w:spacing w:val="-2"/>
          <w:lang w:val="en-US"/>
        </w:rPr>
        <w:t xml:space="preserve"> </w:t>
      </w:r>
      <w:r w:rsidR="00E022F9" w:rsidRPr="008A1DB4">
        <w:rPr>
          <w:i/>
          <w:spacing w:val="-2"/>
          <w:lang w:val="en-US"/>
        </w:rPr>
        <w:t>habeas corpus</w:t>
      </w:r>
      <w:r w:rsidR="0071795C" w:rsidRPr="008A1DB4">
        <w:rPr>
          <w:spacing w:val="-2"/>
          <w:lang w:val="en-US"/>
        </w:rPr>
        <w:t xml:space="preserve"> </w:t>
      </w:r>
      <w:r w:rsidR="00915186" w:rsidRPr="008A1DB4">
        <w:rPr>
          <w:spacing w:val="-2"/>
          <w:lang w:val="en-US"/>
        </w:rPr>
        <w:t>filed on behalf of</w:t>
      </w:r>
      <w:r w:rsidR="00B43F84" w:rsidRPr="008A1DB4">
        <w:rPr>
          <w:spacing w:val="-2"/>
          <w:lang w:val="en-US"/>
        </w:rPr>
        <w:t xml:space="preserve"> Wong</w:t>
      </w:r>
      <w:r w:rsidR="0071795C" w:rsidRPr="008A1DB4">
        <w:rPr>
          <w:spacing w:val="-2"/>
          <w:lang w:val="en-US"/>
        </w:rPr>
        <w:t xml:space="preserve"> Ho Wing, </w:t>
      </w:r>
      <w:r w:rsidR="00915186" w:rsidRPr="008A1DB4">
        <w:rPr>
          <w:spacing w:val="-2"/>
          <w:lang w:val="en-US"/>
        </w:rPr>
        <w:t xml:space="preserve">and it was finally decided by the </w:t>
      </w:r>
      <w:r w:rsidR="0056729D">
        <w:rPr>
          <w:spacing w:val="-2"/>
          <w:lang w:val="en-US"/>
        </w:rPr>
        <w:t xml:space="preserve">appeal based on </w:t>
      </w:r>
      <w:r w:rsidR="00915186" w:rsidRPr="008A1DB4">
        <w:rPr>
          <w:spacing w:val="-2"/>
          <w:lang w:val="en-US"/>
        </w:rPr>
        <w:t xml:space="preserve">constitutional </w:t>
      </w:r>
      <w:r w:rsidR="0056729D">
        <w:rPr>
          <w:spacing w:val="-2"/>
          <w:lang w:val="en-US"/>
        </w:rPr>
        <w:t>injury</w:t>
      </w:r>
      <w:r w:rsidR="00915186" w:rsidRPr="008A1DB4">
        <w:rPr>
          <w:spacing w:val="-2"/>
          <w:lang w:val="en-US"/>
        </w:rPr>
        <w:t xml:space="preserve"> admitted by </w:t>
      </w:r>
      <w:r w:rsidRPr="008A1DB4">
        <w:rPr>
          <w:spacing w:val="-2"/>
          <w:lang w:val="en-US"/>
        </w:rPr>
        <w:t xml:space="preserve">the </w:t>
      </w:r>
      <w:r w:rsidR="00B43F84" w:rsidRPr="008A1DB4">
        <w:rPr>
          <w:spacing w:val="-2"/>
          <w:lang w:val="en-US"/>
        </w:rPr>
        <w:t>Constitutional Court</w:t>
      </w:r>
      <w:r w:rsidR="00915186" w:rsidRPr="008A1DB4">
        <w:rPr>
          <w:spacing w:val="-2"/>
          <w:lang w:val="en-US"/>
        </w:rPr>
        <w:t xml:space="preserve"> on</w:t>
      </w:r>
      <w:r w:rsidR="0071795C" w:rsidRPr="008A1DB4">
        <w:rPr>
          <w:spacing w:val="-2"/>
          <w:lang w:val="en-US"/>
        </w:rPr>
        <w:t xml:space="preserve"> </w:t>
      </w:r>
      <w:r w:rsidR="00B43F84" w:rsidRPr="008A1DB4">
        <w:rPr>
          <w:spacing w:val="-2"/>
          <w:lang w:val="en-US"/>
        </w:rPr>
        <w:t>May 24,</w:t>
      </w:r>
      <w:r w:rsidR="0071795C" w:rsidRPr="008A1DB4">
        <w:rPr>
          <w:spacing w:val="-2"/>
          <w:lang w:val="en-US"/>
        </w:rPr>
        <w:t xml:space="preserve"> 2011 (</w:t>
      </w:r>
      <w:r w:rsidR="0071795C" w:rsidRPr="008A1DB4">
        <w:rPr>
          <w:i/>
          <w:spacing w:val="-2"/>
          <w:lang w:val="en-US"/>
        </w:rPr>
        <w:t>supra</w:t>
      </w:r>
      <w:r w:rsidR="0071795C" w:rsidRPr="008A1DB4">
        <w:rPr>
          <w:spacing w:val="-2"/>
          <w:lang w:val="en-US"/>
        </w:rPr>
        <w:t xml:space="preserve"> </w:t>
      </w:r>
      <w:r w:rsidR="00631F9C" w:rsidRPr="008A1DB4">
        <w:rPr>
          <w:spacing w:val="-2"/>
          <w:lang w:val="en-US"/>
        </w:rPr>
        <w:t>paras.</w:t>
      </w:r>
      <w:r w:rsidR="0071795C" w:rsidRPr="008A1DB4">
        <w:rPr>
          <w:spacing w:val="-2"/>
          <w:lang w:val="en-US"/>
        </w:rPr>
        <w:t xml:space="preserve"> </w:t>
      </w:r>
      <w:r w:rsidR="0071795C" w:rsidRPr="008A1DB4">
        <w:rPr>
          <w:spacing w:val="-2"/>
          <w:lang w:val="en-US"/>
        </w:rPr>
        <w:fldChar w:fldCharType="begin"/>
      </w:r>
      <w:r w:rsidR="0071795C" w:rsidRPr="008A1DB4">
        <w:rPr>
          <w:spacing w:val="-2"/>
          <w:lang w:val="en-US"/>
        </w:rPr>
        <w:instrText xml:space="preserve"> REF _Ref418911268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79</w:t>
      </w:r>
      <w:r w:rsidR="0071795C" w:rsidRPr="008A1DB4">
        <w:rPr>
          <w:spacing w:val="-2"/>
          <w:lang w:val="en-US"/>
        </w:rPr>
        <w:fldChar w:fldCharType="end"/>
      </w:r>
      <w:r w:rsidRPr="008A1DB4">
        <w:rPr>
          <w:spacing w:val="-2"/>
          <w:lang w:val="en-US"/>
        </w:rPr>
        <w:t xml:space="preserve"> and </w:t>
      </w:r>
      <w:r w:rsidR="0071795C" w:rsidRPr="008A1DB4">
        <w:rPr>
          <w:spacing w:val="-2"/>
          <w:lang w:val="en-US"/>
        </w:rPr>
        <w:fldChar w:fldCharType="begin"/>
      </w:r>
      <w:r w:rsidR="0071795C" w:rsidRPr="008A1DB4">
        <w:rPr>
          <w:spacing w:val="-2"/>
          <w:lang w:val="en-US"/>
        </w:rPr>
        <w:instrText xml:space="preserve"> REF _Ref402187094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81</w:t>
      </w:r>
      <w:r w:rsidR="0071795C" w:rsidRPr="008A1DB4">
        <w:rPr>
          <w:spacing w:val="-2"/>
          <w:lang w:val="en-US"/>
        </w:rPr>
        <w:fldChar w:fldCharType="end"/>
      </w:r>
      <w:r w:rsidR="00915186" w:rsidRPr="008A1DB4">
        <w:rPr>
          <w:spacing w:val="-2"/>
          <w:lang w:val="en-US"/>
        </w:rPr>
        <w:t xml:space="preserve"> to</w:t>
      </w:r>
      <w:r w:rsidR="0071795C" w:rsidRPr="008A1DB4">
        <w:rPr>
          <w:spacing w:val="-2"/>
          <w:lang w:val="en-US"/>
        </w:rPr>
        <w:t xml:space="preserve"> </w:t>
      </w:r>
      <w:r w:rsidR="0071795C" w:rsidRPr="008A1DB4">
        <w:rPr>
          <w:spacing w:val="-2"/>
          <w:lang w:val="en-US"/>
        </w:rPr>
        <w:fldChar w:fldCharType="begin"/>
      </w:r>
      <w:r w:rsidR="0071795C" w:rsidRPr="008A1DB4">
        <w:rPr>
          <w:spacing w:val="-2"/>
          <w:lang w:val="en-US"/>
        </w:rPr>
        <w:instrText xml:space="preserve"> REF _Ref402186809 \r \h </w:instrText>
      </w:r>
      <w:r w:rsidR="00DC41F4" w:rsidRPr="008A1DB4">
        <w:rPr>
          <w:spacing w:val="-2"/>
          <w:lang w:val="en-US"/>
        </w:rPr>
        <w:instrText xml:space="preserve"> \* MERGEFORMAT </w:instrText>
      </w:r>
      <w:r w:rsidR="0071795C" w:rsidRPr="008A1DB4">
        <w:rPr>
          <w:spacing w:val="-2"/>
          <w:lang w:val="en-US"/>
        </w:rPr>
      </w:r>
      <w:r w:rsidR="0071795C" w:rsidRPr="008A1DB4">
        <w:rPr>
          <w:spacing w:val="-2"/>
          <w:lang w:val="en-US"/>
        </w:rPr>
        <w:fldChar w:fldCharType="separate"/>
      </w:r>
      <w:r w:rsidR="00E961FA" w:rsidRPr="008A1DB4">
        <w:rPr>
          <w:spacing w:val="-2"/>
          <w:lang w:val="en-US"/>
        </w:rPr>
        <w:t>83</w:t>
      </w:r>
      <w:r w:rsidR="0071795C" w:rsidRPr="008A1DB4">
        <w:rPr>
          <w:spacing w:val="-2"/>
          <w:lang w:val="en-US"/>
        </w:rPr>
        <w:fldChar w:fldCharType="end"/>
      </w:r>
      <w:r w:rsidR="0071795C" w:rsidRPr="008A1DB4">
        <w:rPr>
          <w:spacing w:val="-2"/>
          <w:lang w:val="en-US"/>
        </w:rPr>
        <w:t xml:space="preserve">). </w:t>
      </w:r>
      <w:r w:rsidR="00915186" w:rsidRPr="008A1DB4">
        <w:rPr>
          <w:spacing w:val="-2"/>
          <w:lang w:val="en-US"/>
        </w:rPr>
        <w:t xml:space="preserve">In this regard, the Court notes that the alleged ineffectiveness of this application for </w:t>
      </w:r>
      <w:r w:rsidR="00E022F9" w:rsidRPr="008A1DB4">
        <w:rPr>
          <w:i/>
          <w:spacing w:val="-2"/>
          <w:lang w:val="en-US"/>
        </w:rPr>
        <w:t>habeas corpus</w:t>
      </w:r>
      <w:r w:rsidR="0071795C" w:rsidRPr="008A1DB4">
        <w:rPr>
          <w:spacing w:val="-2"/>
          <w:lang w:val="en-US"/>
        </w:rPr>
        <w:t xml:space="preserve"> </w:t>
      </w:r>
      <w:r w:rsidR="00915186" w:rsidRPr="008A1DB4">
        <w:rPr>
          <w:spacing w:val="-2"/>
          <w:lang w:val="en-US"/>
        </w:rPr>
        <w:t xml:space="preserve">refers to the supposed lack of effectiveness of the </w:t>
      </w:r>
      <w:r w:rsidR="0056729D">
        <w:rPr>
          <w:spacing w:val="-2"/>
          <w:lang w:val="en-US"/>
        </w:rPr>
        <w:t xml:space="preserve">appeal based on </w:t>
      </w:r>
      <w:r w:rsidR="0056729D" w:rsidRPr="008A1DB4">
        <w:rPr>
          <w:spacing w:val="-2"/>
          <w:lang w:val="en-US"/>
        </w:rPr>
        <w:t xml:space="preserve">constitutional </w:t>
      </w:r>
      <w:r w:rsidR="0056729D">
        <w:rPr>
          <w:spacing w:val="-2"/>
          <w:lang w:val="en-US"/>
        </w:rPr>
        <w:t>injury</w:t>
      </w:r>
      <w:r w:rsidR="00915186" w:rsidRPr="008A1DB4">
        <w:rPr>
          <w:spacing w:val="-2"/>
          <w:lang w:val="en-US"/>
        </w:rPr>
        <w:t xml:space="preserve">, owing to the alleged failure to comply with </w:t>
      </w:r>
      <w:r w:rsidR="00C45946" w:rsidRPr="008A1DB4">
        <w:rPr>
          <w:spacing w:val="-2"/>
          <w:lang w:val="en-US"/>
        </w:rPr>
        <w:t xml:space="preserve">the </w:t>
      </w:r>
      <w:r w:rsidR="00B43F84" w:rsidRPr="008A1DB4">
        <w:rPr>
          <w:spacing w:val="-2"/>
          <w:lang w:val="en-US"/>
        </w:rPr>
        <w:t>Constitutional Court</w:t>
      </w:r>
      <w:r w:rsidR="00915186" w:rsidRPr="008A1DB4">
        <w:rPr>
          <w:spacing w:val="-2"/>
          <w:lang w:val="en-US"/>
        </w:rPr>
        <w:t>’s decision of</w:t>
      </w:r>
      <w:r w:rsidR="00601B3D" w:rsidRPr="008A1DB4">
        <w:rPr>
          <w:spacing w:val="-2"/>
          <w:lang w:val="en-US"/>
        </w:rPr>
        <w:t xml:space="preserve"> </w:t>
      </w:r>
      <w:r w:rsidR="00B43F84" w:rsidRPr="008A1DB4">
        <w:rPr>
          <w:spacing w:val="-2"/>
          <w:lang w:val="en-US"/>
        </w:rPr>
        <w:t>May 24,</w:t>
      </w:r>
      <w:r w:rsidR="00E65A06" w:rsidRPr="008A1DB4">
        <w:rPr>
          <w:spacing w:val="-2"/>
          <w:lang w:val="en-US"/>
        </w:rPr>
        <w:t xml:space="preserve"> 2011. </w:t>
      </w:r>
      <w:r w:rsidR="00915186" w:rsidRPr="008A1DB4">
        <w:rPr>
          <w:spacing w:val="-2"/>
          <w:lang w:val="en-US"/>
        </w:rPr>
        <w:t xml:space="preserve">These arguments have </w:t>
      </w:r>
      <w:r w:rsidR="0079515C" w:rsidRPr="008A1DB4">
        <w:rPr>
          <w:spacing w:val="-2"/>
          <w:lang w:val="en-US"/>
        </w:rPr>
        <w:t>already</w:t>
      </w:r>
      <w:r w:rsidR="00915186" w:rsidRPr="008A1DB4">
        <w:rPr>
          <w:spacing w:val="-2"/>
          <w:lang w:val="en-US"/>
        </w:rPr>
        <w:t xml:space="preserve"> been analyzed in the preceding section</w:t>
      </w:r>
      <w:r w:rsidR="00601B3D" w:rsidRPr="008A1DB4">
        <w:rPr>
          <w:spacing w:val="-2"/>
          <w:lang w:val="en-US"/>
        </w:rPr>
        <w:t xml:space="preserve"> (</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E65A06" w:rsidRPr="008A1DB4">
        <w:rPr>
          <w:spacing w:val="-2"/>
          <w:lang w:val="en-US"/>
        </w:rPr>
        <w:fldChar w:fldCharType="begin"/>
      </w:r>
      <w:r w:rsidR="00E65A06" w:rsidRPr="008A1DB4">
        <w:rPr>
          <w:spacing w:val="-2"/>
          <w:lang w:val="en-US"/>
        </w:rPr>
        <w:instrText xml:space="preserve"> REF _Ref428979004 \r \h </w:instrText>
      </w:r>
      <w:r w:rsidR="00DC41F4" w:rsidRPr="008A1DB4">
        <w:rPr>
          <w:spacing w:val="-2"/>
          <w:lang w:val="en-US"/>
        </w:rPr>
        <w:instrText xml:space="preserve"> \* MERGEFORMAT </w:instrText>
      </w:r>
      <w:r w:rsidR="00E65A06" w:rsidRPr="008A1DB4">
        <w:rPr>
          <w:spacing w:val="-2"/>
          <w:lang w:val="en-US"/>
        </w:rPr>
      </w:r>
      <w:r w:rsidR="00E65A06" w:rsidRPr="008A1DB4">
        <w:rPr>
          <w:spacing w:val="-2"/>
          <w:lang w:val="en-US"/>
        </w:rPr>
        <w:fldChar w:fldCharType="separate"/>
      </w:r>
      <w:r w:rsidR="00E961FA" w:rsidRPr="008A1DB4">
        <w:rPr>
          <w:spacing w:val="-2"/>
          <w:lang w:val="en-US"/>
        </w:rPr>
        <w:t>260</w:t>
      </w:r>
      <w:r w:rsidR="00E65A06" w:rsidRPr="008A1DB4">
        <w:rPr>
          <w:spacing w:val="-2"/>
          <w:lang w:val="en-US"/>
        </w:rPr>
        <w:fldChar w:fldCharType="end"/>
      </w:r>
      <w:r w:rsidR="00915186" w:rsidRPr="008A1DB4">
        <w:rPr>
          <w:spacing w:val="-2"/>
          <w:lang w:val="en-US"/>
        </w:rPr>
        <w:t xml:space="preserve"> to</w:t>
      </w:r>
      <w:r w:rsidR="00601B3D" w:rsidRPr="008A1DB4">
        <w:rPr>
          <w:spacing w:val="-2"/>
          <w:lang w:val="en-US"/>
        </w:rPr>
        <w:t xml:space="preserve"> </w:t>
      </w:r>
      <w:r w:rsidR="00E65A06" w:rsidRPr="008A1DB4">
        <w:rPr>
          <w:spacing w:val="-2"/>
          <w:lang w:val="en-US"/>
        </w:rPr>
        <w:fldChar w:fldCharType="begin"/>
      </w:r>
      <w:r w:rsidR="00E65A06" w:rsidRPr="008A1DB4">
        <w:rPr>
          <w:spacing w:val="-2"/>
          <w:lang w:val="en-US"/>
        </w:rPr>
        <w:instrText xml:space="preserve"> REF _Ref419392999 \r \h </w:instrText>
      </w:r>
      <w:r w:rsidR="00DC41F4" w:rsidRPr="008A1DB4">
        <w:rPr>
          <w:spacing w:val="-2"/>
          <w:lang w:val="en-US"/>
        </w:rPr>
        <w:instrText xml:space="preserve"> \* MERGEFORMAT </w:instrText>
      </w:r>
      <w:r w:rsidR="00E65A06" w:rsidRPr="008A1DB4">
        <w:rPr>
          <w:spacing w:val="-2"/>
          <w:lang w:val="en-US"/>
        </w:rPr>
      </w:r>
      <w:r w:rsidR="00E65A06" w:rsidRPr="008A1DB4">
        <w:rPr>
          <w:spacing w:val="-2"/>
          <w:lang w:val="en-US"/>
        </w:rPr>
        <w:fldChar w:fldCharType="separate"/>
      </w:r>
      <w:r w:rsidR="00E961FA" w:rsidRPr="008A1DB4">
        <w:rPr>
          <w:spacing w:val="-2"/>
          <w:lang w:val="en-US"/>
        </w:rPr>
        <w:t>263</w:t>
      </w:r>
      <w:r w:rsidR="00E65A06" w:rsidRPr="008A1DB4">
        <w:rPr>
          <w:spacing w:val="-2"/>
          <w:lang w:val="en-US"/>
        </w:rPr>
        <w:fldChar w:fldCharType="end"/>
      </w:r>
      <w:r w:rsidR="00601B3D" w:rsidRPr="008A1DB4">
        <w:rPr>
          <w:spacing w:val="-2"/>
          <w:lang w:val="en-US"/>
        </w:rPr>
        <w:t xml:space="preserve">). </w:t>
      </w:r>
      <w:r w:rsidR="00915186" w:rsidRPr="008A1DB4">
        <w:rPr>
          <w:spacing w:val="-2"/>
          <w:lang w:val="en-US"/>
        </w:rPr>
        <w:t xml:space="preserve">Moreover, the Court reiterates that </w:t>
      </w:r>
      <w:r w:rsidRPr="008A1DB4">
        <w:rPr>
          <w:spacing w:val="-2"/>
          <w:lang w:val="en-US"/>
        </w:rPr>
        <w:t xml:space="preserve">the </w:t>
      </w:r>
      <w:r w:rsidR="00B43F84" w:rsidRPr="008A1DB4">
        <w:rPr>
          <w:spacing w:val="-2"/>
          <w:lang w:val="en-US"/>
        </w:rPr>
        <w:t>Constitutional Court</w:t>
      </w:r>
      <w:r w:rsidR="00601B3D" w:rsidRPr="008A1DB4">
        <w:rPr>
          <w:spacing w:val="-2"/>
          <w:lang w:val="en-US"/>
        </w:rPr>
        <w:t xml:space="preserve"> </w:t>
      </w:r>
      <w:r w:rsidR="00915186" w:rsidRPr="008A1DB4">
        <w:rPr>
          <w:spacing w:val="-2"/>
          <w:lang w:val="en-US"/>
        </w:rPr>
        <w:t xml:space="preserve">did not order </w:t>
      </w:r>
      <w:r w:rsidR="00B43F84" w:rsidRPr="008A1DB4">
        <w:rPr>
          <w:spacing w:val="-2"/>
          <w:lang w:val="en-US"/>
        </w:rPr>
        <w:t>Wong</w:t>
      </w:r>
      <w:r w:rsidR="00601B3D" w:rsidRPr="008A1DB4">
        <w:rPr>
          <w:spacing w:val="-2"/>
          <w:lang w:val="en-US"/>
        </w:rPr>
        <w:t xml:space="preserve"> Ho Wing</w:t>
      </w:r>
      <w:r w:rsidR="0056729D">
        <w:rPr>
          <w:spacing w:val="-2"/>
          <w:lang w:val="en-US"/>
        </w:rPr>
        <w:t>’s release</w:t>
      </w:r>
      <w:r w:rsidR="00601B3D" w:rsidRPr="008A1DB4">
        <w:rPr>
          <w:spacing w:val="-2"/>
          <w:lang w:val="en-US"/>
        </w:rPr>
        <w:t xml:space="preserve"> (</w:t>
      </w:r>
      <w:r w:rsidR="00601B3D" w:rsidRPr="008A1DB4">
        <w:rPr>
          <w:i/>
          <w:spacing w:val="-2"/>
          <w:lang w:val="en-US"/>
        </w:rPr>
        <w:t xml:space="preserve">supra </w:t>
      </w:r>
      <w:r w:rsidR="00C45946" w:rsidRPr="008A1DB4">
        <w:rPr>
          <w:spacing w:val="-2"/>
          <w:lang w:val="en-US"/>
        </w:rPr>
        <w:t xml:space="preserve">para. </w:t>
      </w:r>
      <w:r w:rsidR="007F2BBF" w:rsidRPr="008A1DB4">
        <w:rPr>
          <w:spacing w:val="-2"/>
          <w:lang w:val="en-US"/>
        </w:rPr>
        <w:fldChar w:fldCharType="begin"/>
      </w:r>
      <w:r w:rsidR="007F2BBF" w:rsidRPr="008A1DB4">
        <w:rPr>
          <w:spacing w:val="-2"/>
          <w:lang w:val="en-US"/>
        </w:rPr>
        <w:instrText xml:space="preserve"> REF _Ref429066175 \r \h </w:instrText>
      </w:r>
      <w:r w:rsidR="00DC41F4" w:rsidRPr="008A1DB4">
        <w:rPr>
          <w:spacing w:val="-2"/>
          <w:lang w:val="en-US"/>
        </w:rPr>
        <w:instrText xml:space="preserve"> \* MERGEFORMAT </w:instrText>
      </w:r>
      <w:r w:rsidR="007F2BBF" w:rsidRPr="008A1DB4">
        <w:rPr>
          <w:spacing w:val="-2"/>
          <w:lang w:val="en-US"/>
        </w:rPr>
      </w:r>
      <w:r w:rsidR="007F2BBF" w:rsidRPr="008A1DB4">
        <w:rPr>
          <w:spacing w:val="-2"/>
          <w:lang w:val="en-US"/>
        </w:rPr>
        <w:fldChar w:fldCharType="separate"/>
      </w:r>
      <w:r w:rsidR="00E961FA" w:rsidRPr="008A1DB4">
        <w:rPr>
          <w:spacing w:val="-2"/>
          <w:lang w:val="en-US"/>
        </w:rPr>
        <w:t>262</w:t>
      </w:r>
      <w:r w:rsidR="007F2BBF" w:rsidRPr="008A1DB4">
        <w:rPr>
          <w:spacing w:val="-2"/>
          <w:lang w:val="en-US"/>
        </w:rPr>
        <w:fldChar w:fldCharType="end"/>
      </w:r>
      <w:r w:rsidR="00601B3D" w:rsidRPr="008A1DB4">
        <w:rPr>
          <w:spacing w:val="-2"/>
          <w:lang w:val="en-US"/>
        </w:rPr>
        <w:t xml:space="preserve">). </w:t>
      </w:r>
    </w:p>
    <w:p w14:paraId="6702527E" w14:textId="77777777" w:rsidR="00601B3D" w:rsidRPr="008A1DB4" w:rsidRDefault="00601B3D" w:rsidP="00956E97">
      <w:pPr>
        <w:pStyle w:val="ListParagraph"/>
        <w:ind w:left="644"/>
        <w:rPr>
          <w:spacing w:val="-2"/>
          <w:szCs w:val="20"/>
          <w:lang w:val="en-US"/>
        </w:rPr>
      </w:pPr>
    </w:p>
    <w:p w14:paraId="5F23A263" w14:textId="1BAF62DA" w:rsidR="00601B3D" w:rsidRPr="008A1DB4" w:rsidRDefault="00601B3D" w:rsidP="00956E97">
      <w:pPr>
        <w:pStyle w:val="Heading3"/>
        <w:rPr>
          <w:spacing w:val="-2"/>
          <w:lang w:val="en-US"/>
        </w:rPr>
      </w:pPr>
      <w:bookmarkStart w:id="1180" w:name="_Toc419394444"/>
      <w:bookmarkStart w:id="1181" w:name="_Toc429490303"/>
      <w:bookmarkStart w:id="1182" w:name="_Toc429503817"/>
      <w:bookmarkStart w:id="1183" w:name="_Toc429504323"/>
      <w:bookmarkStart w:id="1184" w:name="_Toc429678036"/>
      <w:bookmarkStart w:id="1185" w:name="_Toc430017199"/>
      <w:bookmarkStart w:id="1186" w:name="_Toc430017428"/>
      <w:bookmarkStart w:id="1187" w:name="_Toc430018710"/>
      <w:bookmarkStart w:id="1188" w:name="_Toc430125308"/>
      <w:bookmarkStart w:id="1189" w:name="_Toc430125416"/>
      <w:r w:rsidRPr="008A1DB4">
        <w:rPr>
          <w:spacing w:val="-2"/>
          <w:lang w:val="en-US"/>
        </w:rPr>
        <w:t xml:space="preserve">D.2.b) </w:t>
      </w:r>
      <w:r w:rsidR="00FC43E7" w:rsidRPr="008A1DB4">
        <w:rPr>
          <w:spacing w:val="-2"/>
          <w:lang w:val="en-US"/>
        </w:rPr>
        <w:t>Release request of</w:t>
      </w:r>
      <w:r w:rsidRPr="008A1DB4">
        <w:rPr>
          <w:spacing w:val="-2"/>
          <w:lang w:val="en-US"/>
        </w:rPr>
        <w:t xml:space="preserve"> </w:t>
      </w:r>
      <w:r w:rsidR="00FC5891" w:rsidRPr="008A1DB4">
        <w:rPr>
          <w:spacing w:val="-2"/>
          <w:lang w:val="en-US"/>
        </w:rPr>
        <w:t>October 5,</w:t>
      </w:r>
      <w:r w:rsidRPr="008A1DB4">
        <w:rPr>
          <w:spacing w:val="-2"/>
          <w:lang w:val="en-US"/>
        </w:rPr>
        <w:t xml:space="preserve"> 2011</w:t>
      </w:r>
      <w:bookmarkEnd w:id="1180"/>
      <w:bookmarkEnd w:id="1181"/>
      <w:bookmarkEnd w:id="1182"/>
      <w:bookmarkEnd w:id="1183"/>
      <w:bookmarkEnd w:id="1184"/>
      <w:bookmarkEnd w:id="1185"/>
      <w:bookmarkEnd w:id="1186"/>
      <w:bookmarkEnd w:id="1187"/>
      <w:bookmarkEnd w:id="1188"/>
      <w:bookmarkEnd w:id="1189"/>
    </w:p>
    <w:p w14:paraId="75198F0C" w14:textId="77777777" w:rsidR="00601B3D" w:rsidRPr="008A1DB4" w:rsidRDefault="00601B3D" w:rsidP="00956E97">
      <w:pPr>
        <w:pStyle w:val="ListParagraph"/>
        <w:ind w:left="644"/>
        <w:rPr>
          <w:spacing w:val="-2"/>
          <w:szCs w:val="20"/>
          <w:u w:val="single"/>
          <w:lang w:val="en-US"/>
        </w:rPr>
      </w:pPr>
    </w:p>
    <w:p w14:paraId="7091AC74" w14:textId="69225144" w:rsidR="00601B3D" w:rsidRPr="008A1DB4" w:rsidRDefault="00C45946" w:rsidP="00956E97">
      <w:pPr>
        <w:pStyle w:val="PrrafodeSentencia"/>
        <w:rPr>
          <w:spacing w:val="-2"/>
          <w:lang w:val="en-US"/>
        </w:rPr>
      </w:pPr>
      <w:r w:rsidRPr="008A1DB4">
        <w:rPr>
          <w:spacing w:val="-2"/>
          <w:lang w:val="en-US"/>
        </w:rPr>
        <w:t>The representative</w:t>
      </w:r>
      <w:r w:rsidR="00601B3D" w:rsidRPr="008A1DB4">
        <w:rPr>
          <w:spacing w:val="-2"/>
          <w:lang w:val="en-US"/>
        </w:rPr>
        <w:t xml:space="preserve"> </w:t>
      </w:r>
      <w:r w:rsidR="00915186" w:rsidRPr="008A1DB4">
        <w:rPr>
          <w:spacing w:val="-2"/>
          <w:lang w:val="en-US"/>
        </w:rPr>
        <w:t xml:space="preserve">filed this request </w:t>
      </w:r>
      <w:r w:rsidR="0064362E" w:rsidRPr="008A1DB4">
        <w:rPr>
          <w:spacing w:val="-2"/>
          <w:lang w:val="en-US"/>
        </w:rPr>
        <w:t xml:space="preserve">before the </w:t>
      </w:r>
      <w:r w:rsidR="00FC5891" w:rsidRPr="008A1DB4">
        <w:rPr>
          <w:spacing w:val="-2"/>
          <w:lang w:val="en-US"/>
        </w:rPr>
        <w:t>Permanent Criminal Chamber</w:t>
      </w:r>
      <w:r w:rsidR="00F36400" w:rsidRPr="008A1DB4">
        <w:rPr>
          <w:spacing w:val="-2"/>
          <w:lang w:val="en-US"/>
        </w:rPr>
        <w:t xml:space="preserve"> of </w:t>
      </w:r>
      <w:r w:rsidR="00B67AC5" w:rsidRPr="008A1DB4">
        <w:rPr>
          <w:spacing w:val="-2"/>
          <w:lang w:val="en-US"/>
        </w:rPr>
        <w:t xml:space="preserve">the </w:t>
      </w:r>
      <w:r w:rsidR="001E7113" w:rsidRPr="008A1DB4">
        <w:rPr>
          <w:spacing w:val="-2"/>
          <w:lang w:val="en-US"/>
        </w:rPr>
        <w:t>Supreme Court of Justice</w:t>
      </w:r>
      <w:r w:rsidR="00601B3D" w:rsidRPr="008A1DB4">
        <w:rPr>
          <w:spacing w:val="-2"/>
          <w:lang w:val="en-US"/>
        </w:rPr>
        <w:t xml:space="preserve"> </w:t>
      </w:r>
      <w:r w:rsidR="00915186" w:rsidRPr="008A1DB4">
        <w:rPr>
          <w:spacing w:val="-2"/>
          <w:lang w:val="en-US"/>
        </w:rPr>
        <w:t>and,</w:t>
      </w:r>
      <w:r w:rsidR="00601B3D" w:rsidRPr="008A1DB4">
        <w:rPr>
          <w:spacing w:val="-2"/>
          <w:lang w:val="en-US"/>
        </w:rPr>
        <w:t xml:space="preserve"> </w:t>
      </w:r>
      <w:r w:rsidR="00A3310A" w:rsidRPr="008A1DB4">
        <w:rPr>
          <w:spacing w:val="-2"/>
          <w:lang w:val="en-US"/>
        </w:rPr>
        <w:t>on October 10,</w:t>
      </w:r>
      <w:r w:rsidR="00601B3D" w:rsidRPr="008A1DB4">
        <w:rPr>
          <w:spacing w:val="-2"/>
          <w:lang w:val="en-US"/>
        </w:rPr>
        <w:t xml:space="preserve"> 2011</w:t>
      </w:r>
      <w:r w:rsidR="00915186" w:rsidRPr="008A1DB4">
        <w:rPr>
          <w:spacing w:val="-2"/>
          <w:lang w:val="en-US"/>
        </w:rPr>
        <w:t>, the Chamber declared that the request should be “filed […] before the corresponding court</w:t>
      </w:r>
      <w:r w:rsidR="00601B3D" w:rsidRPr="008A1DB4">
        <w:rPr>
          <w:spacing w:val="-2"/>
          <w:lang w:val="en-US"/>
        </w:rPr>
        <w:t>”</w:t>
      </w:r>
      <w:r w:rsidR="007911CC" w:rsidRPr="008A1DB4">
        <w:rPr>
          <w:spacing w:val="-2"/>
          <w:lang w:val="en-US"/>
        </w:rPr>
        <w:t xml:space="preserve"> (</w:t>
      </w:r>
      <w:r w:rsidR="007911CC" w:rsidRPr="008A1DB4">
        <w:rPr>
          <w:i/>
          <w:spacing w:val="-2"/>
          <w:lang w:val="en-US"/>
        </w:rPr>
        <w:t>supra</w:t>
      </w:r>
      <w:r w:rsidR="007911CC" w:rsidRPr="008A1DB4">
        <w:rPr>
          <w:spacing w:val="-2"/>
          <w:lang w:val="en-US"/>
        </w:rPr>
        <w:t xml:space="preserve"> </w:t>
      </w:r>
      <w:r w:rsidRPr="008A1DB4">
        <w:rPr>
          <w:spacing w:val="-2"/>
          <w:lang w:val="en-US"/>
        </w:rPr>
        <w:t xml:space="preserve">para. </w:t>
      </w:r>
      <w:r w:rsidR="007911CC" w:rsidRPr="008A1DB4">
        <w:rPr>
          <w:spacing w:val="-2"/>
          <w:lang w:val="en-US"/>
        </w:rPr>
        <w:fldChar w:fldCharType="begin"/>
      </w:r>
      <w:r w:rsidR="007911CC" w:rsidRPr="008A1DB4">
        <w:rPr>
          <w:spacing w:val="-2"/>
          <w:lang w:val="en-US"/>
        </w:rPr>
        <w:instrText xml:space="preserve"> REF _Ref429065839 \r \h </w:instrText>
      </w:r>
      <w:r w:rsidR="00DC41F4" w:rsidRPr="008A1DB4">
        <w:rPr>
          <w:spacing w:val="-2"/>
          <w:lang w:val="en-US"/>
        </w:rPr>
        <w:instrText xml:space="preserve"> \* MERGEFORMAT </w:instrText>
      </w:r>
      <w:r w:rsidR="007911CC" w:rsidRPr="008A1DB4">
        <w:rPr>
          <w:spacing w:val="-2"/>
          <w:lang w:val="en-US"/>
        </w:rPr>
      </w:r>
      <w:r w:rsidR="007911CC" w:rsidRPr="008A1DB4">
        <w:rPr>
          <w:spacing w:val="-2"/>
          <w:lang w:val="en-US"/>
        </w:rPr>
        <w:fldChar w:fldCharType="separate"/>
      </w:r>
      <w:r w:rsidR="00E961FA" w:rsidRPr="008A1DB4">
        <w:rPr>
          <w:spacing w:val="-2"/>
          <w:lang w:val="en-US"/>
        </w:rPr>
        <w:t>104</w:t>
      </w:r>
      <w:r w:rsidR="007911CC" w:rsidRPr="008A1DB4">
        <w:rPr>
          <w:spacing w:val="-2"/>
          <w:lang w:val="en-US"/>
        </w:rPr>
        <w:fldChar w:fldCharType="end"/>
      </w:r>
      <w:r w:rsidR="007911CC" w:rsidRPr="008A1DB4">
        <w:rPr>
          <w:spacing w:val="-2"/>
          <w:lang w:val="en-US"/>
        </w:rPr>
        <w:t>)</w:t>
      </w:r>
      <w:r w:rsidR="00601B3D" w:rsidRPr="008A1DB4">
        <w:rPr>
          <w:spacing w:val="-2"/>
          <w:lang w:val="en-US"/>
        </w:rPr>
        <w:t xml:space="preserve">. </w:t>
      </w:r>
      <w:r w:rsidRPr="008A1DB4">
        <w:rPr>
          <w:spacing w:val="-2"/>
          <w:lang w:val="en-US"/>
        </w:rPr>
        <w:t>The representative</w:t>
      </w:r>
      <w:r w:rsidR="00601B3D" w:rsidRPr="008A1DB4">
        <w:rPr>
          <w:spacing w:val="-2"/>
          <w:lang w:val="en-US"/>
        </w:rPr>
        <w:t xml:space="preserve"> a</w:t>
      </w:r>
      <w:r w:rsidR="00915186" w:rsidRPr="008A1DB4">
        <w:rPr>
          <w:spacing w:val="-2"/>
          <w:lang w:val="en-US"/>
        </w:rPr>
        <w:t xml:space="preserve">rgued that this answer “mean[t] that </w:t>
      </w:r>
      <w:r w:rsidR="00071662" w:rsidRPr="008A1DB4">
        <w:rPr>
          <w:spacing w:val="-2"/>
          <w:lang w:val="en-US"/>
        </w:rPr>
        <w:t>the Peruvian State</w:t>
      </w:r>
      <w:r w:rsidR="00601B3D" w:rsidRPr="008A1DB4">
        <w:rPr>
          <w:spacing w:val="-2"/>
          <w:lang w:val="en-US"/>
        </w:rPr>
        <w:t xml:space="preserve"> </w:t>
      </w:r>
      <w:r w:rsidR="00915186" w:rsidRPr="008A1DB4">
        <w:rPr>
          <w:spacing w:val="-2"/>
          <w:lang w:val="en-US"/>
        </w:rPr>
        <w:t xml:space="preserve">did not guarantee a simple and prompt remedy, in the terms </w:t>
      </w:r>
      <w:r w:rsidR="0058668C" w:rsidRPr="008A1DB4">
        <w:rPr>
          <w:spacing w:val="-2"/>
          <w:lang w:val="en-US"/>
        </w:rPr>
        <w:t>of Article</w:t>
      </w:r>
      <w:r w:rsidR="00915186" w:rsidRPr="008A1DB4">
        <w:rPr>
          <w:spacing w:val="-2"/>
          <w:lang w:val="en-US"/>
        </w:rPr>
        <w:t xml:space="preserve"> 25(</w:t>
      </w:r>
      <w:r w:rsidR="00601B3D" w:rsidRPr="008A1DB4">
        <w:rPr>
          <w:spacing w:val="-2"/>
          <w:lang w:val="en-US"/>
        </w:rPr>
        <w:t>1</w:t>
      </w:r>
      <w:r w:rsidR="00915186" w:rsidRPr="008A1DB4">
        <w:rPr>
          <w:spacing w:val="-2"/>
          <w:lang w:val="en-US"/>
        </w:rPr>
        <w:t>)</w:t>
      </w:r>
      <w:r w:rsidR="00F36400" w:rsidRPr="008A1DB4">
        <w:rPr>
          <w:spacing w:val="-2"/>
          <w:lang w:val="en-US"/>
        </w:rPr>
        <w:t xml:space="preserve"> of the Convention</w:t>
      </w:r>
      <w:r w:rsidR="00601B3D" w:rsidRPr="008A1DB4">
        <w:rPr>
          <w:spacing w:val="-2"/>
          <w:lang w:val="en-US"/>
        </w:rPr>
        <w:t>” (</w:t>
      </w:r>
      <w:r w:rsidR="00601B3D" w:rsidRPr="008A1DB4">
        <w:rPr>
          <w:i/>
          <w:spacing w:val="-2"/>
          <w:lang w:val="en-US"/>
        </w:rPr>
        <w:t xml:space="preserve">supra </w:t>
      </w:r>
      <w:r w:rsidRPr="008A1DB4">
        <w:rPr>
          <w:spacing w:val="-2"/>
          <w:lang w:val="en-US"/>
        </w:rPr>
        <w:t xml:space="preserve">para. </w:t>
      </w:r>
      <w:r w:rsidR="005869A0" w:rsidRPr="008A1DB4">
        <w:rPr>
          <w:spacing w:val="-2"/>
          <w:lang w:val="en-US"/>
        </w:rPr>
        <w:fldChar w:fldCharType="begin"/>
      </w:r>
      <w:r w:rsidR="005869A0" w:rsidRPr="008A1DB4">
        <w:rPr>
          <w:spacing w:val="-2"/>
          <w:lang w:val="en-US"/>
        </w:rPr>
        <w:instrText xml:space="preserve"> REF _Ref429066357 \r \h </w:instrText>
      </w:r>
      <w:r w:rsidR="00DC41F4" w:rsidRPr="008A1DB4">
        <w:rPr>
          <w:spacing w:val="-2"/>
          <w:lang w:val="en-US"/>
        </w:rPr>
        <w:instrText xml:space="preserve"> \* MERGEFORMAT </w:instrText>
      </w:r>
      <w:r w:rsidR="005869A0" w:rsidRPr="008A1DB4">
        <w:rPr>
          <w:spacing w:val="-2"/>
          <w:lang w:val="en-US"/>
        </w:rPr>
      </w:r>
      <w:r w:rsidR="005869A0" w:rsidRPr="008A1DB4">
        <w:rPr>
          <w:spacing w:val="-2"/>
          <w:lang w:val="en-US"/>
        </w:rPr>
        <w:fldChar w:fldCharType="separate"/>
      </w:r>
      <w:r w:rsidR="00E961FA" w:rsidRPr="008A1DB4">
        <w:rPr>
          <w:spacing w:val="-2"/>
          <w:lang w:val="en-US"/>
        </w:rPr>
        <w:t>277</w:t>
      </w:r>
      <w:r w:rsidR="005869A0" w:rsidRPr="008A1DB4">
        <w:rPr>
          <w:spacing w:val="-2"/>
          <w:lang w:val="en-US"/>
        </w:rPr>
        <w:fldChar w:fldCharType="end"/>
      </w:r>
      <w:r w:rsidR="00601B3D" w:rsidRPr="008A1DB4">
        <w:rPr>
          <w:spacing w:val="-2"/>
          <w:lang w:val="en-US"/>
        </w:rPr>
        <w:t xml:space="preserve">). </w:t>
      </w:r>
      <w:r w:rsidR="00915186" w:rsidRPr="008A1DB4">
        <w:rPr>
          <w:spacing w:val="-2"/>
          <w:lang w:val="en-US"/>
        </w:rPr>
        <w:t xml:space="preserve">In this regard, the Court notes that, although it is </w:t>
      </w:r>
      <w:r w:rsidR="0079515C" w:rsidRPr="008A1DB4">
        <w:rPr>
          <w:spacing w:val="-2"/>
          <w:lang w:val="en-US"/>
        </w:rPr>
        <w:t>true</w:t>
      </w:r>
      <w:r w:rsidR="00915186" w:rsidRPr="008A1DB4">
        <w:rPr>
          <w:spacing w:val="-2"/>
          <w:lang w:val="en-US"/>
        </w:rPr>
        <w:t xml:space="preserve"> that State</w:t>
      </w:r>
      <w:r w:rsidR="0056729D">
        <w:rPr>
          <w:spacing w:val="-2"/>
          <w:lang w:val="en-US"/>
        </w:rPr>
        <w:t>s</w:t>
      </w:r>
      <w:r w:rsidR="00915186" w:rsidRPr="008A1DB4">
        <w:rPr>
          <w:spacing w:val="-2"/>
          <w:lang w:val="en-US"/>
        </w:rPr>
        <w:t xml:space="preserve"> must make adequate and effective remedies available to the persons under its jurisdiction, the presumed victims have the obligation to file such remedies or requests in keeping with the laws in </w:t>
      </w:r>
      <w:r w:rsidR="0079515C" w:rsidRPr="008A1DB4">
        <w:rPr>
          <w:spacing w:val="-2"/>
          <w:lang w:val="en-US"/>
        </w:rPr>
        <w:t>force</w:t>
      </w:r>
      <w:r w:rsidR="00915186" w:rsidRPr="008A1DB4">
        <w:rPr>
          <w:spacing w:val="-2"/>
          <w:lang w:val="en-US"/>
        </w:rPr>
        <w:t xml:space="preserve"> and before the authority with competence to decide them.</w:t>
      </w:r>
      <w:r w:rsidR="00601B3D" w:rsidRPr="008A1DB4">
        <w:rPr>
          <w:rStyle w:val="FootnoteReference"/>
          <w:spacing w:val="-2"/>
          <w:lang w:val="en-US"/>
        </w:rPr>
        <w:footnoteReference w:id="360"/>
      </w:r>
      <w:r w:rsidR="00601B3D" w:rsidRPr="008A1DB4">
        <w:rPr>
          <w:spacing w:val="-2"/>
          <w:lang w:val="en-US"/>
        </w:rPr>
        <w:t xml:space="preserve"> </w:t>
      </w:r>
      <w:r w:rsidRPr="008A1DB4">
        <w:rPr>
          <w:spacing w:val="-2"/>
          <w:lang w:val="en-US"/>
        </w:rPr>
        <w:t>The representative</w:t>
      </w:r>
      <w:r w:rsidR="00601B3D" w:rsidRPr="008A1DB4">
        <w:rPr>
          <w:spacing w:val="-2"/>
          <w:lang w:val="en-US"/>
        </w:rPr>
        <w:t xml:space="preserve"> </w:t>
      </w:r>
      <w:r w:rsidR="00915186" w:rsidRPr="008A1DB4">
        <w:rPr>
          <w:spacing w:val="-2"/>
          <w:lang w:val="en-US"/>
        </w:rPr>
        <w:t xml:space="preserve">has not argued that </w:t>
      </w:r>
      <w:r w:rsidR="002D1CFC" w:rsidRPr="008A1DB4">
        <w:rPr>
          <w:spacing w:val="-2"/>
          <w:lang w:val="en-US"/>
        </w:rPr>
        <w:t xml:space="preserve">the </w:t>
      </w:r>
      <w:r w:rsidR="00FC5891" w:rsidRPr="008A1DB4">
        <w:rPr>
          <w:spacing w:val="-2"/>
          <w:lang w:val="en-US"/>
        </w:rPr>
        <w:t>Permanent Criminal Chamber</w:t>
      </w:r>
      <w:r w:rsidR="00601B3D" w:rsidRPr="008A1DB4">
        <w:rPr>
          <w:spacing w:val="-2"/>
          <w:lang w:val="en-US"/>
        </w:rPr>
        <w:t xml:space="preserve"> </w:t>
      </w:r>
      <w:r w:rsidR="00915186" w:rsidRPr="008A1DB4">
        <w:rPr>
          <w:spacing w:val="-2"/>
          <w:lang w:val="en-US"/>
        </w:rPr>
        <w:t xml:space="preserve">was the competent court to decide this request. To the contrary, the evidence reveals that, following the decision of </w:t>
      </w:r>
      <w:r w:rsidR="00A3310A" w:rsidRPr="008A1DB4">
        <w:rPr>
          <w:spacing w:val="-2"/>
          <w:lang w:val="en-US"/>
        </w:rPr>
        <w:t>October 10,</w:t>
      </w:r>
      <w:r w:rsidR="00601B3D" w:rsidRPr="008A1DB4">
        <w:rPr>
          <w:spacing w:val="-2"/>
          <w:lang w:val="en-US"/>
        </w:rPr>
        <w:t xml:space="preserve"> 2011, </w:t>
      </w:r>
      <w:r w:rsidR="00915186" w:rsidRPr="008A1DB4">
        <w:rPr>
          <w:spacing w:val="-2"/>
          <w:lang w:val="en-US"/>
        </w:rPr>
        <w:t xml:space="preserve">he filed another release request before </w:t>
      </w:r>
      <w:r w:rsidR="001E7113" w:rsidRPr="008A1DB4">
        <w:rPr>
          <w:spacing w:val="-2"/>
          <w:lang w:val="en-US"/>
        </w:rPr>
        <w:t>the Seventh Criminal Court of El Callao</w:t>
      </w:r>
      <w:r w:rsidR="007967E7" w:rsidRPr="008A1DB4">
        <w:rPr>
          <w:spacing w:val="-2"/>
          <w:lang w:val="en-US"/>
        </w:rPr>
        <w:t xml:space="preserve"> (</w:t>
      </w:r>
      <w:r w:rsidR="007967E7" w:rsidRPr="008A1DB4">
        <w:rPr>
          <w:i/>
          <w:spacing w:val="-2"/>
          <w:lang w:val="en-US"/>
        </w:rPr>
        <w:t>supra</w:t>
      </w:r>
      <w:r w:rsidR="007967E7" w:rsidRPr="008A1DB4">
        <w:rPr>
          <w:spacing w:val="-2"/>
          <w:lang w:val="en-US"/>
        </w:rPr>
        <w:t xml:space="preserve"> </w:t>
      </w:r>
      <w:r w:rsidRPr="008A1DB4">
        <w:rPr>
          <w:spacing w:val="-2"/>
          <w:lang w:val="en-US"/>
        </w:rPr>
        <w:t xml:space="preserve">para. </w:t>
      </w:r>
      <w:r w:rsidR="007967E7" w:rsidRPr="008A1DB4">
        <w:rPr>
          <w:spacing w:val="-2"/>
          <w:lang w:val="en-US"/>
        </w:rPr>
        <w:fldChar w:fldCharType="begin"/>
      </w:r>
      <w:r w:rsidR="007967E7" w:rsidRPr="008A1DB4">
        <w:rPr>
          <w:spacing w:val="-2"/>
          <w:lang w:val="en-US"/>
        </w:rPr>
        <w:instrText xml:space="preserve"> REF _Ref429065839 \r \h </w:instrText>
      </w:r>
      <w:r w:rsidR="00DC41F4" w:rsidRPr="008A1DB4">
        <w:rPr>
          <w:spacing w:val="-2"/>
          <w:lang w:val="en-US"/>
        </w:rPr>
        <w:instrText xml:space="preserve"> \* MERGEFORMAT </w:instrText>
      </w:r>
      <w:r w:rsidR="007967E7" w:rsidRPr="008A1DB4">
        <w:rPr>
          <w:spacing w:val="-2"/>
          <w:lang w:val="en-US"/>
        </w:rPr>
      </w:r>
      <w:r w:rsidR="007967E7" w:rsidRPr="008A1DB4">
        <w:rPr>
          <w:spacing w:val="-2"/>
          <w:lang w:val="en-US"/>
        </w:rPr>
        <w:fldChar w:fldCharType="separate"/>
      </w:r>
      <w:r w:rsidR="00E961FA" w:rsidRPr="008A1DB4">
        <w:rPr>
          <w:spacing w:val="-2"/>
          <w:lang w:val="en-US"/>
        </w:rPr>
        <w:t>104</w:t>
      </w:r>
      <w:r w:rsidR="007967E7" w:rsidRPr="008A1DB4">
        <w:rPr>
          <w:spacing w:val="-2"/>
          <w:lang w:val="en-US"/>
        </w:rPr>
        <w:fldChar w:fldCharType="end"/>
      </w:r>
      <w:r w:rsidR="007967E7" w:rsidRPr="008A1DB4">
        <w:rPr>
          <w:spacing w:val="-2"/>
          <w:lang w:val="en-US"/>
        </w:rPr>
        <w:t>)</w:t>
      </w:r>
      <w:r w:rsidR="00601B3D" w:rsidRPr="008A1DB4">
        <w:rPr>
          <w:spacing w:val="-2"/>
          <w:lang w:val="en-US"/>
        </w:rPr>
        <w:t xml:space="preserve">. </w:t>
      </w:r>
    </w:p>
    <w:p w14:paraId="1F91C9F7" w14:textId="77777777" w:rsidR="00601B3D" w:rsidRPr="008A1DB4" w:rsidRDefault="00601B3D" w:rsidP="00956E97">
      <w:pPr>
        <w:pStyle w:val="ListParagraph"/>
        <w:ind w:left="644"/>
        <w:contextualSpacing w:val="0"/>
        <w:rPr>
          <w:spacing w:val="-2"/>
          <w:szCs w:val="20"/>
          <w:lang w:val="en-US"/>
        </w:rPr>
      </w:pPr>
    </w:p>
    <w:p w14:paraId="36FDCAE5" w14:textId="64949630" w:rsidR="00601B3D" w:rsidRPr="008A1DB4" w:rsidRDefault="00601B3D" w:rsidP="00956E97">
      <w:pPr>
        <w:pStyle w:val="Heading3"/>
        <w:ind w:left="1440" w:firstLine="0"/>
        <w:rPr>
          <w:spacing w:val="-2"/>
          <w:lang w:val="en-US"/>
        </w:rPr>
      </w:pPr>
      <w:bookmarkStart w:id="1190" w:name="_Toc419394445"/>
      <w:bookmarkStart w:id="1191" w:name="_Toc429490304"/>
      <w:bookmarkStart w:id="1192" w:name="_Toc429503818"/>
      <w:bookmarkStart w:id="1193" w:name="_Toc429504324"/>
      <w:bookmarkStart w:id="1194" w:name="_Toc429678037"/>
      <w:bookmarkStart w:id="1195" w:name="_Toc430017200"/>
      <w:bookmarkStart w:id="1196" w:name="_Toc430017429"/>
      <w:bookmarkStart w:id="1197" w:name="_Toc430018711"/>
      <w:bookmarkStart w:id="1198" w:name="_Toc430125309"/>
      <w:bookmarkStart w:id="1199" w:name="_Toc430125417"/>
      <w:r w:rsidRPr="008A1DB4">
        <w:rPr>
          <w:spacing w:val="-2"/>
          <w:lang w:val="en-US"/>
        </w:rPr>
        <w:t xml:space="preserve">D.2.c) </w:t>
      </w:r>
      <w:r w:rsidR="00FC43E7" w:rsidRPr="008A1DB4">
        <w:rPr>
          <w:spacing w:val="-2"/>
          <w:lang w:val="en-US"/>
        </w:rPr>
        <w:t>Release request of</w:t>
      </w:r>
      <w:r w:rsidRPr="008A1DB4">
        <w:rPr>
          <w:spacing w:val="-2"/>
          <w:lang w:val="en-US"/>
        </w:rPr>
        <w:t xml:space="preserve"> </w:t>
      </w:r>
      <w:r w:rsidR="00FC43E7" w:rsidRPr="008A1DB4">
        <w:rPr>
          <w:spacing w:val="-2"/>
          <w:lang w:val="en-US"/>
        </w:rPr>
        <w:t>October 18,</w:t>
      </w:r>
      <w:r w:rsidRPr="008A1DB4">
        <w:rPr>
          <w:spacing w:val="-2"/>
          <w:lang w:val="en-US"/>
        </w:rPr>
        <w:t xml:space="preserve"> 2011</w:t>
      </w:r>
      <w:r w:rsidR="0056729D">
        <w:rPr>
          <w:spacing w:val="-2"/>
          <w:lang w:val="en-US"/>
        </w:rPr>
        <w:t>,</w:t>
      </w:r>
      <w:r w:rsidR="00F36400" w:rsidRPr="008A1DB4">
        <w:rPr>
          <w:spacing w:val="-2"/>
          <w:lang w:val="en-US"/>
        </w:rPr>
        <w:t xml:space="preserve"> and </w:t>
      </w:r>
      <w:r w:rsidR="00E022F9" w:rsidRPr="008A1DB4">
        <w:rPr>
          <w:i/>
          <w:spacing w:val="-2"/>
          <w:lang w:val="en-US"/>
        </w:rPr>
        <w:t>habeas corpus</w:t>
      </w:r>
      <w:r w:rsidR="00FC43E7" w:rsidRPr="008A1DB4">
        <w:rPr>
          <w:spacing w:val="-2"/>
          <w:lang w:val="en-US"/>
        </w:rPr>
        <w:t xml:space="preserve"> of </w:t>
      </w:r>
      <w:r w:rsidR="00A3310A" w:rsidRPr="008A1DB4">
        <w:rPr>
          <w:spacing w:val="-2"/>
          <w:lang w:val="en-US"/>
        </w:rPr>
        <w:t xml:space="preserve">November </w:t>
      </w:r>
      <w:r w:rsidR="00FC43E7" w:rsidRPr="008A1DB4">
        <w:rPr>
          <w:spacing w:val="-2"/>
          <w:lang w:val="en-US"/>
        </w:rPr>
        <w:t>1</w:t>
      </w:r>
      <w:r w:rsidR="00A3310A" w:rsidRPr="008A1DB4">
        <w:rPr>
          <w:spacing w:val="-2"/>
          <w:lang w:val="en-US"/>
        </w:rPr>
        <w:t>6,</w:t>
      </w:r>
      <w:r w:rsidRPr="008A1DB4">
        <w:rPr>
          <w:spacing w:val="-2"/>
          <w:lang w:val="en-US"/>
        </w:rPr>
        <w:t xml:space="preserve"> 2011</w:t>
      </w:r>
      <w:bookmarkEnd w:id="1190"/>
      <w:bookmarkEnd w:id="1191"/>
      <w:bookmarkEnd w:id="1192"/>
      <w:bookmarkEnd w:id="1193"/>
      <w:bookmarkEnd w:id="1194"/>
      <w:bookmarkEnd w:id="1195"/>
      <w:bookmarkEnd w:id="1196"/>
      <w:bookmarkEnd w:id="1197"/>
      <w:bookmarkEnd w:id="1198"/>
      <w:bookmarkEnd w:id="1199"/>
    </w:p>
    <w:p w14:paraId="415D7594" w14:textId="77777777" w:rsidR="00601B3D" w:rsidRPr="008A1DB4" w:rsidRDefault="00601B3D" w:rsidP="00956E97">
      <w:pPr>
        <w:tabs>
          <w:tab w:val="left" w:pos="567"/>
        </w:tabs>
        <w:rPr>
          <w:spacing w:val="-2"/>
          <w:szCs w:val="20"/>
          <w:u w:val="single"/>
          <w:lang w:val="en-US"/>
        </w:rPr>
      </w:pPr>
    </w:p>
    <w:p w14:paraId="3974860F" w14:textId="3973A4ED" w:rsidR="00601B3D" w:rsidRPr="008A1DB4" w:rsidRDefault="00F36400" w:rsidP="00956E97">
      <w:pPr>
        <w:pStyle w:val="PrrafodeSentencia"/>
        <w:rPr>
          <w:spacing w:val="-2"/>
          <w:lang w:val="en-US"/>
        </w:rPr>
      </w:pPr>
      <w:r w:rsidRPr="008A1DB4">
        <w:rPr>
          <w:spacing w:val="-2"/>
          <w:lang w:val="en-US"/>
        </w:rPr>
        <w:t>The Court</w:t>
      </w:r>
      <w:r w:rsidR="00601B3D" w:rsidRPr="008A1DB4">
        <w:rPr>
          <w:spacing w:val="-2"/>
          <w:lang w:val="en-US"/>
        </w:rPr>
        <w:t xml:space="preserve"> </w:t>
      </w:r>
      <w:r w:rsidR="00915186" w:rsidRPr="008A1DB4">
        <w:rPr>
          <w:spacing w:val="-2"/>
          <w:lang w:val="en-US"/>
        </w:rPr>
        <w:t xml:space="preserve">notes that the request of </w:t>
      </w:r>
      <w:r w:rsidR="00FC43E7" w:rsidRPr="008A1DB4">
        <w:rPr>
          <w:spacing w:val="-2"/>
          <w:lang w:val="en-US"/>
        </w:rPr>
        <w:t>October 18,</w:t>
      </w:r>
      <w:r w:rsidR="00601B3D" w:rsidRPr="008A1DB4">
        <w:rPr>
          <w:spacing w:val="-2"/>
          <w:lang w:val="en-US"/>
        </w:rPr>
        <w:t xml:space="preserve"> 2011</w:t>
      </w:r>
      <w:r w:rsidR="00915186" w:rsidRPr="008A1DB4">
        <w:rPr>
          <w:spacing w:val="-2"/>
          <w:lang w:val="en-US"/>
        </w:rPr>
        <w:t xml:space="preserve">, was filed before </w:t>
      </w:r>
      <w:r w:rsidR="001E7113" w:rsidRPr="008A1DB4">
        <w:rPr>
          <w:spacing w:val="-2"/>
          <w:lang w:val="en-US"/>
        </w:rPr>
        <w:t>the Seventh Criminal Court of El Callao</w:t>
      </w:r>
      <w:r w:rsidR="007967E7" w:rsidRPr="008A1DB4">
        <w:rPr>
          <w:spacing w:val="-2"/>
          <w:lang w:val="en-US"/>
        </w:rPr>
        <w:t xml:space="preserve"> (</w:t>
      </w:r>
      <w:r w:rsidR="007967E7" w:rsidRPr="008A1DB4">
        <w:rPr>
          <w:i/>
          <w:spacing w:val="-2"/>
          <w:lang w:val="en-US"/>
        </w:rPr>
        <w:t>supra</w:t>
      </w:r>
      <w:r w:rsidR="007967E7" w:rsidRPr="008A1DB4">
        <w:rPr>
          <w:spacing w:val="-2"/>
          <w:lang w:val="en-US"/>
        </w:rPr>
        <w:t xml:space="preserve"> </w:t>
      </w:r>
      <w:r w:rsidR="00C45946" w:rsidRPr="008A1DB4">
        <w:rPr>
          <w:spacing w:val="-2"/>
          <w:lang w:val="en-US"/>
        </w:rPr>
        <w:t xml:space="preserve">para. </w:t>
      </w:r>
      <w:r w:rsidR="007967E7" w:rsidRPr="008A1DB4">
        <w:rPr>
          <w:spacing w:val="-2"/>
          <w:lang w:val="en-US"/>
        </w:rPr>
        <w:fldChar w:fldCharType="begin"/>
      </w:r>
      <w:r w:rsidR="007967E7" w:rsidRPr="008A1DB4">
        <w:rPr>
          <w:spacing w:val="-2"/>
          <w:lang w:val="en-US"/>
        </w:rPr>
        <w:instrText xml:space="preserve"> REF _Ref429065839 \r \h </w:instrText>
      </w:r>
      <w:r w:rsidR="00DC41F4" w:rsidRPr="008A1DB4">
        <w:rPr>
          <w:spacing w:val="-2"/>
          <w:lang w:val="en-US"/>
        </w:rPr>
        <w:instrText xml:space="preserve"> \* MERGEFORMAT </w:instrText>
      </w:r>
      <w:r w:rsidR="007967E7" w:rsidRPr="008A1DB4">
        <w:rPr>
          <w:spacing w:val="-2"/>
          <w:lang w:val="en-US"/>
        </w:rPr>
      </w:r>
      <w:r w:rsidR="007967E7" w:rsidRPr="008A1DB4">
        <w:rPr>
          <w:spacing w:val="-2"/>
          <w:lang w:val="en-US"/>
        </w:rPr>
        <w:fldChar w:fldCharType="separate"/>
      </w:r>
      <w:r w:rsidR="00E961FA" w:rsidRPr="008A1DB4">
        <w:rPr>
          <w:spacing w:val="-2"/>
          <w:lang w:val="en-US"/>
        </w:rPr>
        <w:t>104</w:t>
      </w:r>
      <w:r w:rsidR="007967E7" w:rsidRPr="008A1DB4">
        <w:rPr>
          <w:spacing w:val="-2"/>
          <w:lang w:val="en-US"/>
        </w:rPr>
        <w:fldChar w:fldCharType="end"/>
      </w:r>
      <w:r w:rsidR="007967E7" w:rsidRPr="008A1DB4">
        <w:rPr>
          <w:spacing w:val="-2"/>
          <w:lang w:val="en-US"/>
        </w:rPr>
        <w:t>)</w:t>
      </w:r>
      <w:r w:rsidR="00601B3D" w:rsidRPr="008A1DB4">
        <w:rPr>
          <w:spacing w:val="-2"/>
          <w:lang w:val="en-US"/>
        </w:rPr>
        <w:t xml:space="preserve">. </w:t>
      </w:r>
      <w:r w:rsidR="00C45946" w:rsidRPr="008A1DB4">
        <w:rPr>
          <w:spacing w:val="-2"/>
          <w:lang w:val="en-US"/>
        </w:rPr>
        <w:t>The representative</w:t>
      </w:r>
      <w:r w:rsidR="00601B3D" w:rsidRPr="008A1DB4">
        <w:rPr>
          <w:spacing w:val="-2"/>
          <w:lang w:val="en-US"/>
        </w:rPr>
        <w:t xml:space="preserve"> </w:t>
      </w:r>
      <w:r w:rsidR="00915186" w:rsidRPr="008A1DB4">
        <w:rPr>
          <w:spacing w:val="-2"/>
          <w:lang w:val="en-US"/>
        </w:rPr>
        <w:t>based his request on the</w:t>
      </w:r>
      <w:r w:rsidR="00C45946" w:rsidRPr="008A1DB4">
        <w:rPr>
          <w:spacing w:val="-2"/>
          <w:lang w:val="en-US"/>
        </w:rPr>
        <w:t xml:space="preserve"> </w:t>
      </w:r>
      <w:r w:rsidR="00B43F84" w:rsidRPr="008A1DB4">
        <w:rPr>
          <w:spacing w:val="-2"/>
          <w:lang w:val="en-US"/>
        </w:rPr>
        <w:t>Constitutional Court</w:t>
      </w:r>
      <w:r w:rsidR="00915186" w:rsidRPr="008A1DB4">
        <w:rPr>
          <w:spacing w:val="-2"/>
          <w:lang w:val="en-US"/>
        </w:rPr>
        <w:t xml:space="preserve">’s order to refrain from extraditing </w:t>
      </w:r>
      <w:r w:rsidR="00B43F84" w:rsidRPr="008A1DB4">
        <w:rPr>
          <w:spacing w:val="-2"/>
          <w:lang w:val="en-US"/>
        </w:rPr>
        <w:t>Wong</w:t>
      </w:r>
      <w:r w:rsidR="00601B3D" w:rsidRPr="008A1DB4">
        <w:rPr>
          <w:spacing w:val="-2"/>
          <w:lang w:val="en-US"/>
        </w:rPr>
        <w:t xml:space="preserve"> Ho Wing. </w:t>
      </w:r>
      <w:r w:rsidR="00915186" w:rsidRPr="008A1DB4">
        <w:rPr>
          <w:spacing w:val="-2"/>
          <w:lang w:val="en-US"/>
        </w:rPr>
        <w:t>In this regard, he indicated that “[j]</w:t>
      </w:r>
      <w:proofErr w:type="spellStart"/>
      <w:r w:rsidR="00915186" w:rsidRPr="008A1DB4">
        <w:rPr>
          <w:spacing w:val="-2"/>
          <w:lang w:val="en-US"/>
        </w:rPr>
        <w:t>udgments</w:t>
      </w:r>
      <w:proofErr w:type="spellEnd"/>
      <w:r w:rsidR="00915186" w:rsidRPr="008A1DB4">
        <w:rPr>
          <w:spacing w:val="-2"/>
          <w:lang w:val="en-US"/>
        </w:rPr>
        <w:t xml:space="preserve"> delivered by the constitutional judges have prevalence over those of the other courts and must be executed on pain of </w:t>
      </w:r>
      <w:r w:rsidR="005806D6" w:rsidRPr="008A1DB4">
        <w:rPr>
          <w:spacing w:val="-2"/>
          <w:lang w:val="en-US"/>
        </w:rPr>
        <w:t>incurring responsibility. Thus, the judgment that orders [the State …] to refrain from extraditing [</w:t>
      </w:r>
      <w:r w:rsidR="00601B3D" w:rsidRPr="008A1DB4">
        <w:rPr>
          <w:spacing w:val="-2"/>
          <w:lang w:val="en-US"/>
        </w:rPr>
        <w:t xml:space="preserve">Wong Ho Wing] </w:t>
      </w:r>
      <w:r w:rsidR="005806D6" w:rsidRPr="008A1DB4">
        <w:rPr>
          <w:spacing w:val="-2"/>
          <w:lang w:val="en-US"/>
        </w:rPr>
        <w:t xml:space="preserve">requires immediate execution.” Therefore, he indicated that, following the </w:t>
      </w:r>
      <w:r w:rsidR="00A33F97" w:rsidRPr="008A1DB4">
        <w:rPr>
          <w:spacing w:val="-2"/>
          <w:lang w:val="en-US"/>
        </w:rPr>
        <w:t>decision</w:t>
      </w:r>
      <w:r w:rsidR="00C45946" w:rsidRPr="008A1DB4">
        <w:rPr>
          <w:spacing w:val="-2"/>
          <w:lang w:val="en-US"/>
        </w:rPr>
        <w:t xml:space="preserve"> of the </w:t>
      </w:r>
      <w:r w:rsidR="00B43F84" w:rsidRPr="008A1DB4">
        <w:rPr>
          <w:spacing w:val="-2"/>
          <w:lang w:val="en-US"/>
        </w:rPr>
        <w:t>Constitutional Court</w:t>
      </w:r>
      <w:r w:rsidR="005806D6" w:rsidRPr="008A1DB4">
        <w:rPr>
          <w:spacing w:val="-2"/>
          <w:lang w:val="en-US"/>
        </w:rPr>
        <w:t>,</w:t>
      </w:r>
      <w:r w:rsidR="00601B3D" w:rsidRPr="008A1DB4">
        <w:rPr>
          <w:spacing w:val="-2"/>
          <w:lang w:val="en-US"/>
        </w:rPr>
        <w:t xml:space="preserve"> “</w:t>
      </w:r>
      <w:r w:rsidR="005806D6" w:rsidRPr="008A1DB4">
        <w:rPr>
          <w:spacing w:val="-2"/>
          <w:lang w:val="en-US"/>
        </w:rPr>
        <w:t xml:space="preserve">there is no legal pretext or </w:t>
      </w:r>
      <w:r w:rsidR="005806D6" w:rsidRPr="008A1DB4">
        <w:rPr>
          <w:spacing w:val="-2"/>
          <w:lang w:val="en-US"/>
        </w:rPr>
        <w:lastRenderedPageBreak/>
        <w:t>provision that permits an individual to remain deprived of liberty.” He also affir</w:t>
      </w:r>
      <w:r w:rsidR="0056729D">
        <w:rPr>
          <w:spacing w:val="-2"/>
          <w:lang w:val="en-US"/>
        </w:rPr>
        <w:t>med, in general, that preventive</w:t>
      </w:r>
      <w:r w:rsidR="005806D6" w:rsidRPr="008A1DB4">
        <w:rPr>
          <w:spacing w:val="-2"/>
          <w:lang w:val="en-US"/>
        </w:rPr>
        <w:t xml:space="preserve"> </w:t>
      </w:r>
      <w:r w:rsidR="0079515C" w:rsidRPr="008A1DB4">
        <w:rPr>
          <w:spacing w:val="-2"/>
          <w:lang w:val="en-US"/>
        </w:rPr>
        <w:t>detention</w:t>
      </w:r>
      <w:r w:rsidR="005806D6" w:rsidRPr="008A1DB4">
        <w:rPr>
          <w:spacing w:val="-2"/>
          <w:lang w:val="en-US"/>
        </w:rPr>
        <w:t xml:space="preserve"> should not exceed a </w:t>
      </w:r>
      <w:r w:rsidR="00A33F97" w:rsidRPr="008A1DB4">
        <w:rPr>
          <w:spacing w:val="-2"/>
          <w:lang w:val="en-US"/>
        </w:rPr>
        <w:t>reasonable time</w:t>
      </w:r>
      <w:r w:rsidR="005806D6" w:rsidRPr="008A1DB4">
        <w:rPr>
          <w:spacing w:val="-2"/>
          <w:lang w:val="en-US"/>
        </w:rPr>
        <w:t>.</w:t>
      </w:r>
      <w:r w:rsidR="00601B3D" w:rsidRPr="008A1DB4">
        <w:rPr>
          <w:rStyle w:val="FootnoteReference"/>
          <w:spacing w:val="-2"/>
          <w:lang w:val="en-US"/>
        </w:rPr>
        <w:footnoteReference w:id="361"/>
      </w:r>
    </w:p>
    <w:p w14:paraId="4647B861" w14:textId="77777777" w:rsidR="00601B3D" w:rsidRPr="008A1DB4" w:rsidRDefault="00601B3D" w:rsidP="00956E97">
      <w:pPr>
        <w:pStyle w:val="ListParagraph"/>
        <w:tabs>
          <w:tab w:val="left" w:pos="567"/>
        </w:tabs>
        <w:ind w:left="0"/>
        <w:contextualSpacing w:val="0"/>
        <w:rPr>
          <w:spacing w:val="-2"/>
          <w:szCs w:val="20"/>
          <w:lang w:val="en-US"/>
        </w:rPr>
      </w:pPr>
    </w:p>
    <w:p w14:paraId="48792D4A" w14:textId="2B509632" w:rsidR="00601B3D" w:rsidRPr="008A1DB4" w:rsidRDefault="005806D6" w:rsidP="00956E97">
      <w:pPr>
        <w:pStyle w:val="PrrafodeSentencia"/>
        <w:rPr>
          <w:spacing w:val="-2"/>
          <w:lang w:val="en-US"/>
        </w:rPr>
      </w:pPr>
      <w:bookmarkStart w:id="1200" w:name="_Ref429068640"/>
      <w:r w:rsidRPr="008A1DB4">
        <w:rPr>
          <w:spacing w:val="-2"/>
          <w:lang w:val="en-US"/>
        </w:rPr>
        <w:t xml:space="preserve">The evidence provided reveals that, initially, the judge was unable to decide the release request because the </w:t>
      </w:r>
      <w:r w:rsidR="004257EF" w:rsidRPr="008A1DB4">
        <w:rPr>
          <w:spacing w:val="-2"/>
          <w:lang w:val="en-US"/>
        </w:rPr>
        <w:t>provisional arrest</w:t>
      </w:r>
      <w:r w:rsidR="00601B3D" w:rsidRPr="008A1DB4">
        <w:rPr>
          <w:spacing w:val="-2"/>
          <w:lang w:val="en-US"/>
        </w:rPr>
        <w:t xml:space="preserve"> </w:t>
      </w:r>
      <w:r w:rsidRPr="008A1DB4">
        <w:rPr>
          <w:spacing w:val="-2"/>
          <w:lang w:val="en-US"/>
        </w:rPr>
        <w:t xml:space="preserve">file was with </w:t>
      </w:r>
      <w:r w:rsidR="002D1CFC" w:rsidRPr="008A1DB4">
        <w:rPr>
          <w:spacing w:val="-2"/>
          <w:lang w:val="en-US"/>
        </w:rPr>
        <w:t>the Ministry of Justice</w:t>
      </w:r>
      <w:r w:rsidR="00601B3D" w:rsidRPr="008A1DB4">
        <w:rPr>
          <w:spacing w:val="-2"/>
          <w:lang w:val="en-US"/>
        </w:rPr>
        <w:t xml:space="preserve">. </w:t>
      </w:r>
      <w:r w:rsidRPr="008A1DB4">
        <w:rPr>
          <w:spacing w:val="-2"/>
          <w:lang w:val="en-US"/>
        </w:rPr>
        <w:t xml:space="preserve">Following several requests, </w:t>
      </w:r>
      <w:r w:rsidR="002D1CFC" w:rsidRPr="008A1DB4">
        <w:rPr>
          <w:spacing w:val="-2"/>
          <w:lang w:val="en-US"/>
        </w:rPr>
        <w:t>the Ministry of Justice</w:t>
      </w:r>
      <w:r w:rsidR="00601B3D" w:rsidRPr="008A1DB4">
        <w:rPr>
          <w:spacing w:val="-2"/>
          <w:lang w:val="en-US"/>
        </w:rPr>
        <w:t xml:space="preserve"> </w:t>
      </w:r>
      <w:r w:rsidRPr="008A1DB4">
        <w:rPr>
          <w:spacing w:val="-2"/>
          <w:lang w:val="en-US"/>
        </w:rPr>
        <w:t xml:space="preserve">forwarded the file to the Seventh Criminal Court on </w:t>
      </w:r>
      <w:r w:rsidR="00A3310A" w:rsidRPr="008A1DB4">
        <w:rPr>
          <w:spacing w:val="-2"/>
          <w:lang w:val="en-US"/>
        </w:rPr>
        <w:t>November 25,</w:t>
      </w:r>
      <w:r w:rsidR="00601B3D" w:rsidRPr="008A1DB4">
        <w:rPr>
          <w:spacing w:val="-2"/>
          <w:lang w:val="en-US"/>
        </w:rPr>
        <w:t xml:space="preserve"> 2011</w:t>
      </w:r>
      <w:r w:rsidR="00F80177" w:rsidRPr="008A1DB4">
        <w:rPr>
          <w:spacing w:val="-2"/>
          <w:lang w:val="en-US"/>
        </w:rPr>
        <w:t xml:space="preserve"> (</w:t>
      </w:r>
      <w:r w:rsidR="00F80177" w:rsidRPr="008A1DB4">
        <w:rPr>
          <w:i/>
          <w:spacing w:val="-2"/>
          <w:lang w:val="en-US"/>
        </w:rPr>
        <w:t xml:space="preserve">supra </w:t>
      </w:r>
      <w:r w:rsidR="00631F9C" w:rsidRPr="008A1DB4">
        <w:rPr>
          <w:spacing w:val="-2"/>
          <w:lang w:val="en-US"/>
        </w:rPr>
        <w:t>paras.</w:t>
      </w:r>
      <w:r w:rsidR="00F80177" w:rsidRPr="008A1DB4">
        <w:rPr>
          <w:spacing w:val="-2"/>
          <w:lang w:val="en-US"/>
        </w:rPr>
        <w:t xml:space="preserve"> </w:t>
      </w:r>
      <w:r w:rsidR="00F80177" w:rsidRPr="008A1DB4">
        <w:rPr>
          <w:spacing w:val="-2"/>
          <w:lang w:val="en-US"/>
        </w:rPr>
        <w:fldChar w:fldCharType="begin"/>
      </w:r>
      <w:r w:rsidR="00F80177" w:rsidRPr="008A1DB4">
        <w:rPr>
          <w:spacing w:val="-2"/>
          <w:lang w:val="en-US"/>
        </w:rPr>
        <w:instrText xml:space="preserve"> REF _Ref429067012 \r \h </w:instrText>
      </w:r>
      <w:r w:rsidR="00DC41F4" w:rsidRPr="008A1DB4">
        <w:rPr>
          <w:spacing w:val="-2"/>
          <w:lang w:val="en-US"/>
        </w:rPr>
        <w:instrText xml:space="preserve"> \* MERGEFORMAT </w:instrText>
      </w:r>
      <w:r w:rsidR="00F80177" w:rsidRPr="008A1DB4">
        <w:rPr>
          <w:spacing w:val="-2"/>
          <w:lang w:val="en-US"/>
        </w:rPr>
      </w:r>
      <w:r w:rsidR="00F80177" w:rsidRPr="008A1DB4">
        <w:rPr>
          <w:spacing w:val="-2"/>
          <w:lang w:val="en-US"/>
        </w:rPr>
        <w:fldChar w:fldCharType="separate"/>
      </w:r>
      <w:r w:rsidR="00E961FA" w:rsidRPr="008A1DB4">
        <w:rPr>
          <w:spacing w:val="-2"/>
          <w:lang w:val="en-US"/>
        </w:rPr>
        <w:t>105</w:t>
      </w:r>
      <w:r w:rsidR="00F80177" w:rsidRPr="008A1DB4">
        <w:rPr>
          <w:spacing w:val="-2"/>
          <w:lang w:val="en-US"/>
        </w:rPr>
        <w:fldChar w:fldCharType="end"/>
      </w:r>
      <w:r w:rsidR="00F36400" w:rsidRPr="008A1DB4">
        <w:rPr>
          <w:spacing w:val="-2"/>
          <w:lang w:val="en-US"/>
        </w:rPr>
        <w:t xml:space="preserve"> and </w:t>
      </w:r>
      <w:r w:rsidR="00F80177" w:rsidRPr="008A1DB4">
        <w:rPr>
          <w:spacing w:val="-2"/>
          <w:lang w:val="en-US"/>
        </w:rPr>
        <w:fldChar w:fldCharType="begin"/>
      </w:r>
      <w:r w:rsidR="00F80177" w:rsidRPr="008A1DB4">
        <w:rPr>
          <w:spacing w:val="-2"/>
          <w:lang w:val="en-US"/>
        </w:rPr>
        <w:instrText xml:space="preserve"> REF _Ref429067015 \r \h </w:instrText>
      </w:r>
      <w:r w:rsidR="00DC41F4" w:rsidRPr="008A1DB4">
        <w:rPr>
          <w:spacing w:val="-2"/>
          <w:lang w:val="en-US"/>
        </w:rPr>
        <w:instrText xml:space="preserve"> \* MERGEFORMAT </w:instrText>
      </w:r>
      <w:r w:rsidR="00F80177" w:rsidRPr="008A1DB4">
        <w:rPr>
          <w:spacing w:val="-2"/>
          <w:lang w:val="en-US"/>
        </w:rPr>
      </w:r>
      <w:r w:rsidR="00F80177" w:rsidRPr="008A1DB4">
        <w:rPr>
          <w:spacing w:val="-2"/>
          <w:lang w:val="en-US"/>
        </w:rPr>
        <w:fldChar w:fldCharType="separate"/>
      </w:r>
      <w:r w:rsidR="00E961FA" w:rsidRPr="008A1DB4">
        <w:rPr>
          <w:spacing w:val="-2"/>
          <w:lang w:val="en-US"/>
        </w:rPr>
        <w:t>106</w:t>
      </w:r>
      <w:r w:rsidR="00F80177" w:rsidRPr="008A1DB4">
        <w:rPr>
          <w:spacing w:val="-2"/>
          <w:lang w:val="en-US"/>
        </w:rPr>
        <w:fldChar w:fldCharType="end"/>
      </w:r>
      <w:r w:rsidR="00F80177" w:rsidRPr="008A1DB4">
        <w:rPr>
          <w:spacing w:val="-2"/>
          <w:lang w:val="en-US"/>
        </w:rPr>
        <w:t>)</w:t>
      </w:r>
      <w:r w:rsidR="00601B3D" w:rsidRPr="008A1DB4">
        <w:rPr>
          <w:spacing w:val="-2"/>
          <w:lang w:val="en-US"/>
        </w:rPr>
        <w:t xml:space="preserve">. </w:t>
      </w:r>
      <w:r w:rsidR="00FC43E7" w:rsidRPr="008A1DB4">
        <w:rPr>
          <w:spacing w:val="-2"/>
          <w:lang w:val="en-US"/>
        </w:rPr>
        <w:t>On</w:t>
      </w:r>
      <w:r w:rsidR="00601B3D" w:rsidRPr="008A1DB4">
        <w:rPr>
          <w:spacing w:val="-2"/>
          <w:lang w:val="en-US"/>
        </w:rPr>
        <w:t xml:space="preserve"> </w:t>
      </w:r>
      <w:r w:rsidR="00BB336A" w:rsidRPr="008A1DB4">
        <w:rPr>
          <w:spacing w:val="-2"/>
          <w:lang w:val="en-US"/>
        </w:rPr>
        <w:t>December 1,</w:t>
      </w:r>
      <w:r w:rsidR="00601B3D" w:rsidRPr="008A1DB4">
        <w:rPr>
          <w:spacing w:val="-2"/>
          <w:lang w:val="en-US"/>
        </w:rPr>
        <w:t xml:space="preserve"> 2011</w:t>
      </w:r>
      <w:r w:rsidR="00FC43E7" w:rsidRPr="008A1DB4">
        <w:rPr>
          <w:spacing w:val="-2"/>
          <w:lang w:val="en-US"/>
        </w:rPr>
        <w:t>,</w:t>
      </w:r>
      <w:r w:rsidR="00601B3D" w:rsidRPr="008A1DB4">
        <w:rPr>
          <w:spacing w:val="-2"/>
          <w:lang w:val="en-US"/>
        </w:rPr>
        <w:t xml:space="preserve"> </w:t>
      </w:r>
      <w:r w:rsidRPr="008A1DB4">
        <w:rPr>
          <w:spacing w:val="-2"/>
          <w:lang w:val="en-US"/>
        </w:rPr>
        <w:t xml:space="preserve">this court </w:t>
      </w:r>
      <w:r w:rsidR="0079515C" w:rsidRPr="008A1DB4">
        <w:rPr>
          <w:spacing w:val="-2"/>
          <w:lang w:val="en-US"/>
        </w:rPr>
        <w:t>answered</w:t>
      </w:r>
      <w:r w:rsidRPr="008A1DB4">
        <w:rPr>
          <w:spacing w:val="-2"/>
          <w:lang w:val="en-US"/>
        </w:rPr>
        <w:t xml:space="preserve"> the </w:t>
      </w:r>
      <w:r w:rsidR="0079515C" w:rsidRPr="008A1DB4">
        <w:rPr>
          <w:spacing w:val="-2"/>
          <w:lang w:val="en-US"/>
        </w:rPr>
        <w:t>request</w:t>
      </w:r>
      <w:r w:rsidR="00C07F9C">
        <w:rPr>
          <w:spacing w:val="-2"/>
          <w:lang w:val="en-US"/>
        </w:rPr>
        <w:t xml:space="preserve"> indicating</w:t>
      </w:r>
      <w:r w:rsidRPr="008A1DB4">
        <w:rPr>
          <w:spacing w:val="-2"/>
          <w:lang w:val="en-US"/>
        </w:rPr>
        <w:t xml:space="preserve"> that, “noting from a review of the extradition file forwarded by </w:t>
      </w:r>
      <w:r w:rsidR="002D1CFC" w:rsidRPr="008A1DB4">
        <w:rPr>
          <w:spacing w:val="-2"/>
          <w:lang w:val="en-US"/>
        </w:rPr>
        <w:t>the Ministry of Justice</w:t>
      </w:r>
      <w:r w:rsidR="00601B3D" w:rsidRPr="008A1DB4">
        <w:rPr>
          <w:spacing w:val="-2"/>
          <w:lang w:val="en-US"/>
        </w:rPr>
        <w:t xml:space="preserve"> </w:t>
      </w:r>
      <w:r w:rsidRPr="008A1DB4">
        <w:rPr>
          <w:spacing w:val="-2"/>
          <w:lang w:val="en-US"/>
        </w:rPr>
        <w:t>that the issue of a final decision is still pending [it decided that the r</w:t>
      </w:r>
      <w:r w:rsidR="00FC43E7" w:rsidRPr="008A1DB4">
        <w:rPr>
          <w:spacing w:val="-2"/>
          <w:lang w:val="en-US"/>
        </w:rPr>
        <w:t xml:space="preserve">elease request </w:t>
      </w:r>
      <w:r w:rsidRPr="008A1DB4">
        <w:rPr>
          <w:spacing w:val="-2"/>
          <w:lang w:val="en-US"/>
        </w:rPr>
        <w:t>should be presented] opportunely and pursuant to the law</w:t>
      </w:r>
      <w:r w:rsidR="00601B3D" w:rsidRPr="008A1DB4">
        <w:rPr>
          <w:spacing w:val="-2"/>
          <w:lang w:val="en-US"/>
        </w:rPr>
        <w:t>”</w:t>
      </w:r>
      <w:r w:rsidR="00601B3D" w:rsidRPr="008A1DB4">
        <w:rPr>
          <w:rStyle w:val="FootnoteReference"/>
          <w:spacing w:val="-2"/>
          <w:lang w:val="en-US"/>
        </w:rPr>
        <w:footnoteReference w:id="362"/>
      </w:r>
      <w:r w:rsidR="005E17F8" w:rsidRPr="008A1DB4">
        <w:rPr>
          <w:spacing w:val="-2"/>
          <w:lang w:val="en-US"/>
        </w:rPr>
        <w:t xml:space="preserve"> (</w:t>
      </w:r>
      <w:r w:rsidR="005E17F8" w:rsidRPr="008A1DB4">
        <w:rPr>
          <w:i/>
          <w:spacing w:val="-2"/>
          <w:lang w:val="en-US"/>
        </w:rPr>
        <w:t>supra</w:t>
      </w:r>
      <w:r w:rsidR="005E17F8" w:rsidRPr="008A1DB4">
        <w:rPr>
          <w:spacing w:val="-2"/>
          <w:lang w:val="en-US"/>
        </w:rPr>
        <w:t xml:space="preserve"> </w:t>
      </w:r>
      <w:r w:rsidR="00C45946" w:rsidRPr="008A1DB4">
        <w:rPr>
          <w:spacing w:val="-2"/>
          <w:lang w:val="en-US"/>
        </w:rPr>
        <w:t xml:space="preserve">para. </w:t>
      </w:r>
      <w:r w:rsidR="005E17F8" w:rsidRPr="008A1DB4">
        <w:rPr>
          <w:spacing w:val="-2"/>
          <w:lang w:val="en-US"/>
        </w:rPr>
        <w:fldChar w:fldCharType="begin"/>
      </w:r>
      <w:r w:rsidR="005E17F8" w:rsidRPr="008A1DB4">
        <w:rPr>
          <w:spacing w:val="-2"/>
          <w:lang w:val="en-US"/>
        </w:rPr>
        <w:instrText xml:space="preserve"> REF _Ref429067059 \r \h </w:instrText>
      </w:r>
      <w:r w:rsidR="00DC41F4" w:rsidRPr="008A1DB4">
        <w:rPr>
          <w:spacing w:val="-2"/>
          <w:lang w:val="en-US"/>
        </w:rPr>
        <w:instrText xml:space="preserve"> \* MERGEFORMAT </w:instrText>
      </w:r>
      <w:r w:rsidR="005E17F8" w:rsidRPr="008A1DB4">
        <w:rPr>
          <w:spacing w:val="-2"/>
          <w:lang w:val="en-US"/>
        </w:rPr>
      </w:r>
      <w:r w:rsidR="005E17F8" w:rsidRPr="008A1DB4">
        <w:rPr>
          <w:spacing w:val="-2"/>
          <w:lang w:val="en-US"/>
        </w:rPr>
        <w:fldChar w:fldCharType="separate"/>
      </w:r>
      <w:r w:rsidR="00E961FA" w:rsidRPr="008A1DB4">
        <w:rPr>
          <w:spacing w:val="-2"/>
          <w:lang w:val="en-US"/>
        </w:rPr>
        <w:t>107</w:t>
      </w:r>
      <w:r w:rsidR="005E17F8" w:rsidRPr="008A1DB4">
        <w:rPr>
          <w:spacing w:val="-2"/>
          <w:lang w:val="en-US"/>
        </w:rPr>
        <w:fldChar w:fldCharType="end"/>
      </w:r>
      <w:r w:rsidR="005E17F8" w:rsidRPr="008A1DB4">
        <w:rPr>
          <w:spacing w:val="-2"/>
          <w:lang w:val="en-US"/>
        </w:rPr>
        <w:t>).</w:t>
      </w:r>
      <w:bookmarkEnd w:id="1200"/>
      <w:r w:rsidR="005E17F8" w:rsidRPr="008A1DB4">
        <w:rPr>
          <w:spacing w:val="-2"/>
          <w:lang w:val="en-US"/>
        </w:rPr>
        <w:t xml:space="preserve"> </w:t>
      </w:r>
      <w:r w:rsidR="00601B3D" w:rsidRPr="008A1DB4">
        <w:rPr>
          <w:rStyle w:val="apple-converted-space"/>
          <w:rFonts w:cs="Arial"/>
          <w:spacing w:val="-2"/>
          <w:lang w:val="en-US"/>
        </w:rPr>
        <w:t> </w:t>
      </w:r>
    </w:p>
    <w:p w14:paraId="6BCB57BB" w14:textId="77777777" w:rsidR="00601B3D" w:rsidRPr="008A1DB4" w:rsidRDefault="00601B3D" w:rsidP="00956E97">
      <w:pPr>
        <w:pStyle w:val="ListParagraph"/>
        <w:tabs>
          <w:tab w:val="left" w:pos="567"/>
        </w:tabs>
        <w:ind w:left="0"/>
        <w:rPr>
          <w:rFonts w:cs="Arial"/>
          <w:spacing w:val="-2"/>
          <w:szCs w:val="20"/>
          <w:lang w:val="en-US"/>
        </w:rPr>
      </w:pPr>
    </w:p>
    <w:p w14:paraId="72F197B1" w14:textId="63FF679A" w:rsidR="00601B3D" w:rsidRPr="008A1DB4" w:rsidRDefault="005806D6" w:rsidP="005806D6">
      <w:pPr>
        <w:pStyle w:val="PrrafodeSentencia"/>
        <w:rPr>
          <w:spacing w:val="-2"/>
          <w:lang w:val="en-US"/>
        </w:rPr>
      </w:pPr>
      <w:bookmarkStart w:id="1201" w:name="_Ref429068798"/>
      <w:r w:rsidRPr="008A1DB4">
        <w:rPr>
          <w:spacing w:val="-2"/>
          <w:lang w:val="en-US"/>
        </w:rPr>
        <w:t xml:space="preserve">At the same time, </w:t>
      </w:r>
      <w:r w:rsidR="00FC43E7" w:rsidRPr="008A1DB4">
        <w:rPr>
          <w:spacing w:val="-2"/>
          <w:lang w:val="en-US"/>
        </w:rPr>
        <w:t>on November 16</w:t>
      </w:r>
      <w:r w:rsidR="00A3310A" w:rsidRPr="008A1DB4">
        <w:rPr>
          <w:spacing w:val="-2"/>
          <w:lang w:val="en-US"/>
        </w:rPr>
        <w:t>,</w:t>
      </w:r>
      <w:r w:rsidR="00601B3D" w:rsidRPr="008A1DB4">
        <w:rPr>
          <w:spacing w:val="-2"/>
          <w:lang w:val="en-US"/>
        </w:rPr>
        <w:t xml:space="preserve"> 2011, </w:t>
      </w:r>
      <w:r w:rsidR="00C45946" w:rsidRPr="008A1DB4">
        <w:rPr>
          <w:spacing w:val="-2"/>
          <w:lang w:val="en-US"/>
        </w:rPr>
        <w:t>the representative</w:t>
      </w:r>
      <w:r w:rsidR="00601B3D" w:rsidRPr="008A1DB4">
        <w:rPr>
          <w:spacing w:val="-2"/>
          <w:lang w:val="en-US"/>
        </w:rPr>
        <w:t xml:space="preserve"> </w:t>
      </w:r>
      <w:r w:rsidRPr="008A1DB4">
        <w:rPr>
          <w:spacing w:val="-2"/>
          <w:lang w:val="en-US"/>
        </w:rPr>
        <w:t xml:space="preserve">filed a fourth application for </w:t>
      </w:r>
      <w:r w:rsidR="00E022F9" w:rsidRPr="008A1DB4">
        <w:rPr>
          <w:i/>
          <w:spacing w:val="-2"/>
          <w:lang w:val="en-US"/>
        </w:rPr>
        <w:t>habeas corpus</w:t>
      </w:r>
      <w:r w:rsidR="00601B3D" w:rsidRPr="008A1DB4">
        <w:rPr>
          <w:rStyle w:val="apple-converted-space"/>
          <w:rFonts w:cs="Arial"/>
          <w:spacing w:val="-2"/>
          <w:lang w:val="en-US"/>
        </w:rPr>
        <w:t> </w:t>
      </w:r>
      <w:r w:rsidRPr="008A1DB4">
        <w:rPr>
          <w:spacing w:val="-2"/>
          <w:lang w:val="en-US"/>
        </w:rPr>
        <w:t>against the judge’s decision to return the provisional arrest file</w:t>
      </w:r>
      <w:r w:rsidR="00601B3D" w:rsidRPr="008A1DB4">
        <w:rPr>
          <w:spacing w:val="-2"/>
          <w:lang w:val="en-US"/>
        </w:rPr>
        <w:t xml:space="preserve"> </w:t>
      </w:r>
      <w:r w:rsidR="00FC5891" w:rsidRPr="008A1DB4">
        <w:rPr>
          <w:spacing w:val="-2"/>
          <w:lang w:val="en-US"/>
        </w:rPr>
        <w:t>to the Ministry of Justice</w:t>
      </w:r>
      <w:r w:rsidR="00601B3D" w:rsidRPr="008A1DB4">
        <w:rPr>
          <w:spacing w:val="-2"/>
          <w:lang w:val="en-US"/>
        </w:rPr>
        <w:t xml:space="preserve"> </w:t>
      </w:r>
      <w:r w:rsidRPr="008A1DB4">
        <w:rPr>
          <w:spacing w:val="-2"/>
          <w:lang w:val="en-US"/>
        </w:rPr>
        <w:t xml:space="preserve">before deciding the release request </w:t>
      </w:r>
      <w:r w:rsidR="00601B3D" w:rsidRPr="008A1DB4">
        <w:rPr>
          <w:spacing w:val="-2"/>
          <w:lang w:val="en-US"/>
        </w:rPr>
        <w:t>(</w:t>
      </w:r>
      <w:r w:rsidR="00601B3D" w:rsidRPr="008A1DB4">
        <w:rPr>
          <w:i/>
          <w:spacing w:val="-2"/>
          <w:lang w:val="en-US"/>
        </w:rPr>
        <w:t xml:space="preserve">supra </w:t>
      </w:r>
      <w:r w:rsidR="00C45946" w:rsidRPr="008A1DB4">
        <w:rPr>
          <w:spacing w:val="-2"/>
          <w:lang w:val="en-US"/>
        </w:rPr>
        <w:t xml:space="preserve">para. </w:t>
      </w:r>
      <w:r w:rsidR="00B85774" w:rsidRPr="008A1DB4">
        <w:rPr>
          <w:spacing w:val="-2"/>
          <w:lang w:val="en-US"/>
        </w:rPr>
        <w:fldChar w:fldCharType="begin"/>
      </w:r>
      <w:r w:rsidR="00B85774" w:rsidRPr="008A1DB4">
        <w:rPr>
          <w:spacing w:val="-2"/>
          <w:lang w:val="en-US"/>
        </w:rPr>
        <w:instrText xml:space="preserve"> REF _Ref429065874 \r \h </w:instrText>
      </w:r>
      <w:r w:rsidR="00DC41F4" w:rsidRPr="008A1DB4">
        <w:rPr>
          <w:spacing w:val="-2"/>
          <w:lang w:val="en-US"/>
        </w:rPr>
        <w:instrText xml:space="preserve"> \* MERGEFORMAT </w:instrText>
      </w:r>
      <w:r w:rsidR="00B85774" w:rsidRPr="008A1DB4">
        <w:rPr>
          <w:spacing w:val="-2"/>
          <w:lang w:val="en-US"/>
        </w:rPr>
      </w:r>
      <w:r w:rsidR="00B85774" w:rsidRPr="008A1DB4">
        <w:rPr>
          <w:spacing w:val="-2"/>
          <w:lang w:val="en-US"/>
        </w:rPr>
        <w:fldChar w:fldCharType="separate"/>
      </w:r>
      <w:r w:rsidR="00E961FA" w:rsidRPr="008A1DB4">
        <w:rPr>
          <w:spacing w:val="-2"/>
          <w:lang w:val="en-US"/>
        </w:rPr>
        <w:t>108</w:t>
      </w:r>
      <w:r w:rsidR="00B85774" w:rsidRPr="008A1DB4">
        <w:rPr>
          <w:spacing w:val="-2"/>
          <w:lang w:val="en-US"/>
        </w:rPr>
        <w:fldChar w:fldCharType="end"/>
      </w:r>
      <w:r w:rsidR="00601B3D" w:rsidRPr="008A1DB4">
        <w:rPr>
          <w:spacing w:val="-2"/>
          <w:lang w:val="en-US"/>
        </w:rPr>
        <w:t xml:space="preserve">). </w:t>
      </w:r>
      <w:r w:rsidRPr="008A1DB4">
        <w:rPr>
          <w:spacing w:val="-2"/>
          <w:lang w:val="en-US"/>
        </w:rPr>
        <w:t xml:space="preserve">In this application for </w:t>
      </w:r>
      <w:r w:rsidR="00E022F9" w:rsidRPr="008A1DB4">
        <w:rPr>
          <w:i/>
          <w:spacing w:val="-2"/>
          <w:lang w:val="en-US"/>
        </w:rPr>
        <w:t>habeas corpus</w:t>
      </w:r>
      <w:r w:rsidR="00601B3D" w:rsidRPr="008A1DB4">
        <w:rPr>
          <w:spacing w:val="-2"/>
          <w:lang w:val="en-US"/>
        </w:rPr>
        <w:t xml:space="preserve">, </w:t>
      </w:r>
      <w:r w:rsidR="00C45946" w:rsidRPr="008A1DB4">
        <w:rPr>
          <w:spacing w:val="-2"/>
          <w:lang w:val="en-US"/>
        </w:rPr>
        <w:t>the representative</w:t>
      </w:r>
      <w:r w:rsidRPr="008A1DB4">
        <w:rPr>
          <w:spacing w:val="-2"/>
          <w:lang w:val="en-US"/>
        </w:rPr>
        <w:t xml:space="preserve"> indicated that “if the Constitutional Court has declared extradition inadmissible, </w:t>
      </w:r>
      <w:r w:rsidR="004257EF" w:rsidRPr="008A1DB4">
        <w:rPr>
          <w:spacing w:val="-2"/>
          <w:lang w:val="en-US"/>
        </w:rPr>
        <w:t>the provisional arrest</w:t>
      </w:r>
      <w:r w:rsidR="00601B3D" w:rsidRPr="008A1DB4">
        <w:rPr>
          <w:spacing w:val="-2"/>
          <w:lang w:val="en-US"/>
        </w:rPr>
        <w:t xml:space="preserve"> </w:t>
      </w:r>
      <w:r w:rsidRPr="008A1DB4">
        <w:rPr>
          <w:spacing w:val="-2"/>
          <w:lang w:val="en-US"/>
        </w:rPr>
        <w:t xml:space="preserve">in this same context has no validity because it is a subsidiary measure of </w:t>
      </w:r>
      <w:r w:rsidR="00671326" w:rsidRPr="008A1DB4">
        <w:rPr>
          <w:spacing w:val="-2"/>
          <w:lang w:val="en-US"/>
        </w:rPr>
        <w:t xml:space="preserve">the </w:t>
      </w:r>
      <w:r w:rsidR="00FC5891" w:rsidRPr="008A1DB4">
        <w:rPr>
          <w:spacing w:val="-2"/>
          <w:lang w:val="en-US"/>
        </w:rPr>
        <w:t>extradition process</w:t>
      </w:r>
      <w:r w:rsidRPr="008A1DB4">
        <w:rPr>
          <w:spacing w:val="-2"/>
          <w:lang w:val="en-US"/>
        </w:rPr>
        <w:t>.</w:t>
      </w:r>
      <w:r w:rsidR="00601B3D" w:rsidRPr="008A1DB4">
        <w:rPr>
          <w:spacing w:val="-2"/>
          <w:lang w:val="en-US"/>
        </w:rPr>
        <w:t>”</w:t>
      </w:r>
      <w:r w:rsidR="00601B3D" w:rsidRPr="008A1DB4">
        <w:rPr>
          <w:rStyle w:val="FootnoteReference"/>
          <w:spacing w:val="-2"/>
          <w:lang w:val="en-US"/>
        </w:rPr>
        <w:footnoteReference w:id="363"/>
      </w:r>
      <w:r w:rsidR="00601B3D" w:rsidRPr="008A1DB4">
        <w:rPr>
          <w:spacing w:val="-2"/>
          <w:lang w:val="en-US"/>
        </w:rPr>
        <w:t xml:space="preserve"> </w:t>
      </w:r>
      <w:r w:rsidR="00D003F8" w:rsidRPr="008A1DB4">
        <w:rPr>
          <w:spacing w:val="-2"/>
          <w:lang w:val="en-US"/>
        </w:rPr>
        <w:t>On May 30,</w:t>
      </w:r>
      <w:r w:rsidR="00601B3D" w:rsidRPr="008A1DB4">
        <w:rPr>
          <w:spacing w:val="-2"/>
          <w:lang w:val="en-US"/>
        </w:rPr>
        <w:t xml:space="preserve"> 2012</w:t>
      </w:r>
      <w:r w:rsidRPr="008A1DB4">
        <w:rPr>
          <w:spacing w:val="-2"/>
          <w:lang w:val="en-US"/>
        </w:rPr>
        <w:t>, the Special Criminal Court declared the application for</w:t>
      </w:r>
      <w:r w:rsidR="00601B3D" w:rsidRPr="008A1DB4">
        <w:rPr>
          <w:spacing w:val="-2"/>
          <w:lang w:val="en-US"/>
        </w:rPr>
        <w:t xml:space="preserve"> </w:t>
      </w:r>
      <w:r w:rsidR="00E022F9" w:rsidRPr="008A1DB4">
        <w:rPr>
          <w:i/>
          <w:spacing w:val="-2"/>
          <w:lang w:val="en-US"/>
        </w:rPr>
        <w:t>habeas corpus</w:t>
      </w:r>
      <w:r w:rsidR="00601B3D" w:rsidRPr="008A1DB4">
        <w:rPr>
          <w:spacing w:val="-2"/>
          <w:lang w:val="en-US"/>
        </w:rPr>
        <w:t xml:space="preserve"> </w:t>
      </w:r>
      <w:r w:rsidRPr="008A1DB4">
        <w:rPr>
          <w:spacing w:val="-2"/>
          <w:lang w:val="en-US"/>
        </w:rPr>
        <w:t xml:space="preserve">inadmissible. In this decision, the court referred to the different time </w:t>
      </w:r>
      <w:r w:rsidR="003D2FF4">
        <w:rPr>
          <w:spacing w:val="-2"/>
          <w:lang w:val="en-US"/>
        </w:rPr>
        <w:t>limits</w:t>
      </w:r>
      <w:r w:rsidRPr="008A1DB4">
        <w:rPr>
          <w:spacing w:val="-2"/>
          <w:lang w:val="en-US"/>
        </w:rPr>
        <w:t xml:space="preserve"> for detention during a criminal proceeding established by law, and the ways in which these could be extended.</w:t>
      </w:r>
      <w:r w:rsidRPr="008A1DB4">
        <w:rPr>
          <w:rStyle w:val="FootnoteReference"/>
          <w:rFonts w:cs="Arial"/>
          <w:spacing w:val="-2"/>
          <w:lang w:val="en-US"/>
        </w:rPr>
        <w:footnoteReference w:id="364"/>
      </w:r>
      <w:r w:rsidRPr="008A1DB4">
        <w:rPr>
          <w:spacing w:val="-2"/>
          <w:lang w:val="en-US"/>
        </w:rPr>
        <w:t xml:space="preserve"> Nevertheless, it did not refer to the application of these provisions to the specific case. However, it did examine whether the proceedings had been </w:t>
      </w:r>
      <w:r w:rsidR="0079515C" w:rsidRPr="008A1DB4">
        <w:rPr>
          <w:spacing w:val="-2"/>
          <w:lang w:val="en-US"/>
        </w:rPr>
        <w:t>conducted</w:t>
      </w:r>
      <w:r w:rsidRPr="008A1DB4">
        <w:rPr>
          <w:spacing w:val="-2"/>
          <w:lang w:val="en-US"/>
        </w:rPr>
        <w:t xml:space="preserve"> with due diligence and used this Court’s criteria to examine the </w:t>
      </w:r>
      <w:r w:rsidR="00A33F97" w:rsidRPr="008A1DB4">
        <w:rPr>
          <w:spacing w:val="-2"/>
          <w:lang w:val="en-US"/>
        </w:rPr>
        <w:t>reasonable time</w:t>
      </w:r>
      <w:r w:rsidR="00601B3D" w:rsidRPr="008A1DB4">
        <w:rPr>
          <w:spacing w:val="-2"/>
          <w:lang w:val="en-US"/>
        </w:rPr>
        <w:t xml:space="preserve">. </w:t>
      </w:r>
      <w:r w:rsidRPr="008A1DB4">
        <w:rPr>
          <w:spacing w:val="-2"/>
          <w:lang w:val="en-US"/>
        </w:rPr>
        <w:t xml:space="preserve">In this regard, it indicated that: (a) no delay by the judicial authorities could be noted that would affect the </w:t>
      </w:r>
      <w:r w:rsidR="00A33F97" w:rsidRPr="008A1DB4">
        <w:rPr>
          <w:spacing w:val="-2"/>
          <w:lang w:val="en-US"/>
        </w:rPr>
        <w:t>reasonable time</w:t>
      </w:r>
      <w:r w:rsidR="00601B3D" w:rsidRPr="008A1DB4">
        <w:rPr>
          <w:spacing w:val="-2"/>
          <w:lang w:val="en-US"/>
        </w:rPr>
        <w:t xml:space="preserve">; </w:t>
      </w:r>
      <w:r w:rsidRPr="008A1DB4">
        <w:rPr>
          <w:spacing w:val="-2"/>
          <w:lang w:val="en-US"/>
        </w:rPr>
        <w:t>(</w:t>
      </w:r>
      <w:r w:rsidR="00601B3D" w:rsidRPr="008A1DB4">
        <w:rPr>
          <w:spacing w:val="-2"/>
          <w:lang w:val="en-US"/>
        </w:rPr>
        <w:t>b) re</w:t>
      </w:r>
      <w:r w:rsidRPr="008A1DB4">
        <w:rPr>
          <w:spacing w:val="-2"/>
          <w:lang w:val="en-US"/>
        </w:rPr>
        <w:t xml:space="preserve">garding the complexity of the case, it considered that </w:t>
      </w:r>
      <w:r w:rsidR="001E7113" w:rsidRPr="008A1DB4">
        <w:rPr>
          <w:spacing w:val="-2"/>
          <w:lang w:val="en-US"/>
        </w:rPr>
        <w:t>Wong</w:t>
      </w:r>
      <w:r w:rsidR="00601B3D" w:rsidRPr="008A1DB4">
        <w:rPr>
          <w:spacing w:val="-2"/>
          <w:lang w:val="en-US"/>
        </w:rPr>
        <w:t xml:space="preserve"> Ho Wing “</w:t>
      </w:r>
      <w:r w:rsidRPr="008A1DB4">
        <w:rPr>
          <w:spacing w:val="-2"/>
          <w:lang w:val="en-US"/>
        </w:rPr>
        <w:t>was deprived of his liberty based on a request made by</w:t>
      </w:r>
      <w:r w:rsidR="00601B3D" w:rsidRPr="008A1DB4">
        <w:rPr>
          <w:spacing w:val="-2"/>
          <w:lang w:val="en-US"/>
        </w:rPr>
        <w:t xml:space="preserve"> </w:t>
      </w:r>
      <w:r w:rsidR="00FE5E87" w:rsidRPr="008A1DB4">
        <w:rPr>
          <w:spacing w:val="-2"/>
          <w:lang w:val="en-US"/>
        </w:rPr>
        <w:t>the People’s Republic of China</w:t>
      </w:r>
      <w:r w:rsidR="00601B3D" w:rsidRPr="008A1DB4">
        <w:rPr>
          <w:spacing w:val="-2"/>
          <w:lang w:val="en-US"/>
        </w:rPr>
        <w:t xml:space="preserve">, </w:t>
      </w:r>
      <w:r w:rsidRPr="008A1DB4">
        <w:rPr>
          <w:spacing w:val="-2"/>
          <w:lang w:val="en-US"/>
        </w:rPr>
        <w:t xml:space="preserve">despite the </w:t>
      </w:r>
      <w:r w:rsidR="00601B3D" w:rsidRPr="008A1DB4">
        <w:rPr>
          <w:spacing w:val="-2"/>
          <w:lang w:val="en-US"/>
        </w:rPr>
        <w:t>[…] prohibi</w:t>
      </w:r>
      <w:r w:rsidRPr="008A1DB4">
        <w:rPr>
          <w:spacing w:val="-2"/>
          <w:lang w:val="en-US"/>
        </w:rPr>
        <w:t xml:space="preserve">tion of his extradition [ordered by </w:t>
      </w:r>
      <w:r w:rsidR="00F36400" w:rsidRPr="008A1DB4">
        <w:rPr>
          <w:spacing w:val="-2"/>
          <w:lang w:val="en-US"/>
        </w:rPr>
        <w:t xml:space="preserve">the </w:t>
      </w:r>
      <w:r w:rsidR="00B43F84" w:rsidRPr="008A1DB4">
        <w:rPr>
          <w:spacing w:val="-2"/>
          <w:lang w:val="en-US"/>
        </w:rPr>
        <w:t>Constitutional Court</w:t>
      </w:r>
      <w:r w:rsidR="00601B3D" w:rsidRPr="008A1DB4">
        <w:rPr>
          <w:spacing w:val="-2"/>
          <w:lang w:val="en-US"/>
        </w:rPr>
        <w:t>]</w:t>
      </w:r>
      <w:r w:rsidRPr="008A1DB4">
        <w:rPr>
          <w:spacing w:val="-2"/>
          <w:lang w:val="en-US"/>
        </w:rPr>
        <w:t>.” It also stressed that</w:t>
      </w:r>
      <w:r w:rsidR="00601B3D" w:rsidRPr="008A1DB4">
        <w:rPr>
          <w:spacing w:val="-2"/>
          <w:lang w:val="en-US"/>
        </w:rPr>
        <w:t xml:space="preserve"> </w:t>
      </w:r>
      <w:r w:rsidR="00FC5891" w:rsidRPr="008A1DB4">
        <w:rPr>
          <w:spacing w:val="-2"/>
          <w:lang w:val="en-US"/>
        </w:rPr>
        <w:t>the extradition process</w:t>
      </w:r>
      <w:r w:rsidR="00601B3D" w:rsidRPr="008A1DB4">
        <w:rPr>
          <w:spacing w:val="-2"/>
          <w:lang w:val="en-US"/>
        </w:rPr>
        <w:t xml:space="preserve"> </w:t>
      </w:r>
      <w:r w:rsidRPr="008A1DB4">
        <w:rPr>
          <w:spacing w:val="-2"/>
          <w:lang w:val="en-US"/>
        </w:rPr>
        <w:t xml:space="preserve">had not concluded, because </w:t>
      </w:r>
      <w:r w:rsidR="00601B3D" w:rsidRPr="008A1DB4">
        <w:rPr>
          <w:spacing w:val="-2"/>
          <w:lang w:val="en-US"/>
        </w:rPr>
        <w:t>“</w:t>
      </w:r>
      <w:r w:rsidR="00B43F84" w:rsidRPr="008A1DB4">
        <w:rPr>
          <w:spacing w:val="-2"/>
          <w:lang w:val="en-US"/>
        </w:rPr>
        <w:t>the Executive Branch</w:t>
      </w:r>
      <w:r w:rsidRPr="008A1DB4">
        <w:rPr>
          <w:spacing w:val="-2"/>
          <w:lang w:val="en-US"/>
        </w:rPr>
        <w:t>, in a duly motivated decision, must annul</w:t>
      </w:r>
      <w:r w:rsidR="00601B3D" w:rsidRPr="008A1DB4">
        <w:rPr>
          <w:spacing w:val="-2"/>
          <w:lang w:val="en-US"/>
        </w:rPr>
        <w:t xml:space="preserve"> </w:t>
      </w:r>
      <w:r w:rsidR="00FC5891" w:rsidRPr="008A1DB4">
        <w:rPr>
          <w:spacing w:val="-2"/>
          <w:lang w:val="en-US"/>
        </w:rPr>
        <w:t>the extradition process</w:t>
      </w:r>
      <w:r w:rsidRPr="008A1DB4">
        <w:rPr>
          <w:spacing w:val="-2"/>
          <w:lang w:val="en-US"/>
        </w:rPr>
        <w:t>,”</w:t>
      </w:r>
      <w:r w:rsidR="00F36400" w:rsidRPr="008A1DB4">
        <w:rPr>
          <w:spacing w:val="-2"/>
          <w:lang w:val="en-US"/>
        </w:rPr>
        <w:t xml:space="preserve"> and </w:t>
      </w:r>
      <w:r w:rsidRPr="008A1DB4">
        <w:rPr>
          <w:spacing w:val="-2"/>
          <w:lang w:val="en-US"/>
        </w:rPr>
        <w:t>(c</w:t>
      </w:r>
      <w:r w:rsidR="00601B3D" w:rsidRPr="008A1DB4">
        <w:rPr>
          <w:spacing w:val="-2"/>
          <w:lang w:val="en-US"/>
        </w:rPr>
        <w:t>) re</w:t>
      </w:r>
      <w:r w:rsidRPr="008A1DB4">
        <w:rPr>
          <w:spacing w:val="-2"/>
          <w:lang w:val="en-US"/>
        </w:rPr>
        <w:t xml:space="preserve">garding the </w:t>
      </w:r>
      <w:r w:rsidR="004D2183" w:rsidRPr="008A1DB4">
        <w:rPr>
          <w:spacing w:val="-2"/>
          <w:lang w:val="en-US"/>
        </w:rPr>
        <w:t>procedural activity of the interested party</w:t>
      </w:r>
      <w:r w:rsidRPr="008A1DB4">
        <w:rPr>
          <w:spacing w:val="-2"/>
          <w:lang w:val="en-US"/>
        </w:rPr>
        <w:t>, it indicated that “even though it cannot be observed that this has obstructed the proceedings, based on the preceding arguments, the constitutional application must be rejected.</w:t>
      </w:r>
      <w:r w:rsidR="00601B3D" w:rsidRPr="008A1DB4">
        <w:rPr>
          <w:spacing w:val="-2"/>
          <w:lang w:val="en-US"/>
        </w:rPr>
        <w:t>”</w:t>
      </w:r>
      <w:r w:rsidR="00601B3D" w:rsidRPr="008A1DB4">
        <w:rPr>
          <w:rStyle w:val="FootnoteReference"/>
          <w:spacing w:val="-2"/>
          <w:lang w:val="en-US"/>
        </w:rPr>
        <w:footnoteReference w:id="365"/>
      </w:r>
      <w:bookmarkEnd w:id="1201"/>
    </w:p>
    <w:p w14:paraId="39555DC2" w14:textId="77777777" w:rsidR="00601B3D" w:rsidRPr="008A1DB4" w:rsidRDefault="00601B3D" w:rsidP="00956E97">
      <w:pPr>
        <w:pStyle w:val="ListParagraph"/>
        <w:tabs>
          <w:tab w:val="left" w:pos="567"/>
        </w:tabs>
        <w:ind w:left="0"/>
        <w:contextualSpacing w:val="0"/>
        <w:rPr>
          <w:rStyle w:val="apple-converted-space"/>
          <w:spacing w:val="-2"/>
          <w:szCs w:val="20"/>
          <w:lang w:val="en-US"/>
        </w:rPr>
      </w:pPr>
      <w:r w:rsidRPr="008A1DB4">
        <w:rPr>
          <w:rStyle w:val="apple-converted-space"/>
          <w:rFonts w:cs="Arial"/>
          <w:spacing w:val="-2"/>
          <w:szCs w:val="20"/>
          <w:lang w:val="en-US"/>
        </w:rPr>
        <w:t> </w:t>
      </w:r>
    </w:p>
    <w:p w14:paraId="1AFAAA14" w14:textId="2CBCEE2A" w:rsidR="00601B3D" w:rsidRPr="008A1DB4" w:rsidRDefault="005806D6" w:rsidP="005806D6">
      <w:pPr>
        <w:pStyle w:val="PrrafodeSentencia"/>
        <w:rPr>
          <w:spacing w:val="-2"/>
          <w:lang w:val="en-US"/>
        </w:rPr>
      </w:pPr>
      <w:r w:rsidRPr="008A1DB4">
        <w:rPr>
          <w:spacing w:val="-2"/>
          <w:lang w:val="en-US"/>
        </w:rPr>
        <w:t>This Court has established that the competent authority’s analysis of a judicial remedy contesting the lawfulness of</w:t>
      </w:r>
      <w:r w:rsidR="009F24F8" w:rsidRPr="008A1DB4">
        <w:rPr>
          <w:spacing w:val="-2"/>
          <w:lang w:val="en-US"/>
        </w:rPr>
        <w:t xml:space="preserve"> deprivation of liberty</w:t>
      </w:r>
      <w:r w:rsidR="00601B3D" w:rsidRPr="008A1DB4">
        <w:rPr>
          <w:spacing w:val="-2"/>
          <w:lang w:val="en-US"/>
        </w:rPr>
        <w:t xml:space="preserve"> </w:t>
      </w:r>
      <w:r w:rsidRPr="008A1DB4">
        <w:rPr>
          <w:spacing w:val="-2"/>
          <w:lang w:val="en-US"/>
        </w:rPr>
        <w:t xml:space="preserve">cannot be reduced to a mere formality; rather </w:t>
      </w:r>
      <w:r w:rsidRPr="008A1DB4">
        <w:rPr>
          <w:spacing w:val="-2"/>
          <w:lang w:val="en-US"/>
        </w:rPr>
        <w:lastRenderedPageBreak/>
        <w:t xml:space="preserve">the reasons cited by the applicant must be examined and referred to expressly, pursuant to the </w:t>
      </w:r>
      <w:r w:rsidR="0079515C" w:rsidRPr="008A1DB4">
        <w:rPr>
          <w:spacing w:val="-2"/>
          <w:lang w:val="en-US"/>
        </w:rPr>
        <w:t>parameters</w:t>
      </w:r>
      <w:r w:rsidRPr="008A1DB4">
        <w:rPr>
          <w:spacing w:val="-2"/>
          <w:lang w:val="en-US"/>
        </w:rPr>
        <w:t xml:space="preserve"> established by </w:t>
      </w:r>
      <w:r w:rsidR="00F36400" w:rsidRPr="008A1DB4">
        <w:rPr>
          <w:spacing w:val="-2"/>
          <w:lang w:val="en-US"/>
        </w:rPr>
        <w:t>the American Convention</w:t>
      </w:r>
      <w:r w:rsidRPr="008A1DB4">
        <w:rPr>
          <w:spacing w:val="-2"/>
          <w:lang w:val="en-US"/>
        </w:rPr>
        <w:t>.</w:t>
      </w:r>
      <w:r w:rsidR="00601B3D" w:rsidRPr="008A1DB4">
        <w:rPr>
          <w:rStyle w:val="FootnoteReference"/>
          <w:rFonts w:cs="Arial"/>
          <w:spacing w:val="-2"/>
          <w:lang w:val="en-US"/>
        </w:rPr>
        <w:footnoteReference w:id="366"/>
      </w:r>
      <w:r w:rsidR="00601B3D" w:rsidRPr="008A1DB4">
        <w:rPr>
          <w:spacing w:val="-2"/>
          <w:lang w:val="en-US"/>
        </w:rPr>
        <w:t xml:space="preserve"> </w:t>
      </w:r>
    </w:p>
    <w:p w14:paraId="1D5B8980" w14:textId="77777777" w:rsidR="00601B3D" w:rsidRPr="008A1DB4" w:rsidRDefault="00601B3D" w:rsidP="00956E97">
      <w:pPr>
        <w:pStyle w:val="ListParagraph"/>
        <w:tabs>
          <w:tab w:val="left" w:pos="567"/>
        </w:tabs>
        <w:rPr>
          <w:rFonts w:cs="Arial"/>
          <w:spacing w:val="-2"/>
          <w:szCs w:val="20"/>
          <w:lang w:val="en-US"/>
        </w:rPr>
      </w:pPr>
    </w:p>
    <w:p w14:paraId="5BB6AADF" w14:textId="50EAE9EA" w:rsidR="00601B3D" w:rsidRPr="008A1DB4" w:rsidRDefault="005806D6" w:rsidP="00956E97">
      <w:pPr>
        <w:pStyle w:val="PrrafodeSentencia"/>
        <w:rPr>
          <w:spacing w:val="-2"/>
          <w:lang w:val="en-US"/>
        </w:rPr>
      </w:pPr>
      <w:r w:rsidRPr="008A1DB4">
        <w:rPr>
          <w:spacing w:val="-2"/>
          <w:lang w:val="en-US"/>
        </w:rPr>
        <w:t xml:space="preserve">When examining the request release, the Seventh Court failed to rule on </w:t>
      </w:r>
      <w:r w:rsidR="00F36400" w:rsidRPr="008A1DB4">
        <w:rPr>
          <w:spacing w:val="-2"/>
          <w:lang w:val="en-US"/>
        </w:rPr>
        <w:t xml:space="preserve">the </w:t>
      </w:r>
      <w:r w:rsidRPr="008A1DB4">
        <w:rPr>
          <w:spacing w:val="-2"/>
          <w:lang w:val="en-US"/>
        </w:rPr>
        <w:t xml:space="preserve">allegation that, following the </w:t>
      </w:r>
      <w:r w:rsidR="00B43F84" w:rsidRPr="008A1DB4">
        <w:rPr>
          <w:spacing w:val="-2"/>
          <w:lang w:val="en-US"/>
        </w:rPr>
        <w:t>Constitutional Court</w:t>
      </w:r>
      <w:r w:rsidR="00C07F9C">
        <w:rPr>
          <w:spacing w:val="-2"/>
          <w:lang w:val="en-US"/>
        </w:rPr>
        <w:t>’s judgment</w:t>
      </w:r>
      <w:r w:rsidRPr="008A1DB4">
        <w:rPr>
          <w:spacing w:val="-2"/>
          <w:lang w:val="en-US"/>
        </w:rPr>
        <w:t xml:space="preserve"> there was no reason for the detention </w:t>
      </w:r>
      <w:r w:rsidR="00B43F84" w:rsidRPr="008A1DB4">
        <w:rPr>
          <w:spacing w:val="-2"/>
          <w:lang w:val="en-US"/>
        </w:rPr>
        <w:t>of Wong</w:t>
      </w:r>
      <w:r w:rsidR="00601B3D" w:rsidRPr="008A1DB4">
        <w:rPr>
          <w:spacing w:val="-2"/>
          <w:lang w:val="en-US"/>
        </w:rPr>
        <w:t xml:space="preserve"> Ho Wing. </w:t>
      </w:r>
      <w:r w:rsidRPr="008A1DB4">
        <w:rPr>
          <w:spacing w:val="-2"/>
          <w:lang w:val="en-US"/>
        </w:rPr>
        <w:t xml:space="preserve">Furthermore, it failed to rule on the reasonableness of the time that he had been detained. The same omissions can be observed in the decision on the application for </w:t>
      </w:r>
      <w:r w:rsidR="00E022F9" w:rsidRPr="008A1DB4">
        <w:rPr>
          <w:i/>
          <w:spacing w:val="-2"/>
          <w:lang w:val="en-US"/>
        </w:rPr>
        <w:t>habeas corpus</w:t>
      </w:r>
      <w:r w:rsidRPr="008A1DB4">
        <w:rPr>
          <w:spacing w:val="-2"/>
          <w:lang w:val="en-US"/>
        </w:rPr>
        <w:t xml:space="preserve"> filed </w:t>
      </w:r>
      <w:r w:rsidR="00FC43E7" w:rsidRPr="008A1DB4">
        <w:rPr>
          <w:spacing w:val="-2"/>
          <w:lang w:val="en-US"/>
        </w:rPr>
        <w:t>on November 16</w:t>
      </w:r>
      <w:r w:rsidR="00A3310A" w:rsidRPr="008A1DB4">
        <w:rPr>
          <w:spacing w:val="-2"/>
          <w:lang w:val="en-US"/>
        </w:rPr>
        <w:t>,</w:t>
      </w:r>
      <w:r w:rsidR="00601B3D" w:rsidRPr="008A1DB4">
        <w:rPr>
          <w:spacing w:val="-2"/>
          <w:lang w:val="en-US"/>
        </w:rPr>
        <w:t xml:space="preserve"> 2011. </w:t>
      </w:r>
      <w:r w:rsidRPr="008A1DB4">
        <w:rPr>
          <w:spacing w:val="-2"/>
          <w:lang w:val="en-US"/>
        </w:rPr>
        <w:t>In this regard, the Court notes that the examination of a</w:t>
      </w:r>
      <w:r w:rsidR="00601B3D" w:rsidRPr="008A1DB4">
        <w:rPr>
          <w:spacing w:val="-2"/>
          <w:lang w:val="en-US"/>
        </w:rPr>
        <w:t xml:space="preserve"> </w:t>
      </w:r>
      <w:r w:rsidR="00A33F97" w:rsidRPr="008A1DB4">
        <w:rPr>
          <w:spacing w:val="-2"/>
          <w:lang w:val="en-US"/>
        </w:rPr>
        <w:t>reasonable time</w:t>
      </w:r>
      <w:r w:rsidR="00601B3D" w:rsidRPr="008A1DB4">
        <w:rPr>
          <w:spacing w:val="-2"/>
          <w:lang w:val="en-US"/>
        </w:rPr>
        <w:t xml:space="preserve"> </w:t>
      </w:r>
      <w:r w:rsidRPr="008A1DB4">
        <w:rPr>
          <w:spacing w:val="-2"/>
          <w:lang w:val="en-US"/>
        </w:rPr>
        <w:t xml:space="preserve">made in this decision did not analyze whether the detention </w:t>
      </w:r>
      <w:r w:rsidR="00B43F84" w:rsidRPr="008A1DB4">
        <w:rPr>
          <w:spacing w:val="-2"/>
          <w:lang w:val="en-US"/>
        </w:rPr>
        <w:t>of Wong</w:t>
      </w:r>
      <w:r w:rsidR="00601B3D" w:rsidRPr="008A1DB4">
        <w:rPr>
          <w:spacing w:val="-2"/>
          <w:lang w:val="en-US"/>
        </w:rPr>
        <w:t xml:space="preserve"> Ho Wing </w:t>
      </w:r>
      <w:r w:rsidRPr="008A1DB4">
        <w:rPr>
          <w:spacing w:val="-2"/>
          <w:lang w:val="en-US"/>
        </w:rPr>
        <w:t>was still necessary and proportionate. To the contrary, this decision was based on the fact that the</w:t>
      </w:r>
      <w:r w:rsidR="00FC5891" w:rsidRPr="008A1DB4">
        <w:rPr>
          <w:spacing w:val="-2"/>
          <w:lang w:val="en-US"/>
        </w:rPr>
        <w:t xml:space="preserve"> extradition process</w:t>
      </w:r>
      <w:r w:rsidR="00601B3D" w:rsidRPr="008A1DB4">
        <w:rPr>
          <w:spacing w:val="-2"/>
          <w:lang w:val="en-US"/>
        </w:rPr>
        <w:t xml:space="preserve"> </w:t>
      </w:r>
      <w:r w:rsidRPr="008A1DB4">
        <w:rPr>
          <w:spacing w:val="-2"/>
          <w:lang w:val="en-US"/>
        </w:rPr>
        <w:t>had not yet concluded.</w:t>
      </w:r>
    </w:p>
    <w:p w14:paraId="09C60FC5" w14:textId="77777777" w:rsidR="00601B3D" w:rsidRPr="008A1DB4" w:rsidRDefault="00601B3D" w:rsidP="00956E97">
      <w:pPr>
        <w:pStyle w:val="ListParagraph"/>
        <w:tabs>
          <w:tab w:val="left" w:pos="567"/>
        </w:tabs>
        <w:ind w:left="0"/>
        <w:contextualSpacing w:val="0"/>
        <w:rPr>
          <w:rFonts w:cs="Arial"/>
          <w:b/>
          <w:color w:val="7030A0"/>
          <w:spacing w:val="-2"/>
          <w:sz w:val="18"/>
          <w:szCs w:val="18"/>
          <w:lang w:val="en-US"/>
        </w:rPr>
      </w:pPr>
    </w:p>
    <w:p w14:paraId="0E57BB7B" w14:textId="5B157FBD" w:rsidR="00601B3D" w:rsidRPr="008A1DB4" w:rsidRDefault="005806D6" w:rsidP="00956E97">
      <w:pPr>
        <w:pStyle w:val="PrrafodeSentencia"/>
        <w:rPr>
          <w:spacing w:val="-2"/>
          <w:lang w:val="en-US"/>
        </w:rPr>
      </w:pPr>
      <w:r w:rsidRPr="008A1DB4">
        <w:rPr>
          <w:spacing w:val="-2"/>
          <w:lang w:val="en-US"/>
        </w:rPr>
        <w:t>Based on the foregoing, this Court finds that the</w:t>
      </w:r>
      <w:r w:rsidR="00601B3D" w:rsidRPr="008A1DB4">
        <w:rPr>
          <w:spacing w:val="-2"/>
          <w:lang w:val="en-US"/>
        </w:rPr>
        <w:t xml:space="preserve"> </w:t>
      </w:r>
      <w:r w:rsidRPr="008A1DB4">
        <w:rPr>
          <w:spacing w:val="-2"/>
          <w:lang w:val="en-US"/>
        </w:rPr>
        <w:t>r</w:t>
      </w:r>
      <w:r w:rsidR="00FC43E7" w:rsidRPr="008A1DB4">
        <w:rPr>
          <w:spacing w:val="-2"/>
          <w:lang w:val="en-US"/>
        </w:rPr>
        <w:t xml:space="preserve">elease </w:t>
      </w:r>
      <w:proofErr w:type="gramStart"/>
      <w:r w:rsidR="00FC43E7" w:rsidRPr="008A1DB4">
        <w:rPr>
          <w:spacing w:val="-2"/>
          <w:lang w:val="en-US"/>
        </w:rPr>
        <w:t>request of</w:t>
      </w:r>
      <w:r w:rsidR="00601B3D" w:rsidRPr="008A1DB4">
        <w:rPr>
          <w:spacing w:val="-2"/>
          <w:lang w:val="en-US"/>
        </w:rPr>
        <w:t xml:space="preserve"> </w:t>
      </w:r>
      <w:r w:rsidR="00FC43E7" w:rsidRPr="008A1DB4">
        <w:rPr>
          <w:spacing w:val="-2"/>
          <w:lang w:val="en-US"/>
        </w:rPr>
        <w:t>October 18,</w:t>
      </w:r>
      <w:r w:rsidR="00601B3D" w:rsidRPr="008A1DB4">
        <w:rPr>
          <w:spacing w:val="-2"/>
          <w:lang w:val="en-US"/>
        </w:rPr>
        <w:t xml:space="preserve"> 2011</w:t>
      </w:r>
      <w:r w:rsidRPr="008A1DB4">
        <w:rPr>
          <w:spacing w:val="-2"/>
          <w:lang w:val="en-US"/>
        </w:rPr>
        <w:t>, and the application for</w:t>
      </w:r>
      <w:r w:rsidR="00F36400" w:rsidRPr="008A1DB4">
        <w:rPr>
          <w:spacing w:val="-2"/>
          <w:lang w:val="en-US"/>
        </w:rPr>
        <w:t xml:space="preserve"> </w:t>
      </w:r>
      <w:r w:rsidR="00E022F9" w:rsidRPr="008A1DB4">
        <w:rPr>
          <w:i/>
          <w:spacing w:val="-2"/>
          <w:lang w:val="en-US"/>
        </w:rPr>
        <w:t>habeas corpus</w:t>
      </w:r>
      <w:r w:rsidRPr="008A1DB4">
        <w:rPr>
          <w:spacing w:val="-2"/>
          <w:lang w:val="en-US"/>
        </w:rPr>
        <w:t xml:space="preserve"> filed </w:t>
      </w:r>
      <w:r w:rsidR="00FC43E7" w:rsidRPr="008A1DB4">
        <w:rPr>
          <w:spacing w:val="-2"/>
          <w:lang w:val="en-US"/>
        </w:rPr>
        <w:t>on November 16</w:t>
      </w:r>
      <w:r w:rsidR="00A3310A" w:rsidRPr="008A1DB4">
        <w:rPr>
          <w:spacing w:val="-2"/>
          <w:lang w:val="en-US"/>
        </w:rPr>
        <w:t>,</w:t>
      </w:r>
      <w:r w:rsidR="00601B3D" w:rsidRPr="008A1DB4">
        <w:rPr>
          <w:spacing w:val="-2"/>
          <w:lang w:val="en-US"/>
        </w:rPr>
        <w:t xml:space="preserve"> 2011</w:t>
      </w:r>
      <w:r w:rsidRPr="008A1DB4">
        <w:rPr>
          <w:spacing w:val="-2"/>
          <w:lang w:val="en-US"/>
        </w:rPr>
        <w:t>, were</w:t>
      </w:r>
      <w:proofErr w:type="gramEnd"/>
      <w:r w:rsidRPr="008A1DB4">
        <w:rPr>
          <w:spacing w:val="-2"/>
          <w:lang w:val="en-US"/>
        </w:rPr>
        <w:t xml:space="preserve"> not effective to carry out an adequate control of </w:t>
      </w:r>
      <w:r w:rsidR="00C45946" w:rsidRPr="008A1DB4">
        <w:rPr>
          <w:spacing w:val="-2"/>
          <w:lang w:val="en-US"/>
        </w:rPr>
        <w:t xml:space="preserve">the </w:t>
      </w:r>
      <w:r w:rsidR="00F36400" w:rsidRPr="008A1DB4">
        <w:rPr>
          <w:spacing w:val="-2"/>
          <w:lang w:val="en-US"/>
        </w:rPr>
        <w:t>presumed victim</w:t>
      </w:r>
      <w:r w:rsidRPr="008A1DB4">
        <w:rPr>
          <w:spacing w:val="-2"/>
          <w:lang w:val="en-US"/>
        </w:rPr>
        <w:t>’s detention</w:t>
      </w:r>
      <w:r w:rsidR="00601B3D" w:rsidRPr="008A1DB4">
        <w:rPr>
          <w:spacing w:val="-2"/>
          <w:lang w:val="en-US"/>
        </w:rPr>
        <w:t xml:space="preserve">. </w:t>
      </w:r>
      <w:r w:rsidRPr="008A1DB4">
        <w:rPr>
          <w:spacing w:val="-2"/>
          <w:lang w:val="en-US"/>
        </w:rPr>
        <w:t xml:space="preserve">Consequently, the State violated </w:t>
      </w:r>
      <w:r w:rsidR="00851076" w:rsidRPr="008A1DB4">
        <w:rPr>
          <w:spacing w:val="-2"/>
          <w:lang w:val="en-US"/>
        </w:rPr>
        <w:t>Article 7(6)</w:t>
      </w:r>
      <w:r w:rsidR="00F36400" w:rsidRPr="008A1DB4">
        <w:rPr>
          <w:spacing w:val="-2"/>
          <w:lang w:val="en-US"/>
        </w:rPr>
        <w:t xml:space="preserve"> of the Convention</w:t>
      </w:r>
      <w:r w:rsidR="009D7AB0" w:rsidRPr="008A1DB4">
        <w:rPr>
          <w:spacing w:val="-2"/>
          <w:lang w:val="en-US"/>
        </w:rPr>
        <w:t xml:space="preserve">, </w:t>
      </w:r>
      <w:r w:rsidRPr="008A1DB4">
        <w:rPr>
          <w:spacing w:val="-2"/>
          <w:lang w:val="en-US"/>
        </w:rPr>
        <w:t>in relation to</w:t>
      </w:r>
      <w:r w:rsidR="00601B3D" w:rsidRPr="008A1DB4">
        <w:rPr>
          <w:spacing w:val="-2"/>
          <w:lang w:val="en-US"/>
        </w:rPr>
        <w:t xml:space="preserve"> </w:t>
      </w:r>
      <w:r w:rsidR="00F36400" w:rsidRPr="008A1DB4">
        <w:rPr>
          <w:spacing w:val="-2"/>
          <w:lang w:val="en-US"/>
        </w:rPr>
        <w:t>Article 1(1)</w:t>
      </w:r>
      <w:r w:rsidR="00601B3D" w:rsidRPr="008A1DB4">
        <w:rPr>
          <w:spacing w:val="-2"/>
          <w:lang w:val="en-US"/>
        </w:rPr>
        <w:t xml:space="preserve"> </w:t>
      </w:r>
      <w:r w:rsidR="00F36400" w:rsidRPr="008A1DB4">
        <w:rPr>
          <w:spacing w:val="-2"/>
          <w:lang w:val="en-US"/>
        </w:rPr>
        <w:t>of this instrument</w:t>
      </w:r>
      <w:r w:rsidR="009D7AB0" w:rsidRPr="008A1DB4">
        <w:rPr>
          <w:spacing w:val="-2"/>
          <w:lang w:val="en-US"/>
        </w:rPr>
        <w:t>,</w:t>
      </w:r>
      <w:r w:rsidR="00601B3D" w:rsidRPr="008A1DB4">
        <w:rPr>
          <w:spacing w:val="-2"/>
          <w:lang w:val="en-US"/>
        </w:rPr>
        <w:t xml:space="preserve"> </w:t>
      </w:r>
      <w:r w:rsidR="00F36400" w:rsidRPr="008A1DB4">
        <w:rPr>
          <w:spacing w:val="-2"/>
          <w:lang w:val="en-US"/>
        </w:rPr>
        <w:t>to the detriment of</w:t>
      </w:r>
      <w:r w:rsidR="00601B3D" w:rsidRPr="008A1DB4">
        <w:rPr>
          <w:spacing w:val="-2"/>
          <w:lang w:val="en-US"/>
        </w:rPr>
        <w:t xml:space="preserve"> Wong Ho Wing.</w:t>
      </w:r>
    </w:p>
    <w:p w14:paraId="56C01907" w14:textId="77777777" w:rsidR="00601B3D" w:rsidRPr="008A1DB4" w:rsidRDefault="00601B3D" w:rsidP="00956E97">
      <w:pPr>
        <w:tabs>
          <w:tab w:val="left" w:pos="567"/>
        </w:tabs>
        <w:rPr>
          <w:spacing w:val="-2"/>
          <w:szCs w:val="20"/>
          <w:lang w:val="en-US"/>
        </w:rPr>
      </w:pPr>
    </w:p>
    <w:p w14:paraId="228CF5FD" w14:textId="0502D67D" w:rsidR="00601B3D" w:rsidRPr="008A1DB4" w:rsidRDefault="00601B3D" w:rsidP="00956E97">
      <w:pPr>
        <w:pStyle w:val="Heading3"/>
        <w:rPr>
          <w:spacing w:val="-2"/>
          <w:lang w:val="en-US"/>
        </w:rPr>
      </w:pPr>
      <w:bookmarkStart w:id="1202" w:name="_Toc419394446"/>
      <w:bookmarkStart w:id="1203" w:name="_Toc429490305"/>
      <w:bookmarkStart w:id="1204" w:name="_Toc429503819"/>
      <w:bookmarkStart w:id="1205" w:name="_Toc429504325"/>
      <w:bookmarkStart w:id="1206" w:name="_Toc429678038"/>
      <w:bookmarkStart w:id="1207" w:name="_Toc430017201"/>
      <w:bookmarkStart w:id="1208" w:name="_Toc430017430"/>
      <w:bookmarkStart w:id="1209" w:name="_Toc430018712"/>
      <w:bookmarkStart w:id="1210" w:name="_Toc430125310"/>
      <w:bookmarkStart w:id="1211" w:name="_Toc430125418"/>
      <w:r w:rsidRPr="008A1DB4">
        <w:rPr>
          <w:spacing w:val="-2"/>
          <w:lang w:val="en-US"/>
        </w:rPr>
        <w:t xml:space="preserve">D.2.d) </w:t>
      </w:r>
      <w:bookmarkEnd w:id="1202"/>
      <w:bookmarkEnd w:id="1203"/>
      <w:bookmarkEnd w:id="1204"/>
      <w:bookmarkEnd w:id="1205"/>
      <w:bookmarkEnd w:id="1206"/>
      <w:bookmarkEnd w:id="1207"/>
      <w:bookmarkEnd w:id="1208"/>
      <w:bookmarkEnd w:id="1209"/>
      <w:r w:rsidR="00FC43E7" w:rsidRPr="008A1DB4">
        <w:rPr>
          <w:spacing w:val="-2"/>
          <w:lang w:val="en-US"/>
        </w:rPr>
        <w:t xml:space="preserve">Failure to </w:t>
      </w:r>
      <w:r w:rsidR="00D51CE5" w:rsidRPr="008A1DB4">
        <w:rPr>
          <w:spacing w:val="-2"/>
          <w:lang w:val="en-US"/>
        </w:rPr>
        <w:t>comply with a reasonable time when</w:t>
      </w:r>
      <w:r w:rsidR="00FC43E7" w:rsidRPr="008A1DB4">
        <w:rPr>
          <w:spacing w:val="-2"/>
          <w:lang w:val="en-US"/>
        </w:rPr>
        <w:t xml:space="preserve"> deciding these remedies</w:t>
      </w:r>
      <w:bookmarkEnd w:id="1210"/>
      <w:bookmarkEnd w:id="1211"/>
      <w:r w:rsidR="00DE0CEC" w:rsidRPr="008A1DB4">
        <w:rPr>
          <w:spacing w:val="-2"/>
          <w:lang w:val="en-US"/>
        </w:rPr>
        <w:t xml:space="preserve"> </w:t>
      </w:r>
    </w:p>
    <w:p w14:paraId="14C5B996" w14:textId="77777777" w:rsidR="00601B3D" w:rsidRPr="008A1DB4" w:rsidRDefault="00601B3D" w:rsidP="00956E97">
      <w:pPr>
        <w:tabs>
          <w:tab w:val="left" w:pos="567"/>
        </w:tabs>
        <w:ind w:left="567"/>
        <w:rPr>
          <w:spacing w:val="-2"/>
          <w:szCs w:val="20"/>
          <w:u w:val="single"/>
          <w:lang w:val="en-US"/>
        </w:rPr>
      </w:pPr>
    </w:p>
    <w:p w14:paraId="006D7EB2" w14:textId="1B63BA64" w:rsidR="00601B3D" w:rsidRPr="008A1DB4" w:rsidRDefault="00F36400" w:rsidP="00A97BF2">
      <w:pPr>
        <w:pStyle w:val="PrrafodeSentencia"/>
        <w:rPr>
          <w:spacing w:val="-2"/>
          <w:lang w:val="en-US"/>
        </w:rPr>
      </w:pPr>
      <w:r w:rsidRPr="00967E26">
        <w:rPr>
          <w:spacing w:val="-2"/>
          <w:lang w:val="en-US"/>
        </w:rPr>
        <w:t xml:space="preserve">The Commission and </w:t>
      </w:r>
      <w:r w:rsidR="00C45946" w:rsidRPr="00967E26">
        <w:rPr>
          <w:spacing w:val="-2"/>
          <w:lang w:val="en-US"/>
        </w:rPr>
        <w:t>the representative</w:t>
      </w:r>
      <w:r w:rsidR="00601501" w:rsidRPr="00967E26">
        <w:rPr>
          <w:spacing w:val="-2"/>
          <w:lang w:val="en-US"/>
        </w:rPr>
        <w:t xml:space="preserve"> </w:t>
      </w:r>
      <w:r w:rsidR="00FC43E7" w:rsidRPr="00967E26">
        <w:rPr>
          <w:spacing w:val="-2"/>
          <w:lang w:val="en-US"/>
        </w:rPr>
        <w:t>argued that a</w:t>
      </w:r>
      <w:r w:rsidR="00601B3D" w:rsidRPr="00967E26">
        <w:rPr>
          <w:spacing w:val="-2"/>
          <w:lang w:val="en-US"/>
        </w:rPr>
        <w:t xml:space="preserve"> </w:t>
      </w:r>
      <w:r w:rsidR="00A33F97" w:rsidRPr="00967E26">
        <w:rPr>
          <w:spacing w:val="-2"/>
          <w:lang w:val="en-US"/>
        </w:rPr>
        <w:t>reasonable time</w:t>
      </w:r>
      <w:r w:rsidR="00601B3D" w:rsidRPr="00967E26">
        <w:rPr>
          <w:spacing w:val="-2"/>
          <w:lang w:val="en-US"/>
        </w:rPr>
        <w:t xml:space="preserve"> </w:t>
      </w:r>
      <w:r w:rsidR="00FC43E7" w:rsidRPr="00967E26">
        <w:rPr>
          <w:spacing w:val="-2"/>
          <w:lang w:val="en-US"/>
        </w:rPr>
        <w:t xml:space="preserve">had not been </w:t>
      </w:r>
      <w:r w:rsidR="00967E26">
        <w:rPr>
          <w:spacing w:val="-2"/>
          <w:lang w:val="en-US"/>
        </w:rPr>
        <w:t xml:space="preserve">respected </w:t>
      </w:r>
      <w:r w:rsidR="00FC43E7" w:rsidRPr="008A1DB4">
        <w:rPr>
          <w:spacing w:val="-2"/>
          <w:lang w:val="en-US"/>
        </w:rPr>
        <w:t>when deciding the release request of</w:t>
      </w:r>
      <w:r w:rsidR="00601B3D" w:rsidRPr="008A1DB4">
        <w:rPr>
          <w:spacing w:val="-2"/>
          <w:lang w:val="en-US"/>
        </w:rPr>
        <w:t xml:space="preserve"> </w:t>
      </w:r>
      <w:r w:rsidR="00FC43E7" w:rsidRPr="008A1DB4">
        <w:rPr>
          <w:spacing w:val="-2"/>
          <w:lang w:val="en-US"/>
        </w:rPr>
        <w:t>October 18,</w:t>
      </w:r>
      <w:r w:rsidR="00601B3D" w:rsidRPr="008A1DB4">
        <w:rPr>
          <w:spacing w:val="-2"/>
          <w:lang w:val="en-US"/>
        </w:rPr>
        <w:t xml:space="preserve"> 2011</w:t>
      </w:r>
      <w:r w:rsidR="005806D6" w:rsidRPr="008A1DB4">
        <w:rPr>
          <w:spacing w:val="-2"/>
          <w:lang w:val="en-US"/>
        </w:rPr>
        <w:t>,</w:t>
      </w:r>
      <w:r w:rsidRPr="008A1DB4">
        <w:rPr>
          <w:spacing w:val="-2"/>
          <w:lang w:val="en-US"/>
        </w:rPr>
        <w:t xml:space="preserve"> and </w:t>
      </w:r>
      <w:r w:rsidR="005806D6" w:rsidRPr="008A1DB4">
        <w:rPr>
          <w:spacing w:val="-2"/>
          <w:lang w:val="en-US"/>
        </w:rPr>
        <w:t>the applications for</w:t>
      </w:r>
      <w:r w:rsidR="00601B3D" w:rsidRPr="008A1DB4">
        <w:rPr>
          <w:spacing w:val="-2"/>
          <w:lang w:val="en-US"/>
        </w:rPr>
        <w:t xml:space="preserve"> </w:t>
      </w:r>
      <w:r w:rsidR="00E022F9" w:rsidRPr="008A1DB4">
        <w:rPr>
          <w:i/>
          <w:spacing w:val="-2"/>
          <w:lang w:val="en-US"/>
        </w:rPr>
        <w:t>habeas corpus</w:t>
      </w:r>
      <w:r w:rsidR="00601B3D" w:rsidRPr="008A1DB4">
        <w:rPr>
          <w:spacing w:val="-2"/>
          <w:lang w:val="en-US"/>
        </w:rPr>
        <w:t xml:space="preserve"> </w:t>
      </w:r>
      <w:r w:rsidR="00FC43E7" w:rsidRPr="008A1DB4">
        <w:rPr>
          <w:spacing w:val="-2"/>
          <w:lang w:val="en-US"/>
        </w:rPr>
        <w:t>of November 16</w:t>
      </w:r>
      <w:r w:rsidR="00A3310A" w:rsidRPr="008A1DB4">
        <w:rPr>
          <w:spacing w:val="-2"/>
          <w:lang w:val="en-US"/>
        </w:rPr>
        <w:t>,</w:t>
      </w:r>
      <w:r w:rsidR="00601B3D" w:rsidRPr="008A1DB4">
        <w:rPr>
          <w:spacing w:val="-2"/>
          <w:lang w:val="en-US"/>
        </w:rPr>
        <w:t xml:space="preserve"> 2011, </w:t>
      </w:r>
      <w:r w:rsidR="00D72E3B" w:rsidRPr="008A1DB4">
        <w:rPr>
          <w:spacing w:val="-2"/>
          <w:lang w:val="en-US"/>
        </w:rPr>
        <w:t>March 13,</w:t>
      </w:r>
      <w:r w:rsidR="00601B3D" w:rsidRPr="008A1DB4">
        <w:rPr>
          <w:spacing w:val="-2"/>
          <w:lang w:val="en-US"/>
        </w:rPr>
        <w:t xml:space="preserve"> 2012</w:t>
      </w:r>
      <w:r w:rsidR="00FC43E7" w:rsidRPr="008A1DB4">
        <w:rPr>
          <w:spacing w:val="-2"/>
          <w:lang w:val="en-US"/>
        </w:rPr>
        <w:t>,</w:t>
      </w:r>
      <w:r w:rsidRPr="008A1DB4">
        <w:rPr>
          <w:spacing w:val="-2"/>
          <w:lang w:val="en-US"/>
        </w:rPr>
        <w:t xml:space="preserve"> and </w:t>
      </w:r>
      <w:r w:rsidR="00D72E3B" w:rsidRPr="008A1DB4">
        <w:rPr>
          <w:spacing w:val="-2"/>
          <w:lang w:val="en-US"/>
        </w:rPr>
        <w:t>April 26,</w:t>
      </w:r>
      <w:r w:rsidR="00601B3D" w:rsidRPr="008A1DB4">
        <w:rPr>
          <w:spacing w:val="-2"/>
          <w:lang w:val="en-US"/>
        </w:rPr>
        <w:t xml:space="preserve"> 2013</w:t>
      </w:r>
      <w:r w:rsidR="009D7AB0" w:rsidRPr="008A1DB4">
        <w:rPr>
          <w:spacing w:val="-2"/>
          <w:lang w:val="en-US"/>
        </w:rPr>
        <w:t xml:space="preserve"> (</w:t>
      </w:r>
      <w:r w:rsidR="009D7AB0" w:rsidRPr="008A1DB4">
        <w:rPr>
          <w:i/>
          <w:spacing w:val="-2"/>
          <w:lang w:val="en-US"/>
        </w:rPr>
        <w:t>supra</w:t>
      </w:r>
      <w:r w:rsidR="009D7AB0" w:rsidRPr="008A1DB4">
        <w:rPr>
          <w:spacing w:val="-2"/>
          <w:lang w:val="en-US"/>
        </w:rPr>
        <w:t xml:space="preserve"> </w:t>
      </w:r>
      <w:r w:rsidR="00631F9C" w:rsidRPr="008A1DB4">
        <w:rPr>
          <w:spacing w:val="-2"/>
          <w:lang w:val="en-US"/>
        </w:rPr>
        <w:t>paras.</w:t>
      </w:r>
      <w:r w:rsidR="009D7AB0" w:rsidRPr="008A1DB4">
        <w:rPr>
          <w:spacing w:val="-2"/>
          <w:lang w:val="en-US"/>
        </w:rPr>
        <w:t xml:space="preserve"> </w:t>
      </w:r>
      <w:r w:rsidR="009D7AB0" w:rsidRPr="008A1DB4">
        <w:rPr>
          <w:spacing w:val="-2"/>
          <w:lang w:val="en-US"/>
        </w:rPr>
        <w:fldChar w:fldCharType="begin"/>
      </w:r>
      <w:r w:rsidR="009D7AB0" w:rsidRPr="008A1DB4">
        <w:rPr>
          <w:spacing w:val="-2"/>
          <w:lang w:val="en-US"/>
        </w:rPr>
        <w:instrText xml:space="preserve"> REF _Ref418911268 \r \h </w:instrText>
      </w:r>
      <w:r w:rsidR="00DC41F4" w:rsidRPr="008A1DB4">
        <w:rPr>
          <w:spacing w:val="-2"/>
          <w:lang w:val="en-US"/>
        </w:rPr>
        <w:instrText xml:space="preserve"> \* MERGEFORMAT </w:instrText>
      </w:r>
      <w:r w:rsidR="009D7AB0" w:rsidRPr="008A1DB4">
        <w:rPr>
          <w:spacing w:val="-2"/>
          <w:lang w:val="en-US"/>
        </w:rPr>
      </w:r>
      <w:r w:rsidR="009D7AB0" w:rsidRPr="008A1DB4">
        <w:rPr>
          <w:spacing w:val="-2"/>
          <w:lang w:val="en-US"/>
        </w:rPr>
        <w:fldChar w:fldCharType="separate"/>
      </w:r>
      <w:r w:rsidR="00E961FA" w:rsidRPr="008A1DB4">
        <w:rPr>
          <w:spacing w:val="-2"/>
          <w:lang w:val="en-US"/>
        </w:rPr>
        <w:t>79</w:t>
      </w:r>
      <w:r w:rsidR="009D7AB0" w:rsidRPr="008A1DB4">
        <w:rPr>
          <w:spacing w:val="-2"/>
          <w:lang w:val="en-US"/>
        </w:rPr>
        <w:fldChar w:fldCharType="end"/>
      </w:r>
      <w:r w:rsidR="009D7AB0" w:rsidRPr="008A1DB4">
        <w:rPr>
          <w:spacing w:val="-2"/>
          <w:lang w:val="en-US"/>
        </w:rPr>
        <w:t xml:space="preserve">, </w:t>
      </w:r>
      <w:r w:rsidR="009D7AB0" w:rsidRPr="008A1DB4">
        <w:rPr>
          <w:spacing w:val="-2"/>
          <w:lang w:val="en-US"/>
        </w:rPr>
        <w:fldChar w:fldCharType="begin"/>
      </w:r>
      <w:r w:rsidR="009D7AB0" w:rsidRPr="008A1DB4">
        <w:rPr>
          <w:spacing w:val="-2"/>
          <w:lang w:val="en-US"/>
        </w:rPr>
        <w:instrText xml:space="preserve"> REF _Ref429065898 \r \h </w:instrText>
      </w:r>
      <w:r w:rsidR="00DC41F4" w:rsidRPr="008A1DB4">
        <w:rPr>
          <w:spacing w:val="-2"/>
          <w:lang w:val="en-US"/>
        </w:rPr>
        <w:instrText xml:space="preserve"> \* MERGEFORMAT </w:instrText>
      </w:r>
      <w:r w:rsidR="009D7AB0" w:rsidRPr="008A1DB4">
        <w:rPr>
          <w:spacing w:val="-2"/>
          <w:lang w:val="en-US"/>
        </w:rPr>
      </w:r>
      <w:r w:rsidR="009D7AB0" w:rsidRPr="008A1DB4">
        <w:rPr>
          <w:spacing w:val="-2"/>
          <w:lang w:val="en-US"/>
        </w:rPr>
        <w:fldChar w:fldCharType="separate"/>
      </w:r>
      <w:r w:rsidR="00E961FA" w:rsidRPr="008A1DB4">
        <w:rPr>
          <w:spacing w:val="-2"/>
          <w:lang w:val="en-US"/>
        </w:rPr>
        <w:t>88</w:t>
      </w:r>
      <w:r w:rsidR="009D7AB0" w:rsidRPr="008A1DB4">
        <w:rPr>
          <w:spacing w:val="-2"/>
          <w:lang w:val="en-US"/>
        </w:rPr>
        <w:fldChar w:fldCharType="end"/>
      </w:r>
      <w:r w:rsidR="009D7AB0" w:rsidRPr="008A1DB4">
        <w:rPr>
          <w:spacing w:val="-2"/>
          <w:lang w:val="en-US"/>
        </w:rPr>
        <w:t xml:space="preserve">, </w:t>
      </w:r>
      <w:r w:rsidR="00A97BF2" w:rsidRPr="008A1DB4">
        <w:rPr>
          <w:spacing w:val="-2"/>
          <w:lang w:val="en-US"/>
        </w:rPr>
        <w:fldChar w:fldCharType="begin"/>
      </w:r>
      <w:r w:rsidR="00A97BF2" w:rsidRPr="008A1DB4">
        <w:rPr>
          <w:spacing w:val="-2"/>
          <w:lang w:val="en-US"/>
        </w:rPr>
        <w:instrText xml:space="preserve"> REF _Ref429065839 \r \h  \* MERGEFORMAT </w:instrText>
      </w:r>
      <w:r w:rsidR="00A97BF2" w:rsidRPr="008A1DB4">
        <w:rPr>
          <w:spacing w:val="-2"/>
          <w:lang w:val="en-US"/>
        </w:rPr>
      </w:r>
      <w:r w:rsidR="00A97BF2" w:rsidRPr="008A1DB4">
        <w:rPr>
          <w:spacing w:val="-2"/>
          <w:lang w:val="en-US"/>
        </w:rPr>
        <w:fldChar w:fldCharType="separate"/>
      </w:r>
      <w:r w:rsidR="00A97BF2" w:rsidRPr="008A1DB4">
        <w:rPr>
          <w:spacing w:val="-2"/>
          <w:lang w:val="en-US"/>
        </w:rPr>
        <w:t>104</w:t>
      </w:r>
      <w:r w:rsidR="00A97BF2" w:rsidRPr="008A1DB4">
        <w:rPr>
          <w:spacing w:val="-2"/>
          <w:lang w:val="en-US"/>
        </w:rPr>
        <w:fldChar w:fldCharType="end"/>
      </w:r>
      <w:r w:rsidR="00A97BF2" w:rsidRPr="008A1DB4">
        <w:rPr>
          <w:spacing w:val="-2"/>
          <w:lang w:val="en-US"/>
        </w:rPr>
        <w:t xml:space="preserve">, </w:t>
      </w:r>
      <w:r w:rsidR="00A97BF2" w:rsidRPr="008A1DB4">
        <w:rPr>
          <w:spacing w:val="-2"/>
          <w:lang w:val="en-US"/>
        </w:rPr>
        <w:fldChar w:fldCharType="begin"/>
      </w:r>
      <w:r w:rsidR="00A97BF2" w:rsidRPr="008A1DB4">
        <w:rPr>
          <w:spacing w:val="-2"/>
          <w:lang w:val="en-US"/>
        </w:rPr>
        <w:instrText xml:space="preserve"> REF _Ref429065874 \r \h  \* MERGEFORMAT </w:instrText>
      </w:r>
      <w:r w:rsidR="00A97BF2" w:rsidRPr="008A1DB4">
        <w:rPr>
          <w:spacing w:val="-2"/>
          <w:lang w:val="en-US"/>
        </w:rPr>
      </w:r>
      <w:r w:rsidR="00A97BF2" w:rsidRPr="008A1DB4">
        <w:rPr>
          <w:spacing w:val="-2"/>
          <w:lang w:val="en-US"/>
        </w:rPr>
        <w:fldChar w:fldCharType="separate"/>
      </w:r>
      <w:r w:rsidR="00A97BF2" w:rsidRPr="008A1DB4">
        <w:rPr>
          <w:spacing w:val="-2"/>
          <w:lang w:val="en-US"/>
        </w:rPr>
        <w:t>108</w:t>
      </w:r>
      <w:r w:rsidR="00A97BF2" w:rsidRPr="008A1DB4">
        <w:rPr>
          <w:spacing w:val="-2"/>
          <w:lang w:val="en-US"/>
        </w:rPr>
        <w:fldChar w:fldCharType="end"/>
      </w:r>
      <w:r w:rsidR="00A97BF2" w:rsidRPr="008A1DB4">
        <w:rPr>
          <w:spacing w:val="-2"/>
          <w:lang w:val="en-US"/>
        </w:rPr>
        <w:t xml:space="preserve"> and </w:t>
      </w:r>
      <w:r w:rsidR="00A97BF2" w:rsidRPr="008A1DB4">
        <w:rPr>
          <w:spacing w:val="-2"/>
          <w:lang w:val="en-US"/>
        </w:rPr>
        <w:fldChar w:fldCharType="begin"/>
      </w:r>
      <w:r w:rsidR="00A97BF2" w:rsidRPr="008A1DB4">
        <w:rPr>
          <w:spacing w:val="-2"/>
          <w:lang w:val="en-US"/>
        </w:rPr>
        <w:instrText xml:space="preserve"> REF _Ref429065925 \r \h  \* MERGEFORMAT </w:instrText>
      </w:r>
      <w:r w:rsidR="00A97BF2" w:rsidRPr="008A1DB4">
        <w:rPr>
          <w:spacing w:val="-2"/>
          <w:lang w:val="en-US"/>
        </w:rPr>
      </w:r>
      <w:r w:rsidR="00A97BF2" w:rsidRPr="008A1DB4">
        <w:rPr>
          <w:spacing w:val="-2"/>
          <w:lang w:val="en-US"/>
        </w:rPr>
        <w:fldChar w:fldCharType="separate"/>
      </w:r>
      <w:r w:rsidR="00A97BF2" w:rsidRPr="008A1DB4">
        <w:rPr>
          <w:spacing w:val="-2"/>
          <w:lang w:val="en-US"/>
        </w:rPr>
        <w:t>109</w:t>
      </w:r>
      <w:r w:rsidR="00A97BF2" w:rsidRPr="008A1DB4">
        <w:rPr>
          <w:spacing w:val="-2"/>
          <w:lang w:val="en-US"/>
        </w:rPr>
        <w:fldChar w:fldCharType="end"/>
      </w:r>
      <w:r w:rsidR="00A97BF2" w:rsidRPr="008A1DB4">
        <w:rPr>
          <w:spacing w:val="-2"/>
          <w:lang w:val="en-US"/>
        </w:rPr>
        <w:t xml:space="preserve">). In this regard, it should be underscored that the </w:t>
      </w:r>
      <w:r w:rsidR="00947926" w:rsidRPr="008A1DB4">
        <w:rPr>
          <w:spacing w:val="-2"/>
          <w:lang w:val="en-US"/>
        </w:rPr>
        <w:t>release</w:t>
      </w:r>
      <w:r w:rsidR="00A97BF2" w:rsidRPr="008A1DB4">
        <w:rPr>
          <w:spacing w:val="-2"/>
          <w:lang w:val="en-US"/>
        </w:rPr>
        <w:t xml:space="preserve"> request of October 18, 2011, was </w:t>
      </w:r>
      <w:r w:rsidR="00FC43E7" w:rsidRPr="008A1DB4">
        <w:rPr>
          <w:spacing w:val="-2"/>
          <w:lang w:val="en-US"/>
        </w:rPr>
        <w:t>decided on</w:t>
      </w:r>
      <w:r w:rsidR="00601B3D" w:rsidRPr="008A1DB4">
        <w:rPr>
          <w:spacing w:val="-2"/>
          <w:lang w:val="en-US"/>
        </w:rPr>
        <w:t xml:space="preserve"> </w:t>
      </w:r>
      <w:r w:rsidR="00BB336A" w:rsidRPr="008A1DB4">
        <w:rPr>
          <w:spacing w:val="-2"/>
          <w:lang w:val="en-US"/>
        </w:rPr>
        <w:t>December 1,</w:t>
      </w:r>
      <w:r w:rsidR="00601B3D" w:rsidRPr="008A1DB4">
        <w:rPr>
          <w:spacing w:val="-2"/>
          <w:lang w:val="en-US"/>
        </w:rPr>
        <w:t xml:space="preserve"> 2011 (</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9D7AB0" w:rsidRPr="008A1DB4">
        <w:rPr>
          <w:spacing w:val="-2"/>
          <w:lang w:val="en-US"/>
        </w:rPr>
        <w:fldChar w:fldCharType="begin"/>
      </w:r>
      <w:r w:rsidR="009D7AB0" w:rsidRPr="008A1DB4">
        <w:rPr>
          <w:spacing w:val="-2"/>
          <w:lang w:val="en-US"/>
        </w:rPr>
        <w:instrText xml:space="preserve"> REF _Ref429067059 \r \h </w:instrText>
      </w:r>
      <w:r w:rsidR="00DC41F4" w:rsidRPr="008A1DB4">
        <w:rPr>
          <w:spacing w:val="-2"/>
          <w:lang w:val="en-US"/>
        </w:rPr>
        <w:instrText xml:space="preserve"> \* MERGEFORMAT </w:instrText>
      </w:r>
      <w:r w:rsidR="009D7AB0" w:rsidRPr="008A1DB4">
        <w:rPr>
          <w:spacing w:val="-2"/>
          <w:lang w:val="en-US"/>
        </w:rPr>
      </w:r>
      <w:r w:rsidR="009D7AB0" w:rsidRPr="008A1DB4">
        <w:rPr>
          <w:spacing w:val="-2"/>
          <w:lang w:val="en-US"/>
        </w:rPr>
        <w:fldChar w:fldCharType="separate"/>
      </w:r>
      <w:r w:rsidR="00E961FA" w:rsidRPr="008A1DB4">
        <w:rPr>
          <w:spacing w:val="-2"/>
          <w:lang w:val="en-US"/>
        </w:rPr>
        <w:t>107</w:t>
      </w:r>
      <w:r w:rsidR="009D7AB0" w:rsidRPr="008A1DB4">
        <w:rPr>
          <w:spacing w:val="-2"/>
          <w:lang w:val="en-US"/>
        </w:rPr>
        <w:fldChar w:fldCharType="end"/>
      </w:r>
      <w:r w:rsidRPr="008A1DB4">
        <w:rPr>
          <w:spacing w:val="-2"/>
          <w:lang w:val="en-US"/>
        </w:rPr>
        <w:t xml:space="preserve"> and </w:t>
      </w:r>
      <w:r w:rsidR="00535E40" w:rsidRPr="008A1DB4">
        <w:rPr>
          <w:spacing w:val="-2"/>
          <w:lang w:val="en-US"/>
        </w:rPr>
        <w:fldChar w:fldCharType="begin"/>
      </w:r>
      <w:r w:rsidR="00535E40" w:rsidRPr="008A1DB4">
        <w:rPr>
          <w:spacing w:val="-2"/>
          <w:lang w:val="en-US"/>
        </w:rPr>
        <w:instrText xml:space="preserve"> REF _Ref429068640 \r \h </w:instrText>
      </w:r>
      <w:r w:rsidR="00DC41F4" w:rsidRPr="008A1DB4">
        <w:rPr>
          <w:spacing w:val="-2"/>
          <w:lang w:val="en-US"/>
        </w:rPr>
        <w:instrText xml:space="preserve"> \* MERGEFORMAT </w:instrText>
      </w:r>
      <w:r w:rsidR="00535E40" w:rsidRPr="008A1DB4">
        <w:rPr>
          <w:spacing w:val="-2"/>
          <w:lang w:val="en-US"/>
        </w:rPr>
      </w:r>
      <w:r w:rsidR="00535E40" w:rsidRPr="008A1DB4">
        <w:rPr>
          <w:spacing w:val="-2"/>
          <w:lang w:val="en-US"/>
        </w:rPr>
        <w:fldChar w:fldCharType="separate"/>
      </w:r>
      <w:r w:rsidR="00E961FA" w:rsidRPr="008A1DB4">
        <w:rPr>
          <w:spacing w:val="-2"/>
          <w:lang w:val="en-US"/>
        </w:rPr>
        <w:t>286</w:t>
      </w:r>
      <w:r w:rsidR="00535E40" w:rsidRPr="008A1DB4">
        <w:rPr>
          <w:spacing w:val="-2"/>
          <w:lang w:val="en-US"/>
        </w:rPr>
        <w:fldChar w:fldCharType="end"/>
      </w:r>
      <w:r w:rsidR="00601B3D" w:rsidRPr="008A1DB4">
        <w:rPr>
          <w:spacing w:val="-2"/>
          <w:lang w:val="en-US"/>
        </w:rPr>
        <w:t>)</w:t>
      </w:r>
      <w:r w:rsidR="00FC43E7" w:rsidRPr="008A1DB4">
        <w:rPr>
          <w:spacing w:val="-2"/>
          <w:lang w:val="en-US"/>
        </w:rPr>
        <w:t>.</w:t>
      </w:r>
      <w:r w:rsidR="00601B3D" w:rsidRPr="008A1DB4">
        <w:rPr>
          <w:rStyle w:val="FootnoteReference"/>
          <w:rFonts w:cs="Arial"/>
          <w:spacing w:val="-2"/>
          <w:lang w:val="en-US"/>
        </w:rPr>
        <w:footnoteReference w:id="367"/>
      </w:r>
      <w:r w:rsidR="00601B3D" w:rsidRPr="008A1DB4">
        <w:rPr>
          <w:spacing w:val="-2"/>
          <w:lang w:val="en-US"/>
        </w:rPr>
        <w:t xml:space="preserve"> </w:t>
      </w:r>
      <w:r w:rsidR="00FC43E7" w:rsidRPr="008A1DB4">
        <w:rPr>
          <w:spacing w:val="-2"/>
          <w:lang w:val="en-US"/>
        </w:rPr>
        <w:t>The</w:t>
      </w:r>
      <w:r w:rsidR="00601B3D" w:rsidRPr="008A1DB4">
        <w:rPr>
          <w:spacing w:val="-2"/>
          <w:lang w:val="en-US"/>
        </w:rPr>
        <w:t xml:space="preserve"> </w:t>
      </w:r>
      <w:r w:rsidR="00E022F9" w:rsidRPr="008A1DB4">
        <w:rPr>
          <w:i/>
          <w:spacing w:val="-2"/>
          <w:lang w:val="en-US"/>
        </w:rPr>
        <w:t>habeas corpus</w:t>
      </w:r>
      <w:r w:rsidR="00FC43E7" w:rsidRPr="008A1DB4">
        <w:rPr>
          <w:spacing w:val="-2"/>
          <w:lang w:val="en-US"/>
        </w:rPr>
        <w:t xml:space="preserve"> presented on</w:t>
      </w:r>
      <w:r w:rsidR="00601B3D" w:rsidRPr="008A1DB4">
        <w:rPr>
          <w:spacing w:val="-2"/>
          <w:lang w:val="en-US"/>
        </w:rPr>
        <w:t xml:space="preserve"> </w:t>
      </w:r>
      <w:r w:rsidR="00FC43E7" w:rsidRPr="008A1DB4">
        <w:rPr>
          <w:spacing w:val="-2"/>
          <w:lang w:val="en-US"/>
        </w:rPr>
        <w:t>November 16</w:t>
      </w:r>
      <w:r w:rsidR="00A3310A" w:rsidRPr="008A1DB4">
        <w:rPr>
          <w:spacing w:val="-2"/>
          <w:lang w:val="en-US"/>
        </w:rPr>
        <w:t>,</w:t>
      </w:r>
      <w:r w:rsidR="00601B3D" w:rsidRPr="008A1DB4">
        <w:rPr>
          <w:spacing w:val="-2"/>
          <w:lang w:val="en-US"/>
        </w:rPr>
        <w:t xml:space="preserve"> 2011</w:t>
      </w:r>
      <w:r w:rsidR="00FC43E7" w:rsidRPr="008A1DB4">
        <w:rPr>
          <w:spacing w:val="-2"/>
          <w:lang w:val="en-US"/>
        </w:rPr>
        <w:t xml:space="preserve">, was declared inadmissible on </w:t>
      </w:r>
      <w:r w:rsidR="00D003F8" w:rsidRPr="008A1DB4">
        <w:rPr>
          <w:spacing w:val="-2"/>
          <w:lang w:val="en-US"/>
        </w:rPr>
        <w:t>May 30,</w:t>
      </w:r>
      <w:r w:rsidR="00601B3D" w:rsidRPr="008A1DB4">
        <w:rPr>
          <w:spacing w:val="-2"/>
          <w:lang w:val="en-US"/>
        </w:rPr>
        <w:t xml:space="preserve"> 2012 (</w:t>
      </w:r>
      <w:r w:rsidR="00601B3D" w:rsidRPr="008A1DB4">
        <w:rPr>
          <w:i/>
          <w:spacing w:val="-2"/>
          <w:lang w:val="en-US"/>
        </w:rPr>
        <w:t xml:space="preserve">supra </w:t>
      </w:r>
      <w:r w:rsidR="00631F9C" w:rsidRPr="008A1DB4">
        <w:rPr>
          <w:spacing w:val="-2"/>
          <w:lang w:val="en-US"/>
        </w:rPr>
        <w:t>paras.</w:t>
      </w:r>
      <w:r w:rsidR="00601B3D" w:rsidRPr="008A1DB4">
        <w:rPr>
          <w:spacing w:val="-2"/>
          <w:lang w:val="en-US"/>
        </w:rPr>
        <w:t xml:space="preserve"> </w:t>
      </w:r>
      <w:r w:rsidR="00535E40" w:rsidRPr="008A1DB4">
        <w:rPr>
          <w:spacing w:val="-2"/>
          <w:lang w:val="en-US"/>
        </w:rPr>
        <w:fldChar w:fldCharType="begin"/>
      </w:r>
      <w:r w:rsidR="00535E40" w:rsidRPr="008A1DB4">
        <w:rPr>
          <w:spacing w:val="-2"/>
          <w:lang w:val="en-US"/>
        </w:rPr>
        <w:instrText xml:space="preserve"> REF _Ref429065874 \r \h </w:instrText>
      </w:r>
      <w:r w:rsidR="00DC41F4" w:rsidRPr="008A1DB4">
        <w:rPr>
          <w:spacing w:val="-2"/>
          <w:lang w:val="en-US"/>
        </w:rPr>
        <w:instrText xml:space="preserve"> \* MERGEFORMAT </w:instrText>
      </w:r>
      <w:r w:rsidR="00535E40" w:rsidRPr="008A1DB4">
        <w:rPr>
          <w:spacing w:val="-2"/>
          <w:lang w:val="en-US"/>
        </w:rPr>
      </w:r>
      <w:r w:rsidR="00535E40" w:rsidRPr="008A1DB4">
        <w:rPr>
          <w:spacing w:val="-2"/>
          <w:lang w:val="en-US"/>
        </w:rPr>
        <w:fldChar w:fldCharType="separate"/>
      </w:r>
      <w:r w:rsidR="00E961FA" w:rsidRPr="008A1DB4">
        <w:rPr>
          <w:spacing w:val="-2"/>
          <w:lang w:val="en-US"/>
        </w:rPr>
        <w:t>108</w:t>
      </w:r>
      <w:r w:rsidR="00535E40" w:rsidRPr="008A1DB4">
        <w:rPr>
          <w:spacing w:val="-2"/>
          <w:lang w:val="en-US"/>
        </w:rPr>
        <w:fldChar w:fldCharType="end"/>
      </w:r>
      <w:r w:rsidRPr="008A1DB4">
        <w:rPr>
          <w:spacing w:val="-2"/>
          <w:lang w:val="en-US"/>
        </w:rPr>
        <w:t xml:space="preserve"> and </w:t>
      </w:r>
      <w:r w:rsidR="00535E40" w:rsidRPr="008A1DB4">
        <w:rPr>
          <w:spacing w:val="-2"/>
          <w:lang w:val="en-US"/>
        </w:rPr>
        <w:fldChar w:fldCharType="begin"/>
      </w:r>
      <w:r w:rsidR="00535E40" w:rsidRPr="008A1DB4">
        <w:rPr>
          <w:spacing w:val="-2"/>
          <w:lang w:val="en-US"/>
        </w:rPr>
        <w:instrText xml:space="preserve"> REF _Ref429068798 \r \h </w:instrText>
      </w:r>
      <w:r w:rsidR="00DC41F4" w:rsidRPr="008A1DB4">
        <w:rPr>
          <w:spacing w:val="-2"/>
          <w:lang w:val="en-US"/>
        </w:rPr>
        <w:instrText xml:space="preserve"> \* MERGEFORMAT </w:instrText>
      </w:r>
      <w:r w:rsidR="00535E40" w:rsidRPr="008A1DB4">
        <w:rPr>
          <w:spacing w:val="-2"/>
          <w:lang w:val="en-US"/>
        </w:rPr>
      </w:r>
      <w:r w:rsidR="00535E40" w:rsidRPr="008A1DB4">
        <w:rPr>
          <w:spacing w:val="-2"/>
          <w:lang w:val="en-US"/>
        </w:rPr>
        <w:fldChar w:fldCharType="separate"/>
      </w:r>
      <w:r w:rsidR="00E961FA" w:rsidRPr="008A1DB4">
        <w:rPr>
          <w:spacing w:val="-2"/>
          <w:lang w:val="en-US"/>
        </w:rPr>
        <w:t>287</w:t>
      </w:r>
      <w:r w:rsidR="00535E40" w:rsidRPr="008A1DB4">
        <w:rPr>
          <w:spacing w:val="-2"/>
          <w:lang w:val="en-US"/>
        </w:rPr>
        <w:fldChar w:fldCharType="end"/>
      </w:r>
      <w:r w:rsidR="00A97BF2" w:rsidRPr="008A1DB4">
        <w:rPr>
          <w:spacing w:val="-2"/>
          <w:lang w:val="en-US"/>
        </w:rPr>
        <w:t>), and t</w:t>
      </w:r>
      <w:r w:rsidR="00FC43E7" w:rsidRPr="008A1DB4">
        <w:rPr>
          <w:spacing w:val="-2"/>
          <w:lang w:val="en-US"/>
        </w:rPr>
        <w:t>he</w:t>
      </w:r>
      <w:r w:rsidR="00601B3D" w:rsidRPr="008A1DB4">
        <w:rPr>
          <w:i/>
          <w:spacing w:val="-2"/>
          <w:lang w:val="en-US"/>
        </w:rPr>
        <w:t xml:space="preserve"> </w:t>
      </w:r>
      <w:r w:rsidR="00E022F9" w:rsidRPr="008A1DB4">
        <w:rPr>
          <w:i/>
          <w:spacing w:val="-2"/>
          <w:lang w:val="en-US"/>
        </w:rPr>
        <w:t>habeas corpus</w:t>
      </w:r>
      <w:r w:rsidR="00FC43E7" w:rsidRPr="008A1DB4">
        <w:rPr>
          <w:spacing w:val="-2"/>
          <w:lang w:val="en-US"/>
        </w:rPr>
        <w:t xml:space="preserve"> presented on</w:t>
      </w:r>
      <w:r w:rsidR="00601B3D" w:rsidRPr="008A1DB4">
        <w:rPr>
          <w:spacing w:val="-2"/>
          <w:lang w:val="en-US"/>
        </w:rPr>
        <w:t xml:space="preserve"> </w:t>
      </w:r>
      <w:r w:rsidR="00D72E3B" w:rsidRPr="008A1DB4">
        <w:rPr>
          <w:spacing w:val="-2"/>
          <w:lang w:val="en-US"/>
        </w:rPr>
        <w:t>March 13,</w:t>
      </w:r>
      <w:r w:rsidR="00601B3D" w:rsidRPr="008A1DB4">
        <w:rPr>
          <w:spacing w:val="-2"/>
          <w:lang w:val="en-US"/>
        </w:rPr>
        <w:t xml:space="preserve"> 2012</w:t>
      </w:r>
      <w:r w:rsidR="00FC43E7" w:rsidRPr="008A1DB4">
        <w:rPr>
          <w:spacing w:val="-2"/>
          <w:lang w:val="en-US"/>
        </w:rPr>
        <w:t xml:space="preserve">, was still pending a decision on </w:t>
      </w:r>
      <w:r w:rsidR="00BB336A" w:rsidRPr="008A1DB4">
        <w:rPr>
          <w:spacing w:val="-2"/>
          <w:lang w:val="en-US"/>
        </w:rPr>
        <w:t>December 1,</w:t>
      </w:r>
      <w:r w:rsidR="00601B3D" w:rsidRPr="008A1DB4">
        <w:rPr>
          <w:spacing w:val="-2"/>
          <w:lang w:val="en-US"/>
        </w:rPr>
        <w:t xml:space="preserve"> 2014, </w:t>
      </w:r>
      <w:r w:rsidR="00FC43E7" w:rsidRPr="008A1DB4">
        <w:rPr>
          <w:spacing w:val="-2"/>
          <w:lang w:val="en-US"/>
        </w:rPr>
        <w:t>when the State’s last report in this regard was forwarded.</w:t>
      </w:r>
      <w:r w:rsidR="00601B3D" w:rsidRPr="008A1DB4">
        <w:rPr>
          <w:rStyle w:val="FootnoteReference"/>
          <w:rFonts w:cs="Arial"/>
          <w:spacing w:val="-2"/>
          <w:lang w:val="en-US"/>
        </w:rPr>
        <w:footnoteReference w:id="368"/>
      </w:r>
      <w:r w:rsidR="00601B3D" w:rsidRPr="008A1DB4">
        <w:rPr>
          <w:spacing w:val="-2"/>
          <w:lang w:val="en-US"/>
        </w:rPr>
        <w:t xml:space="preserve"> </w:t>
      </w:r>
      <w:r w:rsidR="00FC43E7" w:rsidRPr="008A1DB4">
        <w:rPr>
          <w:spacing w:val="-2"/>
          <w:lang w:val="en-US"/>
        </w:rPr>
        <w:t>Lastly</w:t>
      </w:r>
      <w:r w:rsidR="00E90804" w:rsidRPr="008A1DB4">
        <w:rPr>
          <w:spacing w:val="-2"/>
          <w:lang w:val="en-US"/>
        </w:rPr>
        <w:t>,</w:t>
      </w:r>
      <w:r w:rsidR="00FC43E7" w:rsidRPr="008A1DB4">
        <w:rPr>
          <w:spacing w:val="-2"/>
          <w:lang w:val="en-US"/>
        </w:rPr>
        <w:t xml:space="preserve"> the</w:t>
      </w:r>
      <w:r w:rsidR="00601B3D" w:rsidRPr="008A1DB4">
        <w:rPr>
          <w:spacing w:val="-2"/>
          <w:lang w:val="en-US"/>
        </w:rPr>
        <w:t xml:space="preserve"> </w:t>
      </w:r>
      <w:r w:rsidR="00E022F9" w:rsidRPr="008A1DB4">
        <w:rPr>
          <w:i/>
          <w:spacing w:val="-2"/>
          <w:lang w:val="en-US"/>
        </w:rPr>
        <w:t>habeas corpus</w:t>
      </w:r>
      <w:r w:rsidR="00601B3D" w:rsidRPr="008A1DB4">
        <w:rPr>
          <w:i/>
          <w:spacing w:val="-2"/>
          <w:lang w:val="en-US"/>
        </w:rPr>
        <w:t xml:space="preserve"> </w:t>
      </w:r>
      <w:r w:rsidR="00FC43E7" w:rsidRPr="008A1DB4">
        <w:rPr>
          <w:spacing w:val="-2"/>
          <w:lang w:val="en-US"/>
        </w:rPr>
        <w:t xml:space="preserve">presented on </w:t>
      </w:r>
      <w:r w:rsidR="00D72E3B" w:rsidRPr="008A1DB4">
        <w:rPr>
          <w:spacing w:val="-2"/>
          <w:lang w:val="en-US"/>
        </w:rPr>
        <w:t>April 26,</w:t>
      </w:r>
      <w:r w:rsidR="00601B3D" w:rsidRPr="008A1DB4">
        <w:rPr>
          <w:spacing w:val="-2"/>
          <w:lang w:val="en-US"/>
        </w:rPr>
        <w:t xml:space="preserve"> 2013</w:t>
      </w:r>
      <w:r w:rsidR="00FC43E7" w:rsidRPr="008A1DB4">
        <w:rPr>
          <w:spacing w:val="-2"/>
          <w:lang w:val="en-US"/>
        </w:rPr>
        <w:t xml:space="preserve">, was declared inadmissible </w:t>
      </w:r>
      <w:r w:rsidR="00D003F8" w:rsidRPr="008A1DB4">
        <w:rPr>
          <w:spacing w:val="-2"/>
          <w:lang w:val="en-US"/>
        </w:rPr>
        <w:t>on October 24,</w:t>
      </w:r>
      <w:r w:rsidR="00601B3D" w:rsidRPr="008A1DB4">
        <w:rPr>
          <w:spacing w:val="-2"/>
          <w:lang w:val="en-US"/>
        </w:rPr>
        <w:t xml:space="preserve"> 2014 (</w:t>
      </w:r>
      <w:r w:rsidR="00601B3D" w:rsidRPr="008A1DB4">
        <w:rPr>
          <w:i/>
          <w:spacing w:val="-2"/>
          <w:lang w:val="en-US"/>
        </w:rPr>
        <w:t xml:space="preserve">supra </w:t>
      </w:r>
      <w:r w:rsidR="00C45946" w:rsidRPr="008A1DB4">
        <w:rPr>
          <w:spacing w:val="-2"/>
          <w:lang w:val="en-US"/>
        </w:rPr>
        <w:t xml:space="preserve">para. </w:t>
      </w:r>
      <w:r w:rsidR="00E90804" w:rsidRPr="008A1DB4">
        <w:rPr>
          <w:spacing w:val="-2"/>
          <w:lang w:val="en-US"/>
        </w:rPr>
        <w:fldChar w:fldCharType="begin"/>
      </w:r>
      <w:r w:rsidR="00E90804" w:rsidRPr="008A1DB4">
        <w:rPr>
          <w:spacing w:val="-2"/>
          <w:lang w:val="en-US"/>
        </w:rPr>
        <w:instrText xml:space="preserve"> REF _Ref429065925 \r \h </w:instrText>
      </w:r>
      <w:r w:rsidR="00DC41F4" w:rsidRPr="008A1DB4">
        <w:rPr>
          <w:spacing w:val="-2"/>
          <w:lang w:val="en-US"/>
        </w:rPr>
        <w:instrText xml:space="preserve"> \* MERGEFORMAT </w:instrText>
      </w:r>
      <w:r w:rsidR="00E90804" w:rsidRPr="008A1DB4">
        <w:rPr>
          <w:spacing w:val="-2"/>
          <w:lang w:val="en-US"/>
        </w:rPr>
      </w:r>
      <w:r w:rsidR="00E90804" w:rsidRPr="008A1DB4">
        <w:rPr>
          <w:spacing w:val="-2"/>
          <w:lang w:val="en-US"/>
        </w:rPr>
        <w:fldChar w:fldCharType="separate"/>
      </w:r>
      <w:r w:rsidR="00E961FA" w:rsidRPr="008A1DB4">
        <w:rPr>
          <w:spacing w:val="-2"/>
          <w:lang w:val="en-US"/>
        </w:rPr>
        <w:t>109</w:t>
      </w:r>
      <w:r w:rsidR="00E90804" w:rsidRPr="008A1DB4">
        <w:rPr>
          <w:spacing w:val="-2"/>
          <w:lang w:val="en-US"/>
        </w:rPr>
        <w:fldChar w:fldCharType="end"/>
      </w:r>
      <w:r w:rsidR="00601B3D" w:rsidRPr="008A1DB4">
        <w:rPr>
          <w:spacing w:val="-2"/>
          <w:lang w:val="en-US"/>
        </w:rPr>
        <w:t>).</w:t>
      </w:r>
    </w:p>
    <w:p w14:paraId="03A225EB" w14:textId="77777777" w:rsidR="00601B3D" w:rsidRPr="008A1DB4" w:rsidRDefault="00601B3D" w:rsidP="00956E97">
      <w:pPr>
        <w:pStyle w:val="ListParagraph"/>
        <w:tabs>
          <w:tab w:val="left" w:pos="567"/>
        </w:tabs>
        <w:ind w:left="0"/>
        <w:contextualSpacing w:val="0"/>
        <w:rPr>
          <w:rFonts w:cs="Arial"/>
          <w:spacing w:val="-2"/>
          <w:szCs w:val="20"/>
          <w:lang w:val="en-US"/>
        </w:rPr>
      </w:pPr>
    </w:p>
    <w:p w14:paraId="7E956523" w14:textId="19A7A8A5" w:rsidR="00601B3D" w:rsidRPr="008A1DB4" w:rsidRDefault="00F36400" w:rsidP="00956E97">
      <w:pPr>
        <w:pStyle w:val="PrrafodeSentencia"/>
        <w:rPr>
          <w:spacing w:val="-2"/>
          <w:lang w:val="en-US"/>
        </w:rPr>
      </w:pPr>
      <w:bookmarkStart w:id="1212" w:name="_Ref419392333"/>
      <w:r w:rsidRPr="008A1DB4">
        <w:rPr>
          <w:rFonts w:cs="Arial"/>
          <w:spacing w:val="-2"/>
          <w:lang w:val="en-US"/>
        </w:rPr>
        <w:t>The Court</w:t>
      </w:r>
      <w:r w:rsidR="00601B3D" w:rsidRPr="008A1DB4">
        <w:rPr>
          <w:rFonts w:cs="Arial"/>
          <w:spacing w:val="-2"/>
          <w:lang w:val="en-US"/>
        </w:rPr>
        <w:t xml:space="preserve"> rec</w:t>
      </w:r>
      <w:r w:rsidR="00A97BF2" w:rsidRPr="008A1DB4">
        <w:rPr>
          <w:rFonts w:cs="Arial"/>
          <w:spacing w:val="-2"/>
          <w:lang w:val="en-US"/>
        </w:rPr>
        <w:t xml:space="preserve">alls that, in general, it has considered the following </w:t>
      </w:r>
      <w:r w:rsidR="00967E26">
        <w:rPr>
          <w:rFonts w:cs="Arial"/>
          <w:spacing w:val="-2"/>
          <w:lang w:val="en-US"/>
        </w:rPr>
        <w:t>factors</w:t>
      </w:r>
      <w:r w:rsidR="00A97BF2" w:rsidRPr="008A1DB4">
        <w:rPr>
          <w:rFonts w:cs="Arial"/>
          <w:spacing w:val="-2"/>
          <w:lang w:val="en-US"/>
        </w:rPr>
        <w:t xml:space="preserve"> to determine whether the time is reasonable: (a) the </w:t>
      </w:r>
      <w:r w:rsidR="00A33F97" w:rsidRPr="008A1DB4">
        <w:rPr>
          <w:spacing w:val="-2"/>
          <w:lang w:val="en-US"/>
        </w:rPr>
        <w:t>complexity of the matter</w:t>
      </w:r>
      <w:r w:rsidR="00601B3D" w:rsidRPr="008A1DB4">
        <w:rPr>
          <w:spacing w:val="-2"/>
          <w:lang w:val="en-US"/>
        </w:rPr>
        <w:t xml:space="preserve">; </w:t>
      </w:r>
      <w:r w:rsidR="00A97BF2" w:rsidRPr="008A1DB4">
        <w:rPr>
          <w:spacing w:val="-2"/>
          <w:lang w:val="en-US"/>
        </w:rPr>
        <w:t>(</w:t>
      </w:r>
      <w:r w:rsidR="00601B3D" w:rsidRPr="008A1DB4">
        <w:rPr>
          <w:spacing w:val="-2"/>
          <w:lang w:val="en-US"/>
        </w:rPr>
        <w:t xml:space="preserve">b) </w:t>
      </w:r>
      <w:r w:rsidR="00A97BF2" w:rsidRPr="008A1DB4">
        <w:rPr>
          <w:spacing w:val="-2"/>
          <w:lang w:val="en-US"/>
        </w:rPr>
        <w:t xml:space="preserve">the </w:t>
      </w:r>
      <w:r w:rsidR="004D2183" w:rsidRPr="008A1DB4">
        <w:rPr>
          <w:spacing w:val="-2"/>
          <w:lang w:val="en-US"/>
        </w:rPr>
        <w:t>procedural activity of the interested party</w:t>
      </w:r>
      <w:r w:rsidR="00601B3D" w:rsidRPr="008A1DB4">
        <w:rPr>
          <w:spacing w:val="-2"/>
          <w:lang w:val="en-US"/>
        </w:rPr>
        <w:t xml:space="preserve">; </w:t>
      </w:r>
      <w:r w:rsidR="00A97BF2" w:rsidRPr="008A1DB4">
        <w:rPr>
          <w:spacing w:val="-2"/>
          <w:lang w:val="en-US"/>
        </w:rPr>
        <w:t>(</w:t>
      </w:r>
      <w:r w:rsidR="00601B3D" w:rsidRPr="008A1DB4">
        <w:rPr>
          <w:spacing w:val="-2"/>
          <w:lang w:val="en-US"/>
        </w:rPr>
        <w:t xml:space="preserve">c) </w:t>
      </w:r>
      <w:r w:rsidR="00A97BF2" w:rsidRPr="008A1DB4">
        <w:rPr>
          <w:spacing w:val="-2"/>
          <w:lang w:val="en-US"/>
        </w:rPr>
        <w:t xml:space="preserve">the conduct of the judicial authorities, and (d) the effects </w:t>
      </w:r>
      <w:r w:rsidR="00672B34" w:rsidRPr="008A1DB4">
        <w:rPr>
          <w:spacing w:val="-2"/>
          <w:lang w:val="en-US"/>
        </w:rPr>
        <w:t>on the legal situation</w:t>
      </w:r>
      <w:r w:rsidR="00A97BF2" w:rsidRPr="008A1DB4">
        <w:rPr>
          <w:spacing w:val="-2"/>
          <w:lang w:val="en-US"/>
        </w:rPr>
        <w:t xml:space="preserve"> </w:t>
      </w:r>
      <w:r w:rsidR="00672B34" w:rsidRPr="008A1DB4">
        <w:rPr>
          <w:spacing w:val="-2"/>
          <w:lang w:val="en-US"/>
        </w:rPr>
        <w:t>of the person involved in the proceedings</w:t>
      </w:r>
      <w:r w:rsidR="00867A36" w:rsidRPr="008A1DB4">
        <w:rPr>
          <w:spacing w:val="-2"/>
          <w:lang w:val="en-US"/>
        </w:rPr>
        <w:t xml:space="preserve"> (</w:t>
      </w:r>
      <w:r w:rsidR="00867A36" w:rsidRPr="008A1DB4">
        <w:rPr>
          <w:i/>
          <w:spacing w:val="-2"/>
          <w:lang w:val="en-US"/>
        </w:rPr>
        <w:t xml:space="preserve">supra </w:t>
      </w:r>
      <w:r w:rsidR="00C45946" w:rsidRPr="008A1DB4">
        <w:rPr>
          <w:spacing w:val="-2"/>
          <w:lang w:val="en-US"/>
        </w:rPr>
        <w:t xml:space="preserve">para. </w:t>
      </w:r>
      <w:r w:rsidR="00867A36" w:rsidRPr="008A1DB4">
        <w:rPr>
          <w:spacing w:val="-2"/>
          <w:lang w:val="en-US"/>
        </w:rPr>
        <w:fldChar w:fldCharType="begin"/>
      </w:r>
      <w:r w:rsidR="00867A36" w:rsidRPr="008A1DB4">
        <w:rPr>
          <w:spacing w:val="-2"/>
          <w:lang w:val="en-US"/>
        </w:rPr>
        <w:instrText xml:space="preserve"> REF _Ref429069773 \r \h </w:instrText>
      </w:r>
      <w:r w:rsidR="00067412" w:rsidRPr="008A1DB4">
        <w:rPr>
          <w:spacing w:val="-2"/>
          <w:lang w:val="en-US"/>
        </w:rPr>
        <w:instrText xml:space="preserve"> \* MERGEFORMAT </w:instrText>
      </w:r>
      <w:r w:rsidR="00867A36" w:rsidRPr="008A1DB4">
        <w:rPr>
          <w:spacing w:val="-2"/>
          <w:lang w:val="en-US"/>
        </w:rPr>
      </w:r>
      <w:r w:rsidR="00867A36" w:rsidRPr="008A1DB4">
        <w:rPr>
          <w:spacing w:val="-2"/>
          <w:lang w:val="en-US"/>
        </w:rPr>
        <w:fldChar w:fldCharType="separate"/>
      </w:r>
      <w:r w:rsidR="00E961FA" w:rsidRPr="008A1DB4">
        <w:rPr>
          <w:spacing w:val="-2"/>
          <w:lang w:val="en-US"/>
        </w:rPr>
        <w:t>209</w:t>
      </w:r>
      <w:r w:rsidR="00867A36" w:rsidRPr="008A1DB4">
        <w:rPr>
          <w:spacing w:val="-2"/>
          <w:lang w:val="en-US"/>
        </w:rPr>
        <w:fldChar w:fldCharType="end"/>
      </w:r>
      <w:r w:rsidR="00867A36" w:rsidRPr="008A1DB4">
        <w:rPr>
          <w:spacing w:val="-2"/>
          <w:lang w:val="en-US"/>
        </w:rPr>
        <w:t>)</w:t>
      </w:r>
      <w:r w:rsidR="00601B3D" w:rsidRPr="008A1DB4">
        <w:rPr>
          <w:spacing w:val="-2"/>
          <w:lang w:val="en-US"/>
        </w:rPr>
        <w:t xml:space="preserve">. </w:t>
      </w:r>
      <w:r w:rsidR="00A97BF2" w:rsidRPr="008A1DB4">
        <w:rPr>
          <w:spacing w:val="-2"/>
          <w:lang w:val="en-US"/>
        </w:rPr>
        <w:t>However, the State did not present any evidence or information to justify the duration of these proceedin</w:t>
      </w:r>
      <w:r w:rsidR="00967E26">
        <w:rPr>
          <w:spacing w:val="-2"/>
          <w:lang w:val="en-US"/>
        </w:rPr>
        <w:t>gs. The Court considers that taking</w:t>
      </w:r>
      <w:r w:rsidR="00A97BF2" w:rsidRPr="008A1DB4">
        <w:rPr>
          <w:spacing w:val="-2"/>
          <w:lang w:val="en-US"/>
        </w:rPr>
        <w:t xml:space="preserve"> one month to decide a release request that, by law, should be decided in 48 hours,</w:t>
      </w:r>
      <w:r w:rsidR="00601B3D" w:rsidRPr="008A1DB4">
        <w:rPr>
          <w:rStyle w:val="FootnoteReference"/>
          <w:rFonts w:cs="Arial"/>
          <w:spacing w:val="-2"/>
          <w:sz w:val="18"/>
          <w:szCs w:val="18"/>
          <w:lang w:val="en-US"/>
        </w:rPr>
        <w:footnoteReference w:id="369"/>
      </w:r>
      <w:r w:rsidR="00967E26">
        <w:rPr>
          <w:spacing w:val="-2"/>
          <w:lang w:val="en-US"/>
        </w:rPr>
        <w:t xml:space="preserve"> and</w:t>
      </w:r>
      <w:r w:rsidR="00A97BF2" w:rsidRPr="008A1DB4">
        <w:rPr>
          <w:spacing w:val="-2"/>
          <w:lang w:val="en-US"/>
        </w:rPr>
        <w:t xml:space="preserve"> six months or more to decide the applications for</w:t>
      </w:r>
      <w:r w:rsidR="00601B3D" w:rsidRPr="008A1DB4">
        <w:rPr>
          <w:spacing w:val="-2"/>
          <w:lang w:val="en-US"/>
        </w:rPr>
        <w:t xml:space="preserve"> </w:t>
      </w:r>
      <w:r w:rsidR="00E022F9" w:rsidRPr="008A1DB4">
        <w:rPr>
          <w:i/>
          <w:spacing w:val="-2"/>
          <w:lang w:val="en-US"/>
        </w:rPr>
        <w:t>habeas corpus</w:t>
      </w:r>
      <w:r w:rsidR="00A97BF2" w:rsidRPr="008A1DB4">
        <w:rPr>
          <w:i/>
          <w:spacing w:val="-2"/>
          <w:lang w:val="en-US"/>
        </w:rPr>
        <w:t>,</w:t>
      </w:r>
      <w:r w:rsidR="00601B3D" w:rsidRPr="008A1DB4">
        <w:rPr>
          <w:spacing w:val="-2"/>
          <w:lang w:val="en-US"/>
        </w:rPr>
        <w:t xml:space="preserve"> </w:t>
      </w:r>
      <w:r w:rsidR="00967E26">
        <w:rPr>
          <w:spacing w:val="-2"/>
          <w:lang w:val="en-US"/>
        </w:rPr>
        <w:t>is</w:t>
      </w:r>
      <w:r w:rsidR="00A97BF2" w:rsidRPr="008A1DB4">
        <w:rPr>
          <w:spacing w:val="-2"/>
          <w:lang w:val="en-US"/>
        </w:rPr>
        <w:t xml:space="preserve"> clearly excessive. </w:t>
      </w:r>
      <w:r w:rsidR="00A97BF2" w:rsidRPr="008A1DB4">
        <w:rPr>
          <w:spacing w:val="-2"/>
          <w:lang w:val="en-US"/>
        </w:rPr>
        <w:lastRenderedPageBreak/>
        <w:t xml:space="preserve">Therefore, this constitutes an additional violation </w:t>
      </w:r>
      <w:r w:rsidR="0058668C" w:rsidRPr="008A1DB4">
        <w:rPr>
          <w:spacing w:val="-2"/>
          <w:lang w:val="en-US"/>
        </w:rPr>
        <w:t xml:space="preserve">of </w:t>
      </w:r>
      <w:r w:rsidR="00851076" w:rsidRPr="008A1DB4">
        <w:rPr>
          <w:spacing w:val="-2"/>
          <w:lang w:val="en-US"/>
        </w:rPr>
        <w:t>Article 7(6)</w:t>
      </w:r>
      <w:r w:rsidRPr="008A1DB4">
        <w:rPr>
          <w:spacing w:val="-2"/>
          <w:lang w:val="en-US"/>
        </w:rPr>
        <w:t xml:space="preserve"> of the Convention</w:t>
      </w:r>
      <w:r w:rsidR="00A97BF2" w:rsidRPr="008A1DB4">
        <w:rPr>
          <w:spacing w:val="-2"/>
          <w:lang w:val="en-US"/>
        </w:rPr>
        <w:t xml:space="preserve">, in relation to </w:t>
      </w:r>
      <w:r w:rsidRPr="008A1DB4">
        <w:rPr>
          <w:spacing w:val="-2"/>
          <w:lang w:val="en-US"/>
        </w:rPr>
        <w:t>Article 1(1)</w:t>
      </w:r>
      <w:r w:rsidR="006D7D22" w:rsidRPr="008A1DB4">
        <w:rPr>
          <w:spacing w:val="-2"/>
          <w:lang w:val="en-US"/>
        </w:rPr>
        <w:t xml:space="preserve"> </w:t>
      </w:r>
      <w:r w:rsidR="00A97BF2" w:rsidRPr="008A1DB4">
        <w:rPr>
          <w:spacing w:val="-2"/>
          <w:lang w:val="en-US"/>
        </w:rPr>
        <w:t xml:space="preserve">of this instrument, </w:t>
      </w:r>
      <w:r w:rsidRPr="008A1DB4">
        <w:rPr>
          <w:spacing w:val="-2"/>
          <w:lang w:val="en-US"/>
        </w:rPr>
        <w:t>to the detriment of</w:t>
      </w:r>
      <w:r w:rsidR="00601B3D" w:rsidRPr="008A1DB4">
        <w:rPr>
          <w:spacing w:val="-2"/>
          <w:lang w:val="en-US"/>
        </w:rPr>
        <w:t xml:space="preserve"> Wong Ho Wing.</w:t>
      </w:r>
      <w:bookmarkEnd w:id="1212"/>
    </w:p>
    <w:bookmarkEnd w:id="1169"/>
    <w:p w14:paraId="4455E0F7" w14:textId="77777777" w:rsidR="00601B3D" w:rsidRPr="008A1DB4" w:rsidRDefault="00601B3D" w:rsidP="00956E97">
      <w:pPr>
        <w:pStyle w:val="ListParagraph"/>
        <w:ind w:left="0"/>
        <w:contextualSpacing w:val="0"/>
        <w:rPr>
          <w:spacing w:val="-2"/>
          <w:szCs w:val="20"/>
          <w:lang w:val="en-US"/>
        </w:rPr>
      </w:pPr>
    </w:p>
    <w:p w14:paraId="2DA437E0" w14:textId="549AC62B" w:rsidR="00601B3D" w:rsidRPr="008A1DB4" w:rsidRDefault="00601B3D" w:rsidP="00956E97">
      <w:pPr>
        <w:pStyle w:val="Heading1"/>
        <w:rPr>
          <w:spacing w:val="-2"/>
          <w:lang w:val="en-US"/>
        </w:rPr>
      </w:pPr>
      <w:bookmarkStart w:id="1213" w:name="_Toc418912646"/>
      <w:bookmarkStart w:id="1214" w:name="_Toc419394447"/>
      <w:bookmarkStart w:id="1215" w:name="_Toc429490306"/>
      <w:bookmarkStart w:id="1216" w:name="_Toc429503820"/>
      <w:bookmarkStart w:id="1217" w:name="_Toc429504326"/>
      <w:bookmarkStart w:id="1218" w:name="_Toc429678039"/>
      <w:bookmarkStart w:id="1219" w:name="_Toc430017202"/>
      <w:bookmarkStart w:id="1220" w:name="_Toc430017431"/>
      <w:bookmarkStart w:id="1221" w:name="_Toc430018713"/>
      <w:bookmarkStart w:id="1222" w:name="_Toc430125311"/>
      <w:bookmarkStart w:id="1223" w:name="_Toc430125419"/>
      <w:r w:rsidRPr="008A1DB4">
        <w:rPr>
          <w:spacing w:val="-2"/>
          <w:lang w:val="en-US"/>
        </w:rPr>
        <w:t xml:space="preserve">E. </w:t>
      </w:r>
      <w:r w:rsidR="00FC43E7" w:rsidRPr="008A1DB4">
        <w:rPr>
          <w:spacing w:val="-2"/>
          <w:lang w:val="en-US"/>
        </w:rPr>
        <w:t>Alleged violation of the right</w:t>
      </w:r>
      <w:r w:rsidR="00775124" w:rsidRPr="008A1DB4">
        <w:rPr>
          <w:spacing w:val="-2"/>
          <w:lang w:val="en-US"/>
        </w:rPr>
        <w:t xml:space="preserve"> to personal</w:t>
      </w:r>
      <w:r w:rsidR="00776D24" w:rsidRPr="008A1DB4">
        <w:rPr>
          <w:spacing w:val="-2"/>
          <w:lang w:val="en-US"/>
        </w:rPr>
        <w:t xml:space="preserve"> integrity</w:t>
      </w:r>
      <w:r w:rsidRPr="008A1DB4">
        <w:rPr>
          <w:spacing w:val="-2"/>
          <w:lang w:val="en-US"/>
        </w:rPr>
        <w:t xml:space="preserve"> </w:t>
      </w:r>
      <w:r w:rsidR="00B43F84" w:rsidRPr="008A1DB4">
        <w:rPr>
          <w:spacing w:val="-2"/>
          <w:lang w:val="en-US"/>
        </w:rPr>
        <w:t>of Wong</w:t>
      </w:r>
      <w:r w:rsidRPr="008A1DB4">
        <w:rPr>
          <w:spacing w:val="-2"/>
          <w:lang w:val="en-US"/>
        </w:rPr>
        <w:t xml:space="preserve"> Ho Wing</w:t>
      </w:r>
      <w:bookmarkEnd w:id="1213"/>
      <w:bookmarkEnd w:id="1214"/>
      <w:bookmarkEnd w:id="1215"/>
      <w:bookmarkEnd w:id="1216"/>
      <w:bookmarkEnd w:id="1217"/>
      <w:bookmarkEnd w:id="1218"/>
      <w:bookmarkEnd w:id="1219"/>
      <w:bookmarkEnd w:id="1220"/>
      <w:bookmarkEnd w:id="1221"/>
      <w:bookmarkEnd w:id="1222"/>
      <w:bookmarkEnd w:id="1223"/>
    </w:p>
    <w:p w14:paraId="1000658B" w14:textId="77777777" w:rsidR="00601B3D" w:rsidRPr="008A1DB4" w:rsidRDefault="00601B3D" w:rsidP="00956E97">
      <w:pPr>
        <w:pStyle w:val="ListParagraph"/>
        <w:ind w:left="360"/>
        <w:rPr>
          <w:b/>
          <w:bCs/>
          <w:spacing w:val="-2"/>
          <w:lang w:val="en-US"/>
        </w:rPr>
      </w:pPr>
    </w:p>
    <w:p w14:paraId="7A443ED0" w14:textId="1C2714B6" w:rsidR="00601B3D" w:rsidRPr="008A1DB4" w:rsidRDefault="00A97BF2" w:rsidP="00956E97">
      <w:pPr>
        <w:pStyle w:val="PrrafodeSentencia"/>
        <w:rPr>
          <w:spacing w:val="-2"/>
          <w:lang w:val="en-US"/>
        </w:rPr>
      </w:pPr>
      <w:r w:rsidRPr="0079515C">
        <w:rPr>
          <w:spacing w:val="-2"/>
          <w:lang w:val="en-US"/>
        </w:rPr>
        <w:t>According</w:t>
      </w:r>
      <w:r w:rsidR="00601B3D" w:rsidRPr="0079515C">
        <w:rPr>
          <w:spacing w:val="-2"/>
          <w:lang w:val="en-US"/>
        </w:rPr>
        <w:t xml:space="preserve"> </w:t>
      </w:r>
      <w:r w:rsidR="00C45946" w:rsidRPr="0079515C">
        <w:rPr>
          <w:spacing w:val="-2"/>
          <w:lang w:val="en-US"/>
        </w:rPr>
        <w:t>to the representative</w:t>
      </w:r>
      <w:r w:rsidR="00601B3D" w:rsidRPr="0079515C">
        <w:rPr>
          <w:spacing w:val="-2"/>
          <w:lang w:val="en-US"/>
        </w:rPr>
        <w:t xml:space="preserve">, </w:t>
      </w:r>
      <w:r w:rsidR="001E7113" w:rsidRPr="0079515C">
        <w:rPr>
          <w:spacing w:val="-2"/>
          <w:lang w:val="en-US"/>
        </w:rPr>
        <w:t>Wong</w:t>
      </w:r>
      <w:r w:rsidR="00601B3D" w:rsidRPr="0079515C">
        <w:rPr>
          <w:spacing w:val="-2"/>
          <w:lang w:val="en-US"/>
        </w:rPr>
        <w:t xml:space="preserve"> Ho Wing </w:t>
      </w:r>
      <w:r w:rsidR="00440A80" w:rsidRPr="0079515C">
        <w:rPr>
          <w:spacing w:val="-2"/>
          <w:lang w:val="en-US"/>
        </w:rPr>
        <w:t>“</w:t>
      </w:r>
      <w:r w:rsidR="00601B3D" w:rsidRPr="0079515C">
        <w:rPr>
          <w:spacing w:val="-2"/>
          <w:lang w:val="en-US"/>
        </w:rPr>
        <w:t>ha</w:t>
      </w:r>
      <w:r w:rsidR="00D51CE5" w:rsidRPr="0079515C">
        <w:rPr>
          <w:spacing w:val="-2"/>
          <w:lang w:val="en-US"/>
        </w:rPr>
        <w:t>s suffered harm to his mental and moral</w:t>
      </w:r>
      <w:r w:rsidR="00D51CE5" w:rsidRPr="008A1DB4">
        <w:rPr>
          <w:spacing w:val="-2"/>
          <w:lang w:val="en-US"/>
        </w:rPr>
        <w:t xml:space="preserve"> </w:t>
      </w:r>
      <w:r w:rsidR="0079515C" w:rsidRPr="008A1DB4">
        <w:rPr>
          <w:spacing w:val="-2"/>
          <w:lang w:val="en-US"/>
        </w:rPr>
        <w:t>integrity</w:t>
      </w:r>
      <w:r w:rsidR="00D51CE5" w:rsidRPr="008A1DB4">
        <w:rPr>
          <w:spacing w:val="-2"/>
          <w:lang w:val="en-US"/>
        </w:rPr>
        <w:t xml:space="preserve"> owing to the arbitrary deprivation of his liberty </w:t>
      </w:r>
      <w:r w:rsidR="00601B3D" w:rsidRPr="008A1DB4">
        <w:rPr>
          <w:spacing w:val="-2"/>
          <w:lang w:val="en-US"/>
        </w:rPr>
        <w:t xml:space="preserve">[…], </w:t>
      </w:r>
      <w:r w:rsidR="00967E26">
        <w:rPr>
          <w:spacing w:val="-2"/>
          <w:lang w:val="en-US"/>
        </w:rPr>
        <w:t>and this</w:t>
      </w:r>
      <w:r w:rsidR="00D51CE5" w:rsidRPr="008A1DB4">
        <w:rPr>
          <w:spacing w:val="-2"/>
          <w:lang w:val="en-US"/>
        </w:rPr>
        <w:t xml:space="preserve"> constitutes a violation of his </w:t>
      </w:r>
      <w:r w:rsidR="00775124" w:rsidRPr="008A1DB4">
        <w:rPr>
          <w:spacing w:val="-2"/>
          <w:lang w:val="en-US"/>
        </w:rPr>
        <w:t>right to personal</w:t>
      </w:r>
      <w:r w:rsidR="00776D24" w:rsidRPr="008A1DB4">
        <w:rPr>
          <w:spacing w:val="-2"/>
          <w:lang w:val="en-US"/>
        </w:rPr>
        <w:t xml:space="preserve"> integrity</w:t>
      </w:r>
      <w:r w:rsidR="00D51CE5" w:rsidRPr="008A1DB4">
        <w:rPr>
          <w:spacing w:val="-2"/>
          <w:lang w:val="en-US"/>
        </w:rPr>
        <w:t>.”</w:t>
      </w:r>
      <w:r w:rsidR="00601B3D" w:rsidRPr="008A1DB4">
        <w:rPr>
          <w:spacing w:val="-2"/>
          <w:lang w:val="en-US"/>
        </w:rPr>
        <w:t xml:space="preserve"> </w:t>
      </w:r>
      <w:r w:rsidR="00F36400" w:rsidRPr="008A1DB4">
        <w:rPr>
          <w:spacing w:val="-2"/>
          <w:lang w:val="en-US"/>
        </w:rPr>
        <w:t>The State</w:t>
      </w:r>
      <w:r w:rsidR="00601B3D" w:rsidRPr="008A1DB4">
        <w:rPr>
          <w:spacing w:val="-2"/>
          <w:lang w:val="en-US"/>
        </w:rPr>
        <w:t xml:space="preserve"> </w:t>
      </w:r>
      <w:r w:rsidR="00D51CE5" w:rsidRPr="008A1DB4">
        <w:rPr>
          <w:spacing w:val="-2"/>
          <w:lang w:val="en-US"/>
        </w:rPr>
        <w:t xml:space="preserve">did not refer to this allegation </w:t>
      </w:r>
      <w:r w:rsidR="00967E26">
        <w:rPr>
          <w:spacing w:val="-2"/>
          <w:lang w:val="en-US"/>
        </w:rPr>
        <w:t>by</w:t>
      </w:r>
      <w:r w:rsidR="00C45946" w:rsidRPr="008A1DB4">
        <w:rPr>
          <w:spacing w:val="-2"/>
          <w:lang w:val="en-US"/>
        </w:rPr>
        <w:t xml:space="preserve"> the representative</w:t>
      </w:r>
      <w:r w:rsidR="00601B3D" w:rsidRPr="008A1DB4">
        <w:rPr>
          <w:spacing w:val="-2"/>
          <w:lang w:val="en-US"/>
        </w:rPr>
        <w:t xml:space="preserve">, </w:t>
      </w:r>
      <w:r w:rsidR="00D51CE5" w:rsidRPr="008A1DB4">
        <w:rPr>
          <w:spacing w:val="-2"/>
          <w:lang w:val="en-US"/>
        </w:rPr>
        <w:t>beyond contesting its inclusion in</w:t>
      </w:r>
      <w:r w:rsidR="00601B3D" w:rsidRPr="008A1DB4">
        <w:rPr>
          <w:spacing w:val="-2"/>
          <w:lang w:val="en-US"/>
        </w:rPr>
        <w:t xml:space="preserve"> </w:t>
      </w:r>
      <w:r w:rsidR="00776D24" w:rsidRPr="008A1DB4">
        <w:rPr>
          <w:spacing w:val="-2"/>
          <w:lang w:val="en-US"/>
        </w:rPr>
        <w:t>the factual framework</w:t>
      </w:r>
      <w:r w:rsidR="00601B3D" w:rsidRPr="008A1DB4">
        <w:rPr>
          <w:spacing w:val="-2"/>
          <w:lang w:val="en-US"/>
        </w:rPr>
        <w:t xml:space="preserve"> </w:t>
      </w:r>
      <w:r w:rsidR="00D51CE5" w:rsidRPr="008A1DB4">
        <w:rPr>
          <w:spacing w:val="-2"/>
          <w:lang w:val="en-US"/>
        </w:rPr>
        <w:t xml:space="preserve">of this case </w:t>
      </w:r>
      <w:r w:rsidR="00601B3D" w:rsidRPr="008A1DB4">
        <w:rPr>
          <w:spacing w:val="-2"/>
          <w:lang w:val="en-US"/>
        </w:rPr>
        <w:t>(</w:t>
      </w:r>
      <w:r w:rsidR="00601B3D" w:rsidRPr="008A1DB4">
        <w:rPr>
          <w:i/>
          <w:spacing w:val="-2"/>
          <w:lang w:val="en-US"/>
        </w:rPr>
        <w:t>supra</w:t>
      </w:r>
      <w:r w:rsidR="00601B3D" w:rsidRPr="008A1DB4">
        <w:rPr>
          <w:spacing w:val="-2"/>
          <w:lang w:val="en-US"/>
        </w:rPr>
        <w:t xml:space="preserve"> </w:t>
      </w:r>
      <w:r w:rsidR="00C45946" w:rsidRPr="008A1DB4">
        <w:rPr>
          <w:spacing w:val="-2"/>
          <w:lang w:val="en-US"/>
        </w:rPr>
        <w:t xml:space="preserve">para. </w:t>
      </w:r>
      <w:r w:rsidR="007D0149" w:rsidRPr="008A1DB4">
        <w:rPr>
          <w:spacing w:val="-2"/>
          <w:lang w:val="en-US"/>
        </w:rPr>
        <w:fldChar w:fldCharType="begin"/>
      </w:r>
      <w:r w:rsidR="007D0149" w:rsidRPr="008A1DB4">
        <w:rPr>
          <w:spacing w:val="-2"/>
          <w:lang w:val="en-US"/>
        </w:rPr>
        <w:instrText xml:space="preserve"> REF _Ref429070474 \r \h </w:instrText>
      </w:r>
      <w:r w:rsidR="00DC41F4" w:rsidRPr="008A1DB4">
        <w:rPr>
          <w:spacing w:val="-2"/>
          <w:lang w:val="en-US"/>
        </w:rPr>
        <w:instrText xml:space="preserve"> \* MERGEFORMAT </w:instrText>
      </w:r>
      <w:r w:rsidR="007D0149" w:rsidRPr="008A1DB4">
        <w:rPr>
          <w:spacing w:val="-2"/>
          <w:lang w:val="en-US"/>
        </w:rPr>
      </w:r>
      <w:r w:rsidR="007D0149" w:rsidRPr="008A1DB4">
        <w:rPr>
          <w:spacing w:val="-2"/>
          <w:lang w:val="en-US"/>
        </w:rPr>
        <w:fldChar w:fldCharType="separate"/>
      </w:r>
      <w:r w:rsidR="00E961FA" w:rsidRPr="008A1DB4">
        <w:rPr>
          <w:spacing w:val="-2"/>
          <w:lang w:val="en-US"/>
        </w:rPr>
        <w:t>33</w:t>
      </w:r>
      <w:r w:rsidR="007D0149" w:rsidRPr="008A1DB4">
        <w:rPr>
          <w:spacing w:val="-2"/>
          <w:lang w:val="en-US"/>
        </w:rPr>
        <w:fldChar w:fldCharType="end"/>
      </w:r>
      <w:r w:rsidR="00601B3D" w:rsidRPr="008A1DB4">
        <w:rPr>
          <w:spacing w:val="-2"/>
          <w:lang w:val="en-US"/>
        </w:rPr>
        <w:t>).</w:t>
      </w:r>
      <w:r w:rsidR="00601B3D" w:rsidRPr="008A1DB4">
        <w:rPr>
          <w:b/>
          <w:spacing w:val="-2"/>
          <w:lang w:val="en-US"/>
        </w:rPr>
        <w:t xml:space="preserve"> </w:t>
      </w:r>
    </w:p>
    <w:p w14:paraId="272AB00B" w14:textId="77777777" w:rsidR="00601B3D" w:rsidRPr="008A1DB4" w:rsidRDefault="00601B3D" w:rsidP="00956E97">
      <w:pPr>
        <w:pStyle w:val="ListParagraph"/>
        <w:tabs>
          <w:tab w:val="left" w:pos="567"/>
        </w:tabs>
        <w:ind w:left="0"/>
        <w:contextualSpacing w:val="0"/>
        <w:rPr>
          <w:spacing w:val="-2"/>
          <w:szCs w:val="20"/>
          <w:lang w:val="en-US"/>
        </w:rPr>
      </w:pPr>
    </w:p>
    <w:p w14:paraId="2BB060DA" w14:textId="14DC799E" w:rsidR="00601B3D" w:rsidRPr="008A1DB4" w:rsidRDefault="00967E26" w:rsidP="00956E97">
      <w:pPr>
        <w:pStyle w:val="PrrafodeSentencia"/>
        <w:rPr>
          <w:spacing w:val="-2"/>
          <w:lang w:val="en-US"/>
        </w:rPr>
      </w:pPr>
      <w:bookmarkStart w:id="1224" w:name="_Ref419392429"/>
      <w:r>
        <w:rPr>
          <w:spacing w:val="-2"/>
          <w:lang w:val="en-US"/>
        </w:rPr>
        <w:t>In its case law, t</w:t>
      </w:r>
      <w:r w:rsidR="00F36400" w:rsidRPr="008A1DB4">
        <w:rPr>
          <w:spacing w:val="-2"/>
          <w:lang w:val="en-US"/>
        </w:rPr>
        <w:t>he Court</w:t>
      </w:r>
      <w:r w:rsidR="00601B3D" w:rsidRPr="008A1DB4">
        <w:rPr>
          <w:spacing w:val="-2"/>
          <w:lang w:val="en-US"/>
        </w:rPr>
        <w:t xml:space="preserve"> ha</w:t>
      </w:r>
      <w:r w:rsidR="00D51CE5" w:rsidRPr="008A1DB4">
        <w:rPr>
          <w:spacing w:val="-2"/>
          <w:lang w:val="en-US"/>
        </w:rPr>
        <w:t>s</w:t>
      </w:r>
      <w:r>
        <w:rPr>
          <w:spacing w:val="-2"/>
          <w:lang w:val="en-US"/>
        </w:rPr>
        <w:t xml:space="preserve"> determined that, often,</w:t>
      </w:r>
      <w:r w:rsidR="00D51CE5" w:rsidRPr="008A1DB4">
        <w:rPr>
          <w:spacing w:val="-2"/>
          <w:lang w:val="en-US"/>
        </w:rPr>
        <w:t xml:space="preserve"> one of the </w:t>
      </w:r>
      <w:r>
        <w:rPr>
          <w:spacing w:val="-2"/>
          <w:lang w:val="en-US"/>
        </w:rPr>
        <w:t>inevitable</w:t>
      </w:r>
      <w:r w:rsidR="00D51CE5" w:rsidRPr="008A1DB4">
        <w:rPr>
          <w:spacing w:val="-2"/>
          <w:lang w:val="en-US"/>
        </w:rPr>
        <w:t xml:space="preserve"> </w:t>
      </w:r>
      <w:r w:rsidR="0079515C" w:rsidRPr="008A1DB4">
        <w:rPr>
          <w:spacing w:val="-2"/>
          <w:lang w:val="en-US"/>
        </w:rPr>
        <w:t>consequences</w:t>
      </w:r>
      <w:r>
        <w:rPr>
          <w:spacing w:val="-2"/>
          <w:lang w:val="en-US"/>
        </w:rPr>
        <w:t xml:space="preserve"> of</w:t>
      </w:r>
      <w:r w:rsidR="009F24F8" w:rsidRPr="008A1DB4">
        <w:rPr>
          <w:spacing w:val="-2"/>
          <w:lang w:val="en-US"/>
        </w:rPr>
        <w:t xml:space="preserve"> deprivation of liberty</w:t>
      </w:r>
      <w:r>
        <w:rPr>
          <w:spacing w:val="-2"/>
          <w:lang w:val="en-US"/>
        </w:rPr>
        <w:t xml:space="preserve"> is </w:t>
      </w:r>
      <w:r w:rsidR="00D51CE5" w:rsidRPr="008A1DB4">
        <w:rPr>
          <w:spacing w:val="-2"/>
          <w:lang w:val="en-US"/>
        </w:rPr>
        <w:t xml:space="preserve">harm to the enjoyment of </w:t>
      </w:r>
      <w:r>
        <w:rPr>
          <w:spacing w:val="-2"/>
          <w:lang w:val="en-US"/>
        </w:rPr>
        <w:t xml:space="preserve">other </w:t>
      </w:r>
      <w:r w:rsidR="00030FA9" w:rsidRPr="008A1DB4">
        <w:rPr>
          <w:spacing w:val="-2"/>
          <w:lang w:val="en-US"/>
        </w:rPr>
        <w:t>human rights</w:t>
      </w:r>
      <w:r>
        <w:rPr>
          <w:spacing w:val="-2"/>
          <w:lang w:val="en-US"/>
        </w:rPr>
        <w:t>,</w:t>
      </w:r>
      <w:r w:rsidRPr="00967E26">
        <w:rPr>
          <w:spacing w:val="-2"/>
          <w:lang w:val="en-US"/>
        </w:rPr>
        <w:t xml:space="preserve"> </w:t>
      </w:r>
      <w:r w:rsidRPr="008A1DB4">
        <w:rPr>
          <w:spacing w:val="-2"/>
          <w:lang w:val="en-US"/>
        </w:rPr>
        <w:t>such as the right to privacy and to family life</w:t>
      </w:r>
      <w:r>
        <w:rPr>
          <w:spacing w:val="-2"/>
          <w:lang w:val="en-US"/>
        </w:rPr>
        <w:t>,</w:t>
      </w:r>
      <w:r w:rsidR="00601B3D" w:rsidRPr="008A1DB4">
        <w:rPr>
          <w:spacing w:val="-2"/>
          <w:lang w:val="en-US"/>
        </w:rPr>
        <w:t xml:space="preserve"> </w:t>
      </w:r>
      <w:r>
        <w:rPr>
          <w:spacing w:val="-2"/>
          <w:lang w:val="en-US"/>
        </w:rPr>
        <w:t>rather than merely</w:t>
      </w:r>
      <w:r w:rsidR="00D51CE5" w:rsidRPr="008A1DB4">
        <w:rPr>
          <w:spacing w:val="-2"/>
          <w:lang w:val="en-US"/>
        </w:rPr>
        <w:t xml:space="preserve"> the right to </w:t>
      </w:r>
      <w:r w:rsidR="00776D24" w:rsidRPr="008A1DB4">
        <w:rPr>
          <w:spacing w:val="-2"/>
          <w:lang w:val="en-US"/>
        </w:rPr>
        <w:t>personal liberty</w:t>
      </w:r>
      <w:r w:rsidR="00D51CE5" w:rsidRPr="008A1DB4">
        <w:rPr>
          <w:spacing w:val="-2"/>
          <w:lang w:val="en-US"/>
        </w:rPr>
        <w:t>.</w:t>
      </w:r>
      <w:r w:rsidR="00601B3D" w:rsidRPr="008A1DB4">
        <w:rPr>
          <w:rStyle w:val="FootnoteReference"/>
          <w:spacing w:val="-2"/>
          <w:lang w:val="en-US"/>
        </w:rPr>
        <w:footnoteReference w:id="370"/>
      </w:r>
      <w:r>
        <w:rPr>
          <w:spacing w:val="-2"/>
          <w:lang w:val="en-US"/>
        </w:rPr>
        <w:t xml:space="preserve"> However, this restriction of rights</w:t>
      </w:r>
      <w:r w:rsidR="00D51CE5" w:rsidRPr="008A1DB4">
        <w:rPr>
          <w:spacing w:val="-2"/>
          <w:lang w:val="en-US"/>
        </w:rPr>
        <w:t xml:space="preserve"> </w:t>
      </w:r>
      <w:r>
        <w:rPr>
          <w:spacing w:val="-2"/>
          <w:lang w:val="en-US"/>
        </w:rPr>
        <w:t>that results</w:t>
      </w:r>
      <w:r w:rsidR="00D51CE5" w:rsidRPr="008A1DB4">
        <w:rPr>
          <w:spacing w:val="-2"/>
          <w:lang w:val="en-US"/>
        </w:rPr>
        <w:t xml:space="preserve"> from</w:t>
      </w:r>
      <w:r w:rsidR="00601B3D" w:rsidRPr="008A1DB4">
        <w:rPr>
          <w:spacing w:val="-2"/>
          <w:lang w:val="en-US"/>
        </w:rPr>
        <w:t xml:space="preserve"> </w:t>
      </w:r>
      <w:r w:rsidR="009F24F8" w:rsidRPr="008A1DB4">
        <w:rPr>
          <w:spacing w:val="-2"/>
          <w:lang w:val="en-US"/>
        </w:rPr>
        <w:t>the deprivation of liberty</w:t>
      </w:r>
      <w:r w:rsidR="00601B3D" w:rsidRPr="008A1DB4">
        <w:rPr>
          <w:spacing w:val="-2"/>
          <w:lang w:val="en-US"/>
        </w:rPr>
        <w:t xml:space="preserve"> o</w:t>
      </w:r>
      <w:r w:rsidR="00D51CE5" w:rsidRPr="008A1DB4">
        <w:rPr>
          <w:spacing w:val="-2"/>
          <w:lang w:val="en-US"/>
        </w:rPr>
        <w:t xml:space="preserve">r </w:t>
      </w:r>
      <w:r>
        <w:rPr>
          <w:spacing w:val="-2"/>
          <w:lang w:val="en-US"/>
        </w:rPr>
        <w:t>is one of its</w:t>
      </w:r>
      <w:r w:rsidR="00D51CE5" w:rsidRPr="008A1DB4">
        <w:rPr>
          <w:spacing w:val="-2"/>
          <w:lang w:val="en-US"/>
        </w:rPr>
        <w:t xml:space="preserve"> </w:t>
      </w:r>
      <w:r w:rsidR="0079515C" w:rsidRPr="008A1DB4">
        <w:rPr>
          <w:spacing w:val="-2"/>
          <w:lang w:val="en-US"/>
        </w:rPr>
        <w:t>collateral</w:t>
      </w:r>
      <w:r>
        <w:rPr>
          <w:spacing w:val="-2"/>
          <w:lang w:val="en-US"/>
        </w:rPr>
        <w:t xml:space="preserve"> effects must </w:t>
      </w:r>
      <w:r w:rsidR="00D51CE5" w:rsidRPr="008A1DB4">
        <w:rPr>
          <w:spacing w:val="-2"/>
          <w:lang w:val="en-US"/>
        </w:rPr>
        <w:t>be strictly limited because, under international law, a</w:t>
      </w:r>
      <w:r>
        <w:rPr>
          <w:spacing w:val="-2"/>
          <w:lang w:val="en-US"/>
        </w:rPr>
        <w:t>ny restriction of a human right</w:t>
      </w:r>
      <w:r w:rsidR="00D51CE5" w:rsidRPr="008A1DB4">
        <w:rPr>
          <w:spacing w:val="-2"/>
          <w:lang w:val="en-US"/>
        </w:rPr>
        <w:t xml:space="preserve"> can only be justified when it is necessary in a democratic society.</w:t>
      </w:r>
      <w:r w:rsidR="00601B3D" w:rsidRPr="008A1DB4">
        <w:rPr>
          <w:rStyle w:val="FootnoteReference"/>
          <w:spacing w:val="-2"/>
          <w:lang w:val="en-US"/>
        </w:rPr>
        <w:footnoteReference w:id="371"/>
      </w:r>
      <w:r w:rsidR="00D51CE5" w:rsidRPr="008A1DB4">
        <w:rPr>
          <w:spacing w:val="-2"/>
          <w:lang w:val="en-US"/>
        </w:rPr>
        <w:t xml:space="preserve"> Although the Court has also stated that the restriction of the </w:t>
      </w:r>
      <w:r w:rsidR="00775124" w:rsidRPr="008A1DB4">
        <w:rPr>
          <w:spacing w:val="-2"/>
          <w:lang w:val="en-US"/>
        </w:rPr>
        <w:t>right to personal</w:t>
      </w:r>
      <w:r w:rsidR="00776D24" w:rsidRPr="008A1DB4">
        <w:rPr>
          <w:spacing w:val="-2"/>
          <w:lang w:val="en-US"/>
        </w:rPr>
        <w:t xml:space="preserve"> integrity</w:t>
      </w:r>
      <w:r w:rsidR="00601B3D" w:rsidRPr="008A1DB4">
        <w:rPr>
          <w:spacing w:val="-2"/>
          <w:lang w:val="en-US"/>
        </w:rPr>
        <w:t xml:space="preserve">, </w:t>
      </w:r>
      <w:r w:rsidR="00D51CE5" w:rsidRPr="008A1DB4">
        <w:rPr>
          <w:spacing w:val="-2"/>
          <w:lang w:val="en-US"/>
        </w:rPr>
        <w:t>among others, is not justified based on</w:t>
      </w:r>
      <w:r w:rsidR="00601B3D" w:rsidRPr="008A1DB4">
        <w:rPr>
          <w:spacing w:val="-2"/>
          <w:lang w:val="en-US"/>
        </w:rPr>
        <w:t xml:space="preserve"> </w:t>
      </w:r>
      <w:r w:rsidR="009F24F8" w:rsidRPr="008A1DB4">
        <w:rPr>
          <w:spacing w:val="-2"/>
          <w:lang w:val="en-US"/>
        </w:rPr>
        <w:t>the deprivation of liberty</w:t>
      </w:r>
      <w:r>
        <w:rPr>
          <w:spacing w:val="-2"/>
          <w:lang w:val="en-US"/>
        </w:rPr>
        <w:t>,</w:t>
      </w:r>
      <w:r w:rsidR="00F36400" w:rsidRPr="008A1DB4">
        <w:rPr>
          <w:spacing w:val="-2"/>
          <w:lang w:val="en-US"/>
        </w:rPr>
        <w:t xml:space="preserve"> and </w:t>
      </w:r>
      <w:r w:rsidR="00D51CE5" w:rsidRPr="008A1DB4">
        <w:rPr>
          <w:spacing w:val="-2"/>
          <w:lang w:val="en-US"/>
        </w:rPr>
        <w:t>is prohibited by international law,</w:t>
      </w:r>
      <w:r w:rsidR="00601B3D" w:rsidRPr="008A1DB4">
        <w:rPr>
          <w:rStyle w:val="FootnoteReference"/>
          <w:spacing w:val="-2"/>
          <w:lang w:val="en-US"/>
        </w:rPr>
        <w:footnoteReference w:id="372"/>
      </w:r>
      <w:r w:rsidR="00D51CE5" w:rsidRPr="008A1DB4">
        <w:rPr>
          <w:spacing w:val="-2"/>
          <w:lang w:val="en-US"/>
        </w:rPr>
        <w:t xml:space="preserve"> an examination of the judgment</w:t>
      </w:r>
      <w:r>
        <w:rPr>
          <w:spacing w:val="-2"/>
          <w:lang w:val="en-US"/>
        </w:rPr>
        <w:t>s</w:t>
      </w:r>
      <w:r w:rsidR="00D51CE5" w:rsidRPr="008A1DB4">
        <w:rPr>
          <w:spacing w:val="-2"/>
          <w:lang w:val="en-US"/>
        </w:rPr>
        <w:t xml:space="preserve"> in the relevant cases h</w:t>
      </w:r>
      <w:r>
        <w:rPr>
          <w:spacing w:val="-2"/>
          <w:lang w:val="en-US"/>
        </w:rPr>
        <w:t xml:space="preserve">eard by this Court reveals that, in those cases, </w:t>
      </w:r>
      <w:r w:rsidR="00D51CE5" w:rsidRPr="008A1DB4">
        <w:rPr>
          <w:spacing w:val="-2"/>
          <w:lang w:val="en-US"/>
        </w:rPr>
        <w:t xml:space="preserve">the detention conditions were cruel, inhuman or degrading, and even caused death or injuries, </w:t>
      </w:r>
      <w:r>
        <w:rPr>
          <w:spacing w:val="-2"/>
          <w:lang w:val="en-US"/>
        </w:rPr>
        <w:t>frequently</w:t>
      </w:r>
      <w:r w:rsidR="00D51CE5" w:rsidRPr="008A1DB4">
        <w:rPr>
          <w:spacing w:val="-2"/>
          <w:lang w:val="en-US"/>
        </w:rPr>
        <w:t xml:space="preserve"> of a very serious nature, to a significant number of inmates.</w:t>
      </w:r>
      <w:r w:rsidR="00601B3D" w:rsidRPr="008A1DB4">
        <w:rPr>
          <w:rStyle w:val="FootnoteReference"/>
          <w:spacing w:val="-2"/>
          <w:lang w:val="en-US"/>
        </w:rPr>
        <w:footnoteReference w:id="373"/>
      </w:r>
      <w:bookmarkEnd w:id="1224"/>
      <w:r w:rsidR="00601B3D" w:rsidRPr="008A1DB4">
        <w:rPr>
          <w:spacing w:val="-2"/>
          <w:lang w:val="en-US"/>
        </w:rPr>
        <w:t xml:space="preserve"> </w:t>
      </w:r>
    </w:p>
    <w:p w14:paraId="28805048" w14:textId="77777777" w:rsidR="00601B3D" w:rsidRPr="008A1DB4" w:rsidRDefault="00601B3D" w:rsidP="00956E97">
      <w:pPr>
        <w:pStyle w:val="ListParagraph"/>
        <w:tabs>
          <w:tab w:val="left" w:pos="567"/>
        </w:tabs>
        <w:ind w:left="0"/>
        <w:contextualSpacing w:val="0"/>
        <w:rPr>
          <w:spacing w:val="-2"/>
          <w:szCs w:val="20"/>
          <w:lang w:val="en-US"/>
        </w:rPr>
      </w:pPr>
    </w:p>
    <w:p w14:paraId="5D949FC3" w14:textId="25920EF4" w:rsidR="00601B3D" w:rsidRPr="008A1DB4" w:rsidRDefault="00467AFC" w:rsidP="00956E97">
      <w:pPr>
        <w:pStyle w:val="PrrafodeSentencia"/>
        <w:rPr>
          <w:spacing w:val="-2"/>
          <w:lang w:val="en-US"/>
        </w:rPr>
      </w:pPr>
      <w:bookmarkStart w:id="1225" w:name="_Ref419392431"/>
      <w:r w:rsidRPr="008A1DB4">
        <w:rPr>
          <w:spacing w:val="-2"/>
          <w:lang w:val="en-US"/>
        </w:rPr>
        <w:t>In this case</w:t>
      </w:r>
      <w:r w:rsidR="00601B3D" w:rsidRPr="008A1DB4">
        <w:rPr>
          <w:spacing w:val="-2"/>
          <w:lang w:val="en-US"/>
        </w:rPr>
        <w:t xml:space="preserve">, </w:t>
      </w:r>
      <w:r w:rsidR="00C45946" w:rsidRPr="008A1DB4">
        <w:rPr>
          <w:spacing w:val="-2"/>
          <w:lang w:val="en-US"/>
        </w:rPr>
        <w:t>the representative</w:t>
      </w:r>
      <w:r w:rsidR="00601B3D" w:rsidRPr="008A1DB4">
        <w:rPr>
          <w:spacing w:val="-2"/>
          <w:lang w:val="en-US"/>
        </w:rPr>
        <w:t xml:space="preserve"> bas</w:t>
      </w:r>
      <w:r w:rsidR="00D51CE5" w:rsidRPr="008A1DB4">
        <w:rPr>
          <w:spacing w:val="-2"/>
          <w:lang w:val="en-US"/>
        </w:rPr>
        <w:t>ed</w:t>
      </w:r>
      <w:r w:rsidR="00601B3D" w:rsidRPr="008A1DB4">
        <w:rPr>
          <w:spacing w:val="-2"/>
          <w:lang w:val="en-US"/>
        </w:rPr>
        <w:t xml:space="preserve"> </w:t>
      </w:r>
      <w:r w:rsidR="004257EF" w:rsidRPr="008A1DB4">
        <w:rPr>
          <w:spacing w:val="-2"/>
          <w:lang w:val="en-US"/>
        </w:rPr>
        <w:t>the alleged violation</w:t>
      </w:r>
      <w:r w:rsidR="00601B3D" w:rsidRPr="008A1DB4">
        <w:rPr>
          <w:spacing w:val="-2"/>
          <w:lang w:val="en-US"/>
        </w:rPr>
        <w:t xml:space="preserve"> </w:t>
      </w:r>
      <w:r w:rsidR="00D51CE5" w:rsidRPr="008A1DB4">
        <w:rPr>
          <w:spacing w:val="-2"/>
          <w:lang w:val="en-US"/>
        </w:rPr>
        <w:t>of the</w:t>
      </w:r>
      <w:r w:rsidR="00601B3D" w:rsidRPr="008A1DB4">
        <w:rPr>
          <w:spacing w:val="-2"/>
          <w:lang w:val="en-US"/>
        </w:rPr>
        <w:t xml:space="preserve"> </w:t>
      </w:r>
      <w:r w:rsidR="00775124" w:rsidRPr="008A1DB4">
        <w:rPr>
          <w:spacing w:val="-2"/>
          <w:lang w:val="en-US"/>
        </w:rPr>
        <w:t>right to personal</w:t>
      </w:r>
      <w:r w:rsidR="00776D24" w:rsidRPr="008A1DB4">
        <w:rPr>
          <w:spacing w:val="-2"/>
          <w:lang w:val="en-US"/>
        </w:rPr>
        <w:t xml:space="preserve"> integrity</w:t>
      </w:r>
      <w:r w:rsidR="00601B3D" w:rsidRPr="008A1DB4">
        <w:rPr>
          <w:spacing w:val="-2"/>
          <w:lang w:val="en-US"/>
        </w:rPr>
        <w:t xml:space="preserve"> </w:t>
      </w:r>
      <w:r w:rsidR="00B43F84" w:rsidRPr="008A1DB4">
        <w:rPr>
          <w:spacing w:val="-2"/>
          <w:lang w:val="en-US"/>
        </w:rPr>
        <w:t>of Wong</w:t>
      </w:r>
      <w:r w:rsidR="00601B3D" w:rsidRPr="008A1DB4">
        <w:rPr>
          <w:spacing w:val="-2"/>
          <w:lang w:val="en-US"/>
        </w:rPr>
        <w:t xml:space="preserve"> Ho Wing </w:t>
      </w:r>
      <w:r w:rsidR="00D51CE5" w:rsidRPr="008A1DB4">
        <w:rPr>
          <w:spacing w:val="-2"/>
          <w:lang w:val="en-US"/>
        </w:rPr>
        <w:t>on his arbitrary deprivation of liberty. The Court finds that these arguments refer to what the Court has called a collateral effect of the detention.</w:t>
      </w:r>
      <w:r w:rsidR="00601B3D" w:rsidRPr="008A1DB4">
        <w:rPr>
          <w:rStyle w:val="FootnoteReference"/>
          <w:spacing w:val="-2"/>
          <w:lang w:val="en-US"/>
        </w:rPr>
        <w:footnoteReference w:id="374"/>
      </w:r>
      <w:r w:rsidR="00D51CE5" w:rsidRPr="008A1DB4">
        <w:rPr>
          <w:spacing w:val="-2"/>
          <w:lang w:val="en-US"/>
        </w:rPr>
        <w:t xml:space="preserve"> In addition, the Court recalls that the facts relating to the detention conditions </w:t>
      </w:r>
      <w:r w:rsidR="00B43F84" w:rsidRPr="008A1DB4">
        <w:rPr>
          <w:spacing w:val="-2"/>
          <w:lang w:val="en-US"/>
        </w:rPr>
        <w:t>of Wong</w:t>
      </w:r>
      <w:r w:rsidR="00D51CE5" w:rsidRPr="008A1DB4">
        <w:rPr>
          <w:spacing w:val="-2"/>
          <w:lang w:val="en-US"/>
        </w:rPr>
        <w:t xml:space="preserve"> Ho Wing i</w:t>
      </w:r>
      <w:r w:rsidR="00601B3D" w:rsidRPr="008A1DB4">
        <w:rPr>
          <w:spacing w:val="-2"/>
          <w:lang w:val="en-US"/>
        </w:rPr>
        <w:t xml:space="preserve">n </w:t>
      </w:r>
      <w:r w:rsidR="00FE5E87" w:rsidRPr="008A1DB4">
        <w:rPr>
          <w:spacing w:val="-2"/>
          <w:lang w:val="en-US"/>
        </w:rPr>
        <w:t>Peru</w:t>
      </w:r>
      <w:r w:rsidR="00601B3D" w:rsidRPr="008A1DB4">
        <w:rPr>
          <w:spacing w:val="-2"/>
          <w:lang w:val="en-US"/>
        </w:rPr>
        <w:t xml:space="preserve"> </w:t>
      </w:r>
      <w:r w:rsidR="00D51CE5" w:rsidRPr="008A1DB4">
        <w:rPr>
          <w:spacing w:val="-2"/>
          <w:lang w:val="en-US"/>
        </w:rPr>
        <w:t xml:space="preserve">are not part of this case </w:t>
      </w:r>
      <w:r w:rsidR="00601B3D" w:rsidRPr="008A1DB4">
        <w:rPr>
          <w:spacing w:val="-2"/>
          <w:lang w:val="en-US"/>
        </w:rPr>
        <w:t>(</w:t>
      </w:r>
      <w:r w:rsidR="00601B3D" w:rsidRPr="008A1DB4">
        <w:rPr>
          <w:i/>
          <w:spacing w:val="-2"/>
          <w:lang w:val="en-US"/>
        </w:rPr>
        <w:t>supra</w:t>
      </w:r>
      <w:r w:rsidR="00601B3D" w:rsidRPr="008A1DB4">
        <w:rPr>
          <w:spacing w:val="-2"/>
          <w:lang w:val="en-US"/>
        </w:rPr>
        <w:t xml:space="preserve"> </w:t>
      </w:r>
      <w:r w:rsidR="00C45946" w:rsidRPr="008A1DB4">
        <w:rPr>
          <w:spacing w:val="-2"/>
          <w:lang w:val="en-US"/>
        </w:rPr>
        <w:t xml:space="preserve">para. </w:t>
      </w:r>
      <w:r w:rsidR="00803862" w:rsidRPr="008A1DB4">
        <w:rPr>
          <w:spacing w:val="-2"/>
          <w:lang w:val="en-US"/>
        </w:rPr>
        <w:fldChar w:fldCharType="begin"/>
      </w:r>
      <w:r w:rsidR="00601B3D" w:rsidRPr="008A1DB4">
        <w:rPr>
          <w:spacing w:val="-2"/>
          <w:lang w:val="en-US"/>
        </w:rPr>
        <w:instrText xml:space="preserve"> REF _Ref416369525 \r \h </w:instrText>
      </w:r>
      <w:r w:rsidR="00E2617E"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36</w:t>
      </w:r>
      <w:r w:rsidR="00803862" w:rsidRPr="008A1DB4">
        <w:rPr>
          <w:spacing w:val="-2"/>
          <w:lang w:val="en-US"/>
        </w:rPr>
        <w:fldChar w:fldCharType="end"/>
      </w:r>
      <w:r w:rsidR="00601B3D" w:rsidRPr="008A1DB4">
        <w:rPr>
          <w:spacing w:val="-2"/>
          <w:lang w:val="en-US"/>
        </w:rPr>
        <w:t xml:space="preserve">). </w:t>
      </w:r>
      <w:r w:rsidR="00D51CE5" w:rsidRPr="008A1DB4">
        <w:rPr>
          <w:spacing w:val="-2"/>
          <w:lang w:val="en-US"/>
        </w:rPr>
        <w:t xml:space="preserve">Consequently, the Court finds that the State did not violate </w:t>
      </w:r>
      <w:r w:rsidR="00F36400" w:rsidRPr="008A1DB4">
        <w:rPr>
          <w:spacing w:val="-2"/>
          <w:lang w:val="en-US"/>
        </w:rPr>
        <w:t>Article</w:t>
      </w:r>
      <w:r w:rsidR="00601B3D" w:rsidRPr="008A1DB4">
        <w:rPr>
          <w:spacing w:val="-2"/>
          <w:lang w:val="en-US"/>
        </w:rPr>
        <w:t xml:space="preserve"> 5</w:t>
      </w:r>
      <w:r w:rsidR="00F36400" w:rsidRPr="008A1DB4">
        <w:rPr>
          <w:spacing w:val="-2"/>
          <w:lang w:val="en-US"/>
        </w:rPr>
        <w:t xml:space="preserve"> of the American Convention</w:t>
      </w:r>
      <w:r w:rsidR="00440A80" w:rsidRPr="008A1DB4">
        <w:rPr>
          <w:spacing w:val="-2"/>
          <w:lang w:val="en-US"/>
        </w:rPr>
        <w:t xml:space="preserve">, </w:t>
      </w:r>
      <w:r w:rsidR="009E5939" w:rsidRPr="008A1DB4">
        <w:rPr>
          <w:spacing w:val="-2"/>
          <w:lang w:val="en-US"/>
        </w:rPr>
        <w:t>in relation to</w:t>
      </w:r>
      <w:r w:rsidR="00440A80" w:rsidRPr="008A1DB4">
        <w:rPr>
          <w:spacing w:val="-2"/>
          <w:lang w:val="en-US"/>
        </w:rPr>
        <w:t xml:space="preserve"> </w:t>
      </w:r>
      <w:r w:rsidR="00F36400" w:rsidRPr="008A1DB4">
        <w:rPr>
          <w:spacing w:val="-2"/>
          <w:lang w:val="en-US"/>
        </w:rPr>
        <w:t>Article 1(1)</w:t>
      </w:r>
      <w:r w:rsidR="00440A80" w:rsidRPr="008A1DB4">
        <w:rPr>
          <w:spacing w:val="-2"/>
          <w:lang w:val="en-US"/>
        </w:rPr>
        <w:t xml:space="preserve"> </w:t>
      </w:r>
      <w:r w:rsidR="00D51CE5" w:rsidRPr="008A1DB4">
        <w:rPr>
          <w:spacing w:val="-2"/>
          <w:lang w:val="en-US"/>
        </w:rPr>
        <w:t xml:space="preserve">of this instrument, </w:t>
      </w:r>
      <w:r w:rsidR="00F36400" w:rsidRPr="008A1DB4">
        <w:rPr>
          <w:spacing w:val="-2"/>
          <w:lang w:val="en-US"/>
        </w:rPr>
        <w:t>to the detriment of</w:t>
      </w:r>
      <w:r w:rsidR="00601B3D" w:rsidRPr="008A1DB4">
        <w:rPr>
          <w:spacing w:val="-2"/>
          <w:lang w:val="en-US"/>
        </w:rPr>
        <w:t xml:space="preserve"> Wong Ho Wing.</w:t>
      </w:r>
      <w:bookmarkEnd w:id="1225"/>
      <w:r w:rsidR="00BA4D3B" w:rsidRPr="008A1DB4">
        <w:rPr>
          <w:spacing w:val="-2"/>
          <w:lang w:val="en-US"/>
        </w:rPr>
        <w:t xml:space="preserve"> </w:t>
      </w:r>
      <w:r w:rsidR="002F7F5F" w:rsidRPr="008A1DB4">
        <w:rPr>
          <w:spacing w:val="-2"/>
          <w:lang w:val="en-US"/>
        </w:rPr>
        <w:t xml:space="preserve">Notwithstanding the foregoing, </w:t>
      </w:r>
      <w:r w:rsidR="00D51CE5" w:rsidRPr="008A1DB4">
        <w:rPr>
          <w:spacing w:val="-2"/>
          <w:lang w:val="en-US"/>
        </w:rPr>
        <w:t xml:space="preserve">when ordering any reparations that are in order, </w:t>
      </w:r>
      <w:r w:rsidR="002F7F5F" w:rsidRPr="008A1DB4">
        <w:rPr>
          <w:spacing w:val="-2"/>
          <w:lang w:val="en-US"/>
        </w:rPr>
        <w:t>the Court will take into account, insofar as perti</w:t>
      </w:r>
      <w:r w:rsidR="00D51CE5" w:rsidRPr="008A1DB4">
        <w:rPr>
          <w:spacing w:val="-2"/>
          <w:lang w:val="en-US"/>
        </w:rPr>
        <w:t>n</w:t>
      </w:r>
      <w:r w:rsidR="002F7F5F" w:rsidRPr="008A1DB4">
        <w:rPr>
          <w:spacing w:val="-2"/>
          <w:lang w:val="en-US"/>
        </w:rPr>
        <w:t xml:space="preserve">ent, the harm caused to </w:t>
      </w:r>
      <w:r w:rsidR="00B43F84" w:rsidRPr="008A1DB4">
        <w:rPr>
          <w:spacing w:val="-2"/>
          <w:lang w:val="en-US"/>
        </w:rPr>
        <w:t>Wong</w:t>
      </w:r>
      <w:r w:rsidR="00BA4D3B" w:rsidRPr="008A1DB4">
        <w:rPr>
          <w:spacing w:val="-2"/>
          <w:lang w:val="en-US"/>
        </w:rPr>
        <w:t xml:space="preserve"> Ho Wing </w:t>
      </w:r>
      <w:r w:rsidR="002F7F5F" w:rsidRPr="008A1DB4">
        <w:rPr>
          <w:spacing w:val="-2"/>
          <w:lang w:val="en-US"/>
        </w:rPr>
        <w:t>owing to his detention.</w:t>
      </w:r>
    </w:p>
    <w:p w14:paraId="6F547B02" w14:textId="77777777" w:rsidR="00D51CE5" w:rsidRDefault="00D51CE5" w:rsidP="00D51CE5">
      <w:pPr>
        <w:pStyle w:val="PrrafodeSentencia"/>
        <w:numPr>
          <w:ilvl w:val="0"/>
          <w:numId w:val="0"/>
        </w:numPr>
        <w:rPr>
          <w:spacing w:val="-2"/>
          <w:lang w:val="en-US"/>
        </w:rPr>
      </w:pPr>
    </w:p>
    <w:p w14:paraId="6932695A" w14:textId="77777777" w:rsidR="00967E26" w:rsidRPr="008A1DB4" w:rsidRDefault="00967E26" w:rsidP="00D51CE5">
      <w:pPr>
        <w:pStyle w:val="PrrafodeSentencia"/>
        <w:numPr>
          <w:ilvl w:val="0"/>
          <w:numId w:val="0"/>
        </w:numPr>
        <w:rPr>
          <w:spacing w:val="-2"/>
          <w:lang w:val="en-US"/>
        </w:rPr>
      </w:pPr>
    </w:p>
    <w:p w14:paraId="29C1F23A" w14:textId="77777777" w:rsidR="00601B3D" w:rsidRPr="008A1DB4" w:rsidRDefault="00601B3D" w:rsidP="00956E97">
      <w:pPr>
        <w:rPr>
          <w:spacing w:val="-2"/>
          <w:sz w:val="18"/>
          <w:szCs w:val="18"/>
          <w:lang w:val="en-US" w:eastAsia="es-CR"/>
        </w:rPr>
      </w:pPr>
    </w:p>
    <w:p w14:paraId="1076749D" w14:textId="77777777" w:rsidR="00221B79" w:rsidRPr="008A1DB4" w:rsidRDefault="00221B79" w:rsidP="00956E97">
      <w:pPr>
        <w:pStyle w:val="Title"/>
        <w:rPr>
          <w:spacing w:val="-2"/>
          <w:lang w:val="en-US"/>
        </w:rPr>
      </w:pPr>
      <w:bookmarkStart w:id="1226" w:name="_Toc418912647"/>
      <w:bookmarkStart w:id="1227" w:name="_Toc419394448"/>
      <w:bookmarkStart w:id="1228" w:name="_Toc429490307"/>
      <w:bookmarkStart w:id="1229" w:name="_Toc429503821"/>
      <w:bookmarkStart w:id="1230" w:name="_Toc429504327"/>
      <w:bookmarkStart w:id="1231" w:name="_Toc429678040"/>
      <w:bookmarkStart w:id="1232" w:name="_Toc430017203"/>
      <w:bookmarkStart w:id="1233" w:name="_Toc430017432"/>
      <w:bookmarkStart w:id="1234" w:name="_Toc430018714"/>
      <w:bookmarkStart w:id="1235" w:name="_Toc430125312"/>
      <w:bookmarkStart w:id="1236" w:name="_Toc430125420"/>
      <w:r w:rsidRPr="008A1DB4">
        <w:rPr>
          <w:spacing w:val="-2"/>
          <w:lang w:val="en-US"/>
        </w:rPr>
        <w:t>XI</w:t>
      </w:r>
      <w:bookmarkEnd w:id="1226"/>
      <w:bookmarkEnd w:id="1227"/>
      <w:r w:rsidR="009A75B5" w:rsidRPr="008A1DB4">
        <w:rPr>
          <w:spacing w:val="-2"/>
          <w:lang w:val="en-US"/>
        </w:rPr>
        <w:t>I</w:t>
      </w:r>
      <w:bookmarkEnd w:id="1228"/>
      <w:bookmarkEnd w:id="1229"/>
      <w:bookmarkEnd w:id="1230"/>
      <w:bookmarkEnd w:id="1231"/>
      <w:bookmarkEnd w:id="1232"/>
      <w:bookmarkEnd w:id="1233"/>
      <w:bookmarkEnd w:id="1234"/>
      <w:bookmarkEnd w:id="1235"/>
      <w:bookmarkEnd w:id="1236"/>
    </w:p>
    <w:p w14:paraId="2B6460D6" w14:textId="64A7FFFE" w:rsidR="00221B79" w:rsidRPr="008A1DB4" w:rsidRDefault="001168D7" w:rsidP="00956E97">
      <w:pPr>
        <w:pStyle w:val="Title"/>
        <w:rPr>
          <w:i/>
          <w:spacing w:val="-2"/>
          <w:lang w:val="en-US"/>
        </w:rPr>
      </w:pPr>
      <w:r w:rsidRPr="008A1DB4">
        <w:rPr>
          <w:spacing w:val="-2"/>
          <w:lang w:val="en-US"/>
        </w:rPr>
        <w:t>REPARATIONS</w:t>
      </w:r>
    </w:p>
    <w:p w14:paraId="44E3B541" w14:textId="6BC87C0D" w:rsidR="00221B79" w:rsidRPr="008A1DB4" w:rsidRDefault="00221B79" w:rsidP="00956E97">
      <w:pPr>
        <w:pStyle w:val="Title"/>
        <w:rPr>
          <w:i/>
          <w:spacing w:val="-2"/>
          <w:lang w:val="en-US"/>
        </w:rPr>
      </w:pPr>
      <w:bookmarkStart w:id="1237" w:name="_Toc418074113"/>
      <w:bookmarkStart w:id="1238" w:name="_Toc418503918"/>
      <w:bookmarkStart w:id="1239" w:name="_Toc418912649"/>
      <w:bookmarkStart w:id="1240" w:name="_Toc418912870"/>
      <w:bookmarkStart w:id="1241" w:name="_Toc419394450"/>
      <w:bookmarkStart w:id="1242" w:name="_Toc419394785"/>
      <w:bookmarkStart w:id="1243" w:name="_Toc419469749"/>
      <w:bookmarkStart w:id="1244" w:name="_Toc419470216"/>
      <w:bookmarkStart w:id="1245" w:name="_Toc423361049"/>
      <w:bookmarkStart w:id="1246" w:name="_Toc429490309"/>
      <w:bookmarkStart w:id="1247" w:name="_Toc429497968"/>
      <w:bookmarkStart w:id="1248" w:name="_Toc429503823"/>
      <w:bookmarkStart w:id="1249" w:name="_Toc429503931"/>
      <w:bookmarkStart w:id="1250" w:name="_Toc429504329"/>
      <w:bookmarkStart w:id="1251" w:name="_Toc429504431"/>
      <w:bookmarkStart w:id="1252" w:name="_Toc429678042"/>
      <w:bookmarkStart w:id="1253" w:name="_Toc429678150"/>
      <w:bookmarkStart w:id="1254" w:name="_Toc430017205"/>
      <w:bookmarkStart w:id="1255" w:name="_Toc430017434"/>
      <w:bookmarkStart w:id="1256" w:name="_Toc430017739"/>
      <w:bookmarkStart w:id="1257" w:name="_Toc430018716"/>
      <w:bookmarkStart w:id="1258" w:name="_Toc430018818"/>
      <w:bookmarkStart w:id="1259" w:name="_Toc430125314"/>
      <w:bookmarkStart w:id="1260" w:name="_Toc430125422"/>
      <w:r w:rsidRPr="008A1DB4">
        <w:rPr>
          <w:spacing w:val="-2"/>
          <w:lang w:val="en-US"/>
        </w:rPr>
        <w:t>(</w:t>
      </w:r>
      <w:r w:rsidR="001168D7" w:rsidRPr="008A1DB4">
        <w:rPr>
          <w:spacing w:val="-2"/>
          <w:lang w:val="en-US"/>
        </w:rPr>
        <w:t>Application of</w:t>
      </w:r>
      <w:r w:rsidR="0058668C" w:rsidRPr="008A1DB4">
        <w:rPr>
          <w:spacing w:val="-2"/>
          <w:lang w:val="en-US"/>
        </w:rPr>
        <w:t xml:space="preserve"> Article</w:t>
      </w:r>
      <w:r w:rsidRPr="008A1DB4">
        <w:rPr>
          <w:spacing w:val="-2"/>
          <w:lang w:val="en-US"/>
        </w:rPr>
        <w:t xml:space="preserve"> </w:t>
      </w:r>
      <w:r w:rsidR="00F36400" w:rsidRPr="008A1DB4">
        <w:rPr>
          <w:spacing w:val="-2"/>
          <w:lang w:val="en-US"/>
        </w:rPr>
        <w:t>63(1) of the American Convention</w:t>
      </w:r>
      <w:r w:rsidRPr="008A1DB4">
        <w:rPr>
          <w:spacing w:val="-2"/>
          <w:lang w:val="en-US"/>
        </w:rPr>
        <w:t>)</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p>
    <w:p w14:paraId="6EAD4B56" w14:textId="77777777" w:rsidR="00221B79" w:rsidRPr="008A1DB4" w:rsidRDefault="00221B79" w:rsidP="00956E97">
      <w:pPr>
        <w:widowControl w:val="0"/>
        <w:tabs>
          <w:tab w:val="left" w:pos="90"/>
          <w:tab w:val="left" w:pos="567"/>
        </w:tabs>
        <w:suppressAutoHyphens/>
        <w:autoSpaceDE w:val="0"/>
        <w:ind w:right="72"/>
        <w:rPr>
          <w:rFonts w:cs="Verdana-Italic"/>
          <w:b/>
          <w:iCs/>
          <w:spacing w:val="-2"/>
          <w:lang w:val="en-US" w:bidi="en-US"/>
        </w:rPr>
      </w:pPr>
    </w:p>
    <w:p w14:paraId="09302273" w14:textId="50BC616F" w:rsidR="00221B79" w:rsidRPr="008A1DB4" w:rsidRDefault="002F7F5F" w:rsidP="00956E97">
      <w:pPr>
        <w:pStyle w:val="PrrafodeSentencia"/>
        <w:rPr>
          <w:spacing w:val="-2"/>
          <w:lang w:val="en-US"/>
        </w:rPr>
      </w:pPr>
      <w:r w:rsidRPr="008A1DB4">
        <w:rPr>
          <w:spacing w:val="-2"/>
          <w:lang w:val="en-US"/>
        </w:rPr>
        <w:lastRenderedPageBreak/>
        <w:t>Based on the provisions of</w:t>
      </w:r>
      <w:r w:rsidR="00221B79" w:rsidRPr="008A1DB4">
        <w:rPr>
          <w:spacing w:val="-2"/>
          <w:lang w:val="en-US"/>
        </w:rPr>
        <w:t xml:space="preserve"> </w:t>
      </w:r>
      <w:r w:rsidR="00F36400" w:rsidRPr="008A1DB4">
        <w:rPr>
          <w:spacing w:val="-2"/>
          <w:lang w:val="en-US"/>
        </w:rPr>
        <w:t>Article</w:t>
      </w:r>
      <w:r w:rsidR="00221B79" w:rsidRPr="008A1DB4">
        <w:rPr>
          <w:spacing w:val="-2"/>
          <w:lang w:val="en-US"/>
        </w:rPr>
        <w:t xml:space="preserve"> </w:t>
      </w:r>
      <w:r w:rsidR="00F36400" w:rsidRPr="008A1DB4">
        <w:rPr>
          <w:spacing w:val="-2"/>
          <w:lang w:val="en-US"/>
        </w:rPr>
        <w:t>63(1) of the American Convention</w:t>
      </w:r>
      <w:r w:rsidRPr="008A1DB4">
        <w:rPr>
          <w:spacing w:val="-2"/>
          <w:lang w:val="en-US"/>
        </w:rPr>
        <w:t>,</w:t>
      </w:r>
      <w:r w:rsidR="00221B79" w:rsidRPr="008A1DB4">
        <w:rPr>
          <w:rStyle w:val="FootnoteReference"/>
          <w:spacing w:val="-2"/>
          <w:lang w:val="en-US"/>
        </w:rPr>
        <w:footnoteReference w:id="375"/>
      </w:r>
      <w:r w:rsidR="00221B79" w:rsidRPr="008A1DB4">
        <w:rPr>
          <w:spacing w:val="-2"/>
          <w:lang w:val="en-US"/>
        </w:rPr>
        <w:t xml:space="preserve"> </w:t>
      </w:r>
      <w:r w:rsidR="00F36400" w:rsidRPr="008A1DB4">
        <w:rPr>
          <w:spacing w:val="-2"/>
          <w:lang w:val="en-US"/>
        </w:rPr>
        <w:t>the Court</w:t>
      </w:r>
      <w:r w:rsidR="00221B79" w:rsidRPr="008A1DB4">
        <w:rPr>
          <w:spacing w:val="-2"/>
          <w:lang w:val="en-US"/>
        </w:rPr>
        <w:t xml:space="preserve"> ha</w:t>
      </w:r>
      <w:r w:rsidRPr="008A1DB4">
        <w:rPr>
          <w:spacing w:val="-2"/>
          <w:lang w:val="en-US"/>
        </w:rPr>
        <w:t xml:space="preserve">s indicated that any violation of an international obligation that has caused harm entails the obligation to make adequate reparation, and that this provisions reflects a customary norm that </w:t>
      </w:r>
      <w:r w:rsidR="00DB2E7E">
        <w:rPr>
          <w:spacing w:val="-2"/>
          <w:lang w:val="en-US"/>
        </w:rPr>
        <w:t>is</w:t>
      </w:r>
      <w:r w:rsidRPr="008A1DB4">
        <w:rPr>
          <w:spacing w:val="-2"/>
          <w:lang w:val="en-US"/>
        </w:rPr>
        <w:t xml:space="preserve"> one of the basic principles of contemporary international law on State responsibility.</w:t>
      </w:r>
      <w:r w:rsidR="00221B79" w:rsidRPr="008A1DB4">
        <w:rPr>
          <w:rStyle w:val="FootnoteReference"/>
          <w:spacing w:val="-2"/>
          <w:lang w:val="en-US"/>
        </w:rPr>
        <w:footnoteReference w:id="376"/>
      </w:r>
    </w:p>
    <w:p w14:paraId="16A6412A" w14:textId="77777777" w:rsidR="00221B79" w:rsidRPr="008A1DB4" w:rsidRDefault="00221B79" w:rsidP="00956E97">
      <w:pPr>
        <w:pStyle w:val="Prrafodelista2"/>
        <w:tabs>
          <w:tab w:val="left" w:pos="567"/>
          <w:tab w:val="num" w:pos="15467"/>
        </w:tabs>
        <w:ind w:left="0"/>
        <w:jc w:val="both"/>
        <w:rPr>
          <w:spacing w:val="-2"/>
          <w:lang w:val="en-US"/>
        </w:rPr>
      </w:pPr>
    </w:p>
    <w:p w14:paraId="031EA242" w14:textId="555E4A75" w:rsidR="00221B79" w:rsidRPr="008A1DB4" w:rsidRDefault="002F7F5F" w:rsidP="00956E97">
      <w:pPr>
        <w:pStyle w:val="PrrafodeSentencia"/>
        <w:rPr>
          <w:spacing w:val="-2"/>
          <w:lang w:val="en-US"/>
        </w:rPr>
      </w:pPr>
      <w:r w:rsidRPr="008A1DB4">
        <w:rPr>
          <w:spacing w:val="-2"/>
          <w:lang w:val="en-US"/>
        </w:rPr>
        <w:t xml:space="preserve">The reparation of the harm caused by the violation of an international obligation requires, whenever possible, full restitution </w:t>
      </w:r>
      <w:r w:rsidR="00221B79" w:rsidRPr="008A1DB4">
        <w:rPr>
          <w:spacing w:val="-2"/>
          <w:lang w:val="en-US"/>
        </w:rPr>
        <w:t>(</w:t>
      </w:r>
      <w:proofErr w:type="spellStart"/>
      <w:r w:rsidR="00221B79" w:rsidRPr="008A1DB4">
        <w:rPr>
          <w:i/>
          <w:spacing w:val="-2"/>
          <w:lang w:val="en-US"/>
        </w:rPr>
        <w:t>restitutio</w:t>
      </w:r>
      <w:proofErr w:type="spellEnd"/>
      <w:r w:rsidR="00221B79" w:rsidRPr="008A1DB4">
        <w:rPr>
          <w:i/>
          <w:spacing w:val="-2"/>
          <w:lang w:val="en-US"/>
        </w:rPr>
        <w:t xml:space="preserve"> in </w:t>
      </w:r>
      <w:proofErr w:type="spellStart"/>
      <w:r w:rsidR="00221B79" w:rsidRPr="008A1DB4">
        <w:rPr>
          <w:i/>
          <w:spacing w:val="-2"/>
          <w:lang w:val="en-US"/>
        </w:rPr>
        <w:t>integrum</w:t>
      </w:r>
      <w:proofErr w:type="spellEnd"/>
      <w:r w:rsidR="00221B79" w:rsidRPr="008A1DB4">
        <w:rPr>
          <w:spacing w:val="-2"/>
          <w:lang w:val="en-US"/>
        </w:rPr>
        <w:t xml:space="preserve">), </w:t>
      </w:r>
      <w:r w:rsidRPr="008A1DB4">
        <w:rPr>
          <w:spacing w:val="-2"/>
          <w:lang w:val="en-US"/>
        </w:rPr>
        <w:t xml:space="preserve">which consists in the re-establishment of the previous situation. If this is not feasible, as in most cases </w:t>
      </w:r>
      <w:r w:rsidR="00DB2E7E">
        <w:rPr>
          <w:spacing w:val="-2"/>
          <w:lang w:val="en-US"/>
        </w:rPr>
        <w:t>of human rights violations, the</w:t>
      </w:r>
      <w:r w:rsidRPr="008A1DB4">
        <w:rPr>
          <w:spacing w:val="-2"/>
          <w:lang w:val="en-US"/>
        </w:rPr>
        <w:t xml:space="preserve"> Court will determine measures that ensure the rights that have been violated and redress the consequences of the violations.</w:t>
      </w:r>
      <w:r w:rsidR="00221B79" w:rsidRPr="008A1DB4">
        <w:rPr>
          <w:spacing w:val="-2"/>
          <w:vertAlign w:val="superscript"/>
          <w:lang w:val="en-US"/>
        </w:rPr>
        <w:footnoteReference w:id="377"/>
      </w:r>
      <w:r w:rsidRPr="008A1DB4">
        <w:rPr>
          <w:spacing w:val="-2"/>
          <w:lang w:val="en-US"/>
        </w:rPr>
        <w:t xml:space="preserve"> Therefore, the Court has found it necessary to award different measures of reparation in order to redress the harm integrally, so that in addition to pecuniary compensation, the measures of restitution and satisfaction, and also guarantees of non-repetition have special relevance for the harm caused.</w:t>
      </w:r>
      <w:r w:rsidR="00221B79" w:rsidRPr="008A1DB4">
        <w:rPr>
          <w:spacing w:val="-2"/>
          <w:vertAlign w:val="superscript"/>
          <w:lang w:val="en-US"/>
        </w:rPr>
        <w:footnoteReference w:id="378"/>
      </w:r>
    </w:p>
    <w:p w14:paraId="494361B8" w14:textId="77777777" w:rsidR="00221B79" w:rsidRPr="008A1DB4" w:rsidRDefault="00221B79" w:rsidP="00956E97">
      <w:pPr>
        <w:pStyle w:val="ListParagraph"/>
        <w:tabs>
          <w:tab w:val="left" w:pos="567"/>
        </w:tabs>
        <w:ind w:left="0"/>
        <w:rPr>
          <w:spacing w:val="-2"/>
          <w:lang w:val="en-US"/>
        </w:rPr>
      </w:pPr>
    </w:p>
    <w:p w14:paraId="39089BF9" w14:textId="3FF80964" w:rsidR="00221B79" w:rsidRPr="008A1DB4" w:rsidRDefault="00F36400" w:rsidP="00956E97">
      <w:pPr>
        <w:pStyle w:val="PrrafodeSentencia"/>
        <w:rPr>
          <w:spacing w:val="-2"/>
          <w:lang w:val="en-US"/>
        </w:rPr>
      </w:pPr>
      <w:r w:rsidRPr="008A1DB4">
        <w:rPr>
          <w:spacing w:val="-2"/>
          <w:lang w:val="en-US"/>
        </w:rPr>
        <w:t>This Court</w:t>
      </w:r>
      <w:r w:rsidR="00221B79" w:rsidRPr="008A1DB4">
        <w:rPr>
          <w:spacing w:val="-2"/>
          <w:lang w:val="en-US"/>
        </w:rPr>
        <w:t xml:space="preserve"> ha</w:t>
      </w:r>
      <w:r w:rsidR="00E90566" w:rsidRPr="008A1DB4">
        <w:rPr>
          <w:spacing w:val="-2"/>
          <w:lang w:val="en-US"/>
        </w:rPr>
        <w:t>s establ</w:t>
      </w:r>
      <w:r w:rsidR="002F7F5F" w:rsidRPr="008A1DB4">
        <w:rPr>
          <w:spacing w:val="-2"/>
          <w:lang w:val="en-US"/>
        </w:rPr>
        <w:t xml:space="preserve">ished that </w:t>
      </w:r>
      <w:r w:rsidR="0079515C" w:rsidRPr="008A1DB4">
        <w:rPr>
          <w:spacing w:val="-2"/>
          <w:lang w:val="en-US"/>
        </w:rPr>
        <w:t>reparations</w:t>
      </w:r>
      <w:r w:rsidR="002F7F5F" w:rsidRPr="008A1DB4">
        <w:rPr>
          <w:spacing w:val="-2"/>
          <w:lang w:val="en-US"/>
        </w:rPr>
        <w:t xml:space="preserve"> must have a causal nexus to the facts of the case, the violations that have been declared, the </w:t>
      </w:r>
      <w:r w:rsidR="00DB2E7E">
        <w:rPr>
          <w:spacing w:val="-2"/>
          <w:lang w:val="en-US"/>
        </w:rPr>
        <w:t>harm</w:t>
      </w:r>
      <w:r w:rsidR="002F7F5F" w:rsidRPr="008A1DB4">
        <w:rPr>
          <w:spacing w:val="-2"/>
          <w:lang w:val="en-US"/>
        </w:rPr>
        <w:t xml:space="preserve"> proved, and the m</w:t>
      </w:r>
      <w:r w:rsidR="00DB2E7E">
        <w:rPr>
          <w:spacing w:val="-2"/>
          <w:lang w:val="en-US"/>
        </w:rPr>
        <w:t xml:space="preserve">easures requested to repair this </w:t>
      </w:r>
      <w:r w:rsidR="002F7F5F" w:rsidRPr="008A1DB4">
        <w:rPr>
          <w:spacing w:val="-2"/>
          <w:lang w:val="en-US"/>
        </w:rPr>
        <w:t>harm. The Court must observe the concurrence of these factors to rule appropriately and pursuant to law.</w:t>
      </w:r>
      <w:r w:rsidR="00221B79" w:rsidRPr="008A1DB4">
        <w:rPr>
          <w:rStyle w:val="FootnoteReference"/>
          <w:spacing w:val="-2"/>
          <w:lang w:val="en-US"/>
        </w:rPr>
        <w:footnoteReference w:id="379"/>
      </w:r>
    </w:p>
    <w:p w14:paraId="1A547EEB" w14:textId="77777777" w:rsidR="00221B79" w:rsidRPr="008A1DB4" w:rsidRDefault="00221B79" w:rsidP="00956E97">
      <w:pPr>
        <w:pStyle w:val="ListParagraph"/>
        <w:tabs>
          <w:tab w:val="left" w:pos="567"/>
        </w:tabs>
        <w:ind w:left="0"/>
        <w:contextualSpacing w:val="0"/>
        <w:rPr>
          <w:spacing w:val="-2"/>
          <w:lang w:val="en-US"/>
        </w:rPr>
      </w:pPr>
    </w:p>
    <w:p w14:paraId="3695C095" w14:textId="4BC71960" w:rsidR="00221B79" w:rsidRPr="008A1DB4" w:rsidRDefault="002F7F5F" w:rsidP="00956E97">
      <w:pPr>
        <w:pStyle w:val="PrrafodeSentencia"/>
        <w:rPr>
          <w:spacing w:val="-2"/>
          <w:lang w:val="en-US"/>
        </w:rPr>
      </w:pPr>
      <w:r w:rsidRPr="008A1DB4">
        <w:rPr>
          <w:spacing w:val="-2"/>
          <w:lang w:val="en-US"/>
        </w:rPr>
        <w:t xml:space="preserve">Taking into consideration the violations declared in the preceding chapters, the Court will now examine the claims presented by </w:t>
      </w:r>
      <w:r w:rsidR="00F36400" w:rsidRPr="008A1DB4">
        <w:rPr>
          <w:spacing w:val="-2"/>
          <w:lang w:val="en-US"/>
        </w:rPr>
        <w:t xml:space="preserve">the Commission and </w:t>
      </w:r>
      <w:r w:rsidR="00C45946" w:rsidRPr="008A1DB4">
        <w:rPr>
          <w:spacing w:val="-2"/>
          <w:lang w:val="en-US"/>
        </w:rPr>
        <w:t>the representative</w:t>
      </w:r>
      <w:r w:rsidR="00221B79" w:rsidRPr="008A1DB4">
        <w:rPr>
          <w:spacing w:val="-2"/>
          <w:lang w:val="en-US"/>
        </w:rPr>
        <w:t>, as</w:t>
      </w:r>
      <w:r w:rsidRPr="008A1DB4">
        <w:rPr>
          <w:spacing w:val="-2"/>
          <w:lang w:val="en-US"/>
        </w:rPr>
        <w:t xml:space="preserve"> well as the arguments of the State, in light of the criteria established in its case law concerning the nature and scope of the obligation to make reparation,</w:t>
      </w:r>
      <w:r w:rsidR="00221B79" w:rsidRPr="008A1DB4">
        <w:rPr>
          <w:spacing w:val="-2"/>
          <w:vertAlign w:val="superscript"/>
          <w:lang w:val="en-US"/>
        </w:rPr>
        <w:footnoteReference w:id="380"/>
      </w:r>
      <w:r w:rsidRPr="008A1DB4">
        <w:rPr>
          <w:spacing w:val="-2"/>
          <w:lang w:val="en-US"/>
        </w:rPr>
        <w:t xml:space="preserve"> in order to establish measures to redress the harm caused to the victim.</w:t>
      </w:r>
    </w:p>
    <w:p w14:paraId="2A09EB59" w14:textId="77777777" w:rsidR="00221B79" w:rsidRPr="008A1DB4" w:rsidRDefault="00221B79" w:rsidP="00956E97">
      <w:pPr>
        <w:widowControl w:val="0"/>
        <w:tabs>
          <w:tab w:val="left" w:pos="90"/>
          <w:tab w:val="left" w:pos="567"/>
        </w:tabs>
        <w:suppressAutoHyphens/>
        <w:autoSpaceDE w:val="0"/>
        <w:ind w:right="72"/>
        <w:rPr>
          <w:rFonts w:cs="Helvetica"/>
          <w:b/>
          <w:spacing w:val="-2"/>
          <w:lang w:val="en-US" w:bidi="en-US"/>
        </w:rPr>
      </w:pPr>
    </w:p>
    <w:p w14:paraId="5996794A" w14:textId="27C49E00" w:rsidR="00221B79" w:rsidRPr="008A1DB4" w:rsidRDefault="00221B79" w:rsidP="00956E97">
      <w:pPr>
        <w:pStyle w:val="Heading1"/>
        <w:rPr>
          <w:spacing w:val="-2"/>
          <w:lang w:val="en-US"/>
        </w:rPr>
      </w:pPr>
      <w:bookmarkStart w:id="1261" w:name="_Toc418074114"/>
      <w:bookmarkStart w:id="1262" w:name="_Toc418503919"/>
      <w:bookmarkStart w:id="1263" w:name="_Toc418912650"/>
      <w:bookmarkStart w:id="1264" w:name="_Toc418912871"/>
      <w:bookmarkStart w:id="1265" w:name="_Toc419394451"/>
      <w:bookmarkStart w:id="1266" w:name="_Toc429490310"/>
      <w:bookmarkStart w:id="1267" w:name="_Toc429503824"/>
      <w:bookmarkStart w:id="1268" w:name="_Toc429504330"/>
      <w:bookmarkStart w:id="1269" w:name="_Toc429678043"/>
      <w:bookmarkStart w:id="1270" w:name="_Toc430017206"/>
      <w:bookmarkStart w:id="1271" w:name="_Toc430017435"/>
      <w:bookmarkStart w:id="1272" w:name="_Toc430018717"/>
      <w:bookmarkStart w:id="1273" w:name="_Toc430125315"/>
      <w:bookmarkStart w:id="1274" w:name="_Toc430125423"/>
      <w:r w:rsidRPr="008A1DB4">
        <w:rPr>
          <w:spacing w:val="-2"/>
          <w:lang w:val="en-US"/>
        </w:rPr>
        <w:t xml:space="preserve">A. </w:t>
      </w:r>
      <w:r w:rsidR="001168D7" w:rsidRPr="008A1DB4">
        <w:rPr>
          <w:spacing w:val="-2"/>
          <w:lang w:val="en-US"/>
        </w:rPr>
        <w:t>Injured party</w:t>
      </w:r>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7CB8026A" w14:textId="77777777" w:rsidR="00221B79" w:rsidRPr="008A1DB4" w:rsidRDefault="00221B79" w:rsidP="00956E97">
      <w:pPr>
        <w:widowControl w:val="0"/>
        <w:tabs>
          <w:tab w:val="left" w:pos="90"/>
          <w:tab w:val="left" w:pos="567"/>
        </w:tabs>
        <w:suppressAutoHyphens/>
        <w:autoSpaceDE w:val="0"/>
        <w:ind w:right="72"/>
        <w:rPr>
          <w:rFonts w:cs="Helvetica"/>
          <w:b/>
          <w:spacing w:val="-2"/>
          <w:lang w:val="en-US" w:bidi="en-US"/>
        </w:rPr>
      </w:pPr>
    </w:p>
    <w:p w14:paraId="3A41AA59" w14:textId="7C45A1DB" w:rsidR="00221B79" w:rsidRPr="008A1DB4" w:rsidRDefault="002F7F5F" w:rsidP="00956E97">
      <w:pPr>
        <w:pStyle w:val="PrrafodeSentencia"/>
        <w:rPr>
          <w:spacing w:val="-2"/>
          <w:lang w:val="en-US"/>
        </w:rPr>
      </w:pPr>
      <w:r w:rsidRPr="008A1DB4">
        <w:rPr>
          <w:spacing w:val="-2"/>
          <w:lang w:val="en-US"/>
        </w:rPr>
        <w:t>The</w:t>
      </w:r>
      <w:r w:rsidR="00F36400" w:rsidRPr="008A1DB4">
        <w:rPr>
          <w:spacing w:val="-2"/>
          <w:lang w:val="en-US"/>
        </w:rPr>
        <w:t xml:space="preserve"> Court</w:t>
      </w:r>
      <w:r w:rsidR="00221B79" w:rsidRPr="008A1DB4">
        <w:rPr>
          <w:spacing w:val="-2"/>
          <w:lang w:val="en-US"/>
        </w:rPr>
        <w:t xml:space="preserve"> reitera</w:t>
      </w:r>
      <w:r w:rsidRPr="008A1DB4">
        <w:rPr>
          <w:spacing w:val="-2"/>
          <w:lang w:val="en-US"/>
        </w:rPr>
        <w:t>tes that, pursuant to</w:t>
      </w:r>
      <w:r w:rsidR="0058668C" w:rsidRPr="008A1DB4">
        <w:rPr>
          <w:spacing w:val="-2"/>
          <w:lang w:val="en-US"/>
        </w:rPr>
        <w:t xml:space="preserve"> Article</w:t>
      </w:r>
      <w:r w:rsidR="00221B79" w:rsidRPr="008A1DB4">
        <w:rPr>
          <w:spacing w:val="-2"/>
          <w:lang w:val="en-US"/>
        </w:rPr>
        <w:t xml:space="preserve"> </w:t>
      </w:r>
      <w:r w:rsidR="00F36400" w:rsidRPr="008A1DB4">
        <w:rPr>
          <w:spacing w:val="-2"/>
          <w:lang w:val="en-US"/>
        </w:rPr>
        <w:t>63(1) of the Convention</w:t>
      </w:r>
      <w:r w:rsidR="00221B79" w:rsidRPr="008A1DB4">
        <w:rPr>
          <w:spacing w:val="-2"/>
          <w:lang w:val="en-US"/>
        </w:rPr>
        <w:t xml:space="preserve">, </w:t>
      </w:r>
      <w:r w:rsidRPr="008A1DB4">
        <w:rPr>
          <w:spacing w:val="-2"/>
          <w:lang w:val="en-US"/>
        </w:rPr>
        <w:t xml:space="preserve">it considers the injured party to be anyone declared a victim of the violation of any right recognized therein. Therefore, this Court considers that Wong Ho Wing is the “injured party” and, in his capacity as victim of the violations </w:t>
      </w:r>
      <w:r w:rsidR="0079515C" w:rsidRPr="008A1DB4">
        <w:rPr>
          <w:spacing w:val="-2"/>
          <w:lang w:val="en-US"/>
        </w:rPr>
        <w:t>declared</w:t>
      </w:r>
      <w:r w:rsidRPr="008A1DB4">
        <w:rPr>
          <w:spacing w:val="-2"/>
          <w:lang w:val="en-US"/>
        </w:rPr>
        <w:t xml:space="preserve"> in Chapters </w:t>
      </w:r>
      <w:r w:rsidR="00221B79" w:rsidRPr="008A1DB4">
        <w:rPr>
          <w:spacing w:val="-2"/>
          <w:lang w:val="en-US"/>
        </w:rPr>
        <w:t>X</w:t>
      </w:r>
      <w:r w:rsidR="00F36400" w:rsidRPr="008A1DB4">
        <w:rPr>
          <w:spacing w:val="-2"/>
          <w:lang w:val="en-US"/>
        </w:rPr>
        <w:t xml:space="preserve"> and </w:t>
      </w:r>
      <w:r w:rsidRPr="008A1DB4">
        <w:rPr>
          <w:spacing w:val="-2"/>
          <w:lang w:val="en-US"/>
        </w:rPr>
        <w:t>XI</w:t>
      </w:r>
      <w:r w:rsidR="00DB2E7E">
        <w:rPr>
          <w:spacing w:val="-2"/>
          <w:lang w:val="en-US"/>
        </w:rPr>
        <w:t>,</w:t>
      </w:r>
      <w:r w:rsidRPr="008A1DB4">
        <w:rPr>
          <w:spacing w:val="-2"/>
          <w:lang w:val="en-US"/>
        </w:rPr>
        <w:t xml:space="preserve"> he will be the beneficiary of the </w:t>
      </w:r>
      <w:r w:rsidR="00DB2E7E">
        <w:rPr>
          <w:spacing w:val="-2"/>
          <w:lang w:val="en-US"/>
        </w:rPr>
        <w:t xml:space="preserve">following </w:t>
      </w:r>
      <w:r w:rsidRPr="008A1DB4">
        <w:rPr>
          <w:spacing w:val="-2"/>
          <w:lang w:val="en-US"/>
        </w:rPr>
        <w:t>measures ordered by the Court.</w:t>
      </w:r>
    </w:p>
    <w:p w14:paraId="0430EC55" w14:textId="77777777" w:rsidR="00221B79" w:rsidRPr="008A1DB4" w:rsidRDefault="00221B79" w:rsidP="00956E97">
      <w:pPr>
        <w:pStyle w:val="Prrafodelista2"/>
        <w:tabs>
          <w:tab w:val="left" w:pos="567"/>
        </w:tabs>
        <w:ind w:left="0"/>
        <w:jc w:val="both"/>
        <w:rPr>
          <w:spacing w:val="-2"/>
          <w:lang w:val="en-US"/>
        </w:rPr>
      </w:pPr>
      <w:r w:rsidRPr="008A1DB4">
        <w:rPr>
          <w:spacing w:val="-2"/>
          <w:lang w:val="en-US"/>
        </w:rPr>
        <w:t xml:space="preserve"> </w:t>
      </w:r>
    </w:p>
    <w:p w14:paraId="63E71DBE" w14:textId="63B10D96" w:rsidR="00221B79" w:rsidRPr="008A1DB4" w:rsidRDefault="00221B79" w:rsidP="00956E97">
      <w:pPr>
        <w:pStyle w:val="Heading1"/>
        <w:rPr>
          <w:spacing w:val="-2"/>
          <w:lang w:val="en-US"/>
        </w:rPr>
      </w:pPr>
      <w:bookmarkStart w:id="1275" w:name="_Toc418074115"/>
      <w:bookmarkStart w:id="1276" w:name="_Toc418503920"/>
      <w:bookmarkStart w:id="1277" w:name="_Toc418912651"/>
      <w:bookmarkStart w:id="1278" w:name="_Toc418912872"/>
      <w:bookmarkStart w:id="1279" w:name="_Toc419394452"/>
      <w:bookmarkStart w:id="1280" w:name="_Toc429490311"/>
      <w:bookmarkStart w:id="1281" w:name="_Toc429503825"/>
      <w:bookmarkStart w:id="1282" w:name="_Toc429504331"/>
      <w:bookmarkStart w:id="1283" w:name="_Toc429678044"/>
      <w:bookmarkStart w:id="1284" w:name="_Toc430017207"/>
      <w:bookmarkStart w:id="1285" w:name="_Toc430017436"/>
      <w:bookmarkStart w:id="1286" w:name="_Toc430018718"/>
      <w:bookmarkStart w:id="1287" w:name="_Toc430125316"/>
      <w:bookmarkStart w:id="1288" w:name="_Toc430125424"/>
      <w:r w:rsidRPr="008A1DB4">
        <w:rPr>
          <w:spacing w:val="-2"/>
          <w:lang w:val="en-US"/>
        </w:rPr>
        <w:t xml:space="preserve">B. </w:t>
      </w:r>
      <w:r w:rsidR="001168D7" w:rsidRPr="008A1DB4">
        <w:rPr>
          <w:spacing w:val="-2"/>
          <w:lang w:val="en-US"/>
        </w:rPr>
        <w:t>Measures of integral reparation: restitution and satisfaction</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346CE9F3" w14:textId="77777777" w:rsidR="00221B79" w:rsidRPr="008A1DB4" w:rsidRDefault="00221B79" w:rsidP="00956E97">
      <w:pPr>
        <w:widowControl w:val="0"/>
        <w:tabs>
          <w:tab w:val="left" w:pos="90"/>
          <w:tab w:val="left" w:pos="567"/>
        </w:tabs>
        <w:suppressAutoHyphens/>
        <w:autoSpaceDE w:val="0"/>
        <w:ind w:right="72"/>
        <w:rPr>
          <w:rFonts w:cs="Verdana-Italic"/>
          <w:b/>
          <w:iCs/>
          <w:spacing w:val="-2"/>
          <w:lang w:val="en-US" w:bidi="en-US"/>
        </w:rPr>
      </w:pPr>
    </w:p>
    <w:p w14:paraId="5157E6A5" w14:textId="64024540" w:rsidR="00221B79" w:rsidRPr="008A1DB4" w:rsidRDefault="00221B79" w:rsidP="00956E97">
      <w:pPr>
        <w:pStyle w:val="Heading2"/>
        <w:rPr>
          <w:spacing w:val="-2"/>
          <w:lang w:val="en-US"/>
        </w:rPr>
      </w:pPr>
      <w:bookmarkStart w:id="1289" w:name="_Toc418074116"/>
      <w:bookmarkStart w:id="1290" w:name="_Toc418503921"/>
      <w:bookmarkStart w:id="1291" w:name="_Toc418912652"/>
      <w:bookmarkStart w:id="1292" w:name="_Toc418912873"/>
      <w:bookmarkStart w:id="1293" w:name="_Toc419394453"/>
      <w:bookmarkStart w:id="1294" w:name="_Toc429490312"/>
      <w:bookmarkStart w:id="1295" w:name="_Toc429503826"/>
      <w:bookmarkStart w:id="1296" w:name="_Toc429504332"/>
      <w:bookmarkStart w:id="1297" w:name="_Toc429678045"/>
      <w:bookmarkStart w:id="1298" w:name="_Toc430017208"/>
      <w:bookmarkStart w:id="1299" w:name="_Toc430017437"/>
      <w:bookmarkStart w:id="1300" w:name="_Toc430018719"/>
      <w:bookmarkStart w:id="1301" w:name="_Toc430125317"/>
      <w:bookmarkStart w:id="1302" w:name="_Toc430125425"/>
      <w:r w:rsidRPr="008A1DB4">
        <w:rPr>
          <w:spacing w:val="-2"/>
          <w:lang w:val="en-US"/>
        </w:rPr>
        <w:t xml:space="preserve">B.1) </w:t>
      </w:r>
      <w:r w:rsidR="001168D7" w:rsidRPr="008A1DB4">
        <w:rPr>
          <w:spacing w:val="-2"/>
          <w:lang w:val="en-US"/>
        </w:rPr>
        <w:t>Restitution</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14:paraId="343819D7" w14:textId="77777777" w:rsidR="00221B79" w:rsidRPr="008A1DB4" w:rsidRDefault="00221B79" w:rsidP="00956E97">
      <w:pPr>
        <w:widowControl w:val="0"/>
        <w:tabs>
          <w:tab w:val="left" w:pos="90"/>
          <w:tab w:val="left" w:pos="567"/>
        </w:tabs>
        <w:suppressAutoHyphens/>
        <w:autoSpaceDE w:val="0"/>
        <w:ind w:right="72"/>
        <w:rPr>
          <w:b/>
          <w:i/>
          <w:spacing w:val="-2"/>
          <w:lang w:val="en-US"/>
        </w:rPr>
      </w:pPr>
    </w:p>
    <w:p w14:paraId="67441509" w14:textId="3E28E304" w:rsidR="00221B79" w:rsidRPr="008A1DB4" w:rsidRDefault="00221B79" w:rsidP="00956E97">
      <w:pPr>
        <w:pStyle w:val="Heading3"/>
        <w:ind w:left="1440"/>
        <w:rPr>
          <w:spacing w:val="-2"/>
          <w:lang w:val="en-US"/>
        </w:rPr>
      </w:pPr>
      <w:bookmarkStart w:id="1303" w:name="_Toc418912874"/>
      <w:bookmarkStart w:id="1304" w:name="_Toc419394454"/>
      <w:bookmarkStart w:id="1305" w:name="_Toc429490313"/>
      <w:bookmarkStart w:id="1306" w:name="_Toc429503827"/>
      <w:bookmarkStart w:id="1307" w:name="_Toc429504333"/>
      <w:bookmarkStart w:id="1308" w:name="_Toc429678046"/>
      <w:bookmarkStart w:id="1309" w:name="_Toc430017209"/>
      <w:bookmarkStart w:id="1310" w:name="_Toc430017438"/>
      <w:bookmarkStart w:id="1311" w:name="_Toc430018720"/>
      <w:bookmarkStart w:id="1312" w:name="_Toc430125318"/>
      <w:bookmarkStart w:id="1313" w:name="_Toc430125426"/>
      <w:r w:rsidRPr="008A1DB4">
        <w:rPr>
          <w:spacing w:val="-2"/>
          <w:lang w:val="en-US"/>
        </w:rPr>
        <w:t xml:space="preserve">B.1.a) </w:t>
      </w:r>
      <w:r w:rsidR="001168D7" w:rsidRPr="008A1DB4">
        <w:rPr>
          <w:spacing w:val="-2"/>
          <w:lang w:val="en-US"/>
        </w:rPr>
        <w:t>Extradition process</w:t>
      </w:r>
      <w:bookmarkEnd w:id="1303"/>
      <w:bookmarkEnd w:id="1304"/>
      <w:bookmarkEnd w:id="1305"/>
      <w:bookmarkEnd w:id="1306"/>
      <w:bookmarkEnd w:id="1307"/>
      <w:bookmarkEnd w:id="1308"/>
      <w:bookmarkEnd w:id="1309"/>
      <w:bookmarkEnd w:id="1310"/>
      <w:bookmarkEnd w:id="1311"/>
      <w:bookmarkEnd w:id="1312"/>
      <w:bookmarkEnd w:id="1313"/>
    </w:p>
    <w:p w14:paraId="39E7E27F" w14:textId="77777777" w:rsidR="00221B79" w:rsidRPr="008A1DB4" w:rsidRDefault="00221B79" w:rsidP="00956E97">
      <w:pPr>
        <w:widowControl w:val="0"/>
        <w:tabs>
          <w:tab w:val="left" w:pos="90"/>
          <w:tab w:val="left" w:pos="567"/>
        </w:tabs>
        <w:suppressAutoHyphens/>
        <w:autoSpaceDE w:val="0"/>
        <w:ind w:right="72"/>
        <w:rPr>
          <w:i/>
          <w:spacing w:val="-2"/>
          <w:lang w:val="en-US"/>
        </w:rPr>
      </w:pPr>
    </w:p>
    <w:p w14:paraId="0FE8EF04" w14:textId="2AC1F8A8" w:rsidR="00CA5C48" w:rsidRPr="008A1DB4" w:rsidRDefault="00F36400" w:rsidP="00E90566">
      <w:pPr>
        <w:pStyle w:val="PrrafodeSentencia"/>
        <w:tabs>
          <w:tab w:val="clear" w:pos="567"/>
          <w:tab w:val="num" w:pos="657"/>
        </w:tabs>
        <w:ind w:left="90"/>
        <w:rPr>
          <w:spacing w:val="-2"/>
          <w:lang w:val="en-US"/>
        </w:rPr>
      </w:pPr>
      <w:r w:rsidRPr="0079515C">
        <w:rPr>
          <w:spacing w:val="-2"/>
          <w:lang w:val="en-US"/>
        </w:rPr>
        <w:t>The Commission</w:t>
      </w:r>
      <w:r w:rsidR="00221B79" w:rsidRPr="0079515C">
        <w:rPr>
          <w:b/>
          <w:spacing w:val="-2"/>
          <w:lang w:val="en-US"/>
        </w:rPr>
        <w:t xml:space="preserve"> </w:t>
      </w:r>
      <w:r w:rsidR="00C22433" w:rsidRPr="0079515C">
        <w:rPr>
          <w:spacing w:val="-2"/>
          <w:lang w:val="en-US"/>
        </w:rPr>
        <w:t>asked</w:t>
      </w:r>
      <w:r w:rsidR="00221B79" w:rsidRPr="0079515C">
        <w:rPr>
          <w:spacing w:val="-2"/>
          <w:lang w:val="en-US"/>
        </w:rPr>
        <w:t xml:space="preserve"> </w:t>
      </w:r>
      <w:r w:rsidRPr="0079515C">
        <w:rPr>
          <w:spacing w:val="-2"/>
          <w:lang w:val="en-US"/>
        </w:rPr>
        <w:t>the Court</w:t>
      </w:r>
      <w:r w:rsidR="00221B79" w:rsidRPr="0079515C">
        <w:rPr>
          <w:spacing w:val="-2"/>
          <w:lang w:val="en-US"/>
        </w:rPr>
        <w:t xml:space="preserve"> </w:t>
      </w:r>
      <w:r w:rsidR="00C22433" w:rsidRPr="0079515C">
        <w:rPr>
          <w:spacing w:val="-2"/>
          <w:lang w:val="en-US"/>
        </w:rPr>
        <w:t>to order the State</w:t>
      </w:r>
      <w:r w:rsidR="00E90566" w:rsidRPr="0079515C">
        <w:rPr>
          <w:spacing w:val="-2"/>
          <w:lang w:val="en-US"/>
        </w:rPr>
        <w:t xml:space="preserve"> “[t</w:t>
      </w:r>
      <w:r w:rsidR="00221B79" w:rsidRPr="0079515C">
        <w:rPr>
          <w:spacing w:val="-2"/>
          <w:lang w:val="en-US"/>
        </w:rPr>
        <w:t>]</w:t>
      </w:r>
      <w:r w:rsidR="00E90566" w:rsidRPr="0079515C">
        <w:rPr>
          <w:spacing w:val="-2"/>
          <w:lang w:val="en-US"/>
        </w:rPr>
        <w:t xml:space="preserve">o establish </w:t>
      </w:r>
      <w:r w:rsidR="00E90566" w:rsidRPr="0079515C">
        <w:rPr>
          <w:rFonts w:cs="Arial"/>
          <w:lang w:val="en-US"/>
        </w:rPr>
        <w:t>the measures necessary to</w:t>
      </w:r>
      <w:r w:rsidR="00E90566" w:rsidRPr="008A1DB4">
        <w:rPr>
          <w:rFonts w:cs="Arial"/>
          <w:lang w:val="en-US"/>
        </w:rPr>
        <w:t xml:space="preserve"> ensure that the extradition process is brought to a conclusion as soon as possible, in accordance with the procedures set forth in the Peruvian Code of Criminal Procedure, denying the extradition request in strict compliance with the judgment of the Constitutional Court of May 24, 2011.”  In addition, it asked that in compliance with this measure, the State ensure that none of its authorities </w:t>
      </w:r>
      <w:r w:rsidR="00DB2E7E">
        <w:rPr>
          <w:rFonts w:cs="Arial"/>
          <w:lang w:val="en-US"/>
        </w:rPr>
        <w:t xml:space="preserve">implement </w:t>
      </w:r>
      <w:r w:rsidR="00E90566" w:rsidRPr="008A1DB4">
        <w:rPr>
          <w:rFonts w:cs="Arial"/>
          <w:lang w:val="en-US"/>
        </w:rPr>
        <w:t>mechanisms that would obstruct or delay execution of that judgment. The representative asked the Court to order the State to take a decision in the</w:t>
      </w:r>
      <w:r w:rsidR="00E90566" w:rsidRPr="008A1DB4">
        <w:rPr>
          <w:spacing w:val="-2"/>
          <w:lang w:val="en-US"/>
        </w:rPr>
        <w:t xml:space="preserve"> extradition process as soon as possible, “denying </w:t>
      </w:r>
      <w:r w:rsidR="00087CF8" w:rsidRPr="008A1DB4">
        <w:rPr>
          <w:spacing w:val="-2"/>
          <w:lang w:val="en-US"/>
        </w:rPr>
        <w:t>the extradition request</w:t>
      </w:r>
      <w:r w:rsidR="00E90566" w:rsidRPr="008A1DB4">
        <w:rPr>
          <w:spacing w:val="-2"/>
          <w:lang w:val="en-US"/>
        </w:rPr>
        <w:t>.” He also</w:t>
      </w:r>
      <w:r w:rsidR="00DB2E7E">
        <w:rPr>
          <w:spacing w:val="-2"/>
          <w:lang w:val="en-US"/>
        </w:rPr>
        <w:t xml:space="preserve"> asked that, in no circumstance</w:t>
      </w:r>
      <w:r w:rsidR="00E90566" w:rsidRPr="008A1DB4">
        <w:rPr>
          <w:spacing w:val="-2"/>
          <w:lang w:val="en-US"/>
        </w:rPr>
        <w:t xml:space="preserve">, should </w:t>
      </w:r>
      <w:r w:rsidR="001E7113" w:rsidRPr="008A1DB4">
        <w:rPr>
          <w:spacing w:val="-2"/>
          <w:lang w:val="en-US"/>
        </w:rPr>
        <w:t>Wong</w:t>
      </w:r>
      <w:r w:rsidR="00C93573" w:rsidRPr="008A1DB4">
        <w:rPr>
          <w:spacing w:val="-2"/>
          <w:lang w:val="en-US"/>
        </w:rPr>
        <w:t xml:space="preserve"> Ho Wing </w:t>
      </w:r>
      <w:r w:rsidR="00E90566" w:rsidRPr="008A1DB4">
        <w:rPr>
          <w:spacing w:val="-2"/>
          <w:lang w:val="en-US"/>
        </w:rPr>
        <w:t xml:space="preserve">be extradited to </w:t>
      </w:r>
      <w:r w:rsidR="00FE5E87" w:rsidRPr="008A1DB4">
        <w:rPr>
          <w:spacing w:val="-2"/>
          <w:lang w:val="en-US"/>
        </w:rPr>
        <w:t xml:space="preserve">the People’s Republic of </w:t>
      </w:r>
      <w:r w:rsidR="0079515C" w:rsidRPr="008A1DB4">
        <w:rPr>
          <w:spacing w:val="-2"/>
          <w:lang w:val="en-US"/>
        </w:rPr>
        <w:t>China where</w:t>
      </w:r>
      <w:r w:rsidR="00E90566" w:rsidRPr="008A1DB4">
        <w:rPr>
          <w:spacing w:val="-2"/>
          <w:lang w:val="en-US"/>
        </w:rPr>
        <w:t xml:space="preserve"> his life and </w:t>
      </w:r>
      <w:r w:rsidR="00776D24" w:rsidRPr="008A1DB4">
        <w:rPr>
          <w:spacing w:val="-2"/>
          <w:lang w:val="en-US"/>
        </w:rPr>
        <w:t>personal integrity</w:t>
      </w:r>
      <w:r w:rsidR="00E90566" w:rsidRPr="008A1DB4">
        <w:rPr>
          <w:spacing w:val="-2"/>
          <w:lang w:val="en-US"/>
        </w:rPr>
        <w:t xml:space="preserve"> were at risk and, as a result, the total </w:t>
      </w:r>
      <w:r w:rsidR="00DB2E7E">
        <w:rPr>
          <w:spacing w:val="-2"/>
          <w:lang w:val="en-US"/>
        </w:rPr>
        <w:t>disintegration</w:t>
      </w:r>
      <w:r w:rsidR="00E90566" w:rsidRPr="008A1DB4">
        <w:rPr>
          <w:spacing w:val="-2"/>
          <w:lang w:val="en-US"/>
        </w:rPr>
        <w:t xml:space="preserve"> of his immediate family.” The State advised </w:t>
      </w:r>
      <w:r w:rsidR="0079515C" w:rsidRPr="008A1DB4">
        <w:rPr>
          <w:spacing w:val="-2"/>
          <w:lang w:val="en-US"/>
        </w:rPr>
        <w:t>that</w:t>
      </w:r>
      <w:r w:rsidR="00E90566" w:rsidRPr="008A1DB4">
        <w:rPr>
          <w:spacing w:val="-2"/>
          <w:lang w:val="en-US"/>
        </w:rPr>
        <w:t xml:space="preserve"> the extradition proce</w:t>
      </w:r>
      <w:r w:rsidR="00DB2E7E">
        <w:rPr>
          <w:spacing w:val="-2"/>
          <w:lang w:val="en-US"/>
        </w:rPr>
        <w:t>ss was</w:t>
      </w:r>
      <w:r w:rsidR="00E90566" w:rsidRPr="008A1DB4">
        <w:rPr>
          <w:spacing w:val="-2"/>
          <w:lang w:val="en-US"/>
        </w:rPr>
        <w:t xml:space="preserve"> at the </w:t>
      </w:r>
      <w:r w:rsidR="00DB2E7E">
        <w:rPr>
          <w:spacing w:val="-2"/>
          <w:lang w:val="en-US"/>
        </w:rPr>
        <w:t>final</w:t>
      </w:r>
      <w:r w:rsidR="00E90566" w:rsidRPr="008A1DB4">
        <w:rPr>
          <w:spacing w:val="-2"/>
          <w:lang w:val="en-US"/>
        </w:rPr>
        <w:t xml:space="preserve"> stage, so that the Commission’s request would “be assessed by the corresponding entities, in accordance with the laws of Peru in force and the regular domestic procedures, based on the Court’s decision” </w:t>
      </w:r>
      <w:r w:rsidR="00467AFC" w:rsidRPr="008A1DB4">
        <w:rPr>
          <w:spacing w:val="-2"/>
          <w:lang w:val="en-US"/>
        </w:rPr>
        <w:t>in this case</w:t>
      </w:r>
      <w:r w:rsidR="00221B79" w:rsidRPr="008A1DB4">
        <w:rPr>
          <w:spacing w:val="-2"/>
          <w:lang w:val="en-US"/>
        </w:rPr>
        <w:t xml:space="preserve">. </w:t>
      </w:r>
    </w:p>
    <w:p w14:paraId="76262DDD" w14:textId="77777777" w:rsidR="00CA5C48" w:rsidRPr="008A1DB4" w:rsidRDefault="00CA5C48" w:rsidP="00956E97">
      <w:pPr>
        <w:pStyle w:val="PrrafodeSentencia"/>
        <w:numPr>
          <w:ilvl w:val="0"/>
          <w:numId w:val="0"/>
        </w:numPr>
        <w:rPr>
          <w:spacing w:val="-2"/>
          <w:lang w:val="en-US"/>
        </w:rPr>
      </w:pPr>
    </w:p>
    <w:p w14:paraId="31BA6714" w14:textId="43555531" w:rsidR="009B5300" w:rsidRPr="008A1DB4" w:rsidRDefault="00F36400" w:rsidP="00956E97">
      <w:pPr>
        <w:pStyle w:val="PrrafodeSentencia"/>
        <w:rPr>
          <w:spacing w:val="-2"/>
          <w:lang w:val="en-US"/>
        </w:rPr>
      </w:pPr>
      <w:bookmarkStart w:id="1314" w:name="_Ref428264129"/>
      <w:r w:rsidRPr="008A1DB4">
        <w:rPr>
          <w:spacing w:val="-2"/>
          <w:lang w:val="en-US"/>
        </w:rPr>
        <w:t>The Court</w:t>
      </w:r>
      <w:r w:rsidR="00E90566" w:rsidRPr="008A1DB4">
        <w:rPr>
          <w:spacing w:val="-2"/>
          <w:lang w:val="en-US"/>
        </w:rPr>
        <w:t xml:space="preserve"> recalls that it has concluded that </w:t>
      </w:r>
      <w:r w:rsidRPr="008A1DB4">
        <w:rPr>
          <w:spacing w:val="-2"/>
          <w:lang w:val="en-US"/>
        </w:rPr>
        <w:t>the State</w:t>
      </w:r>
      <w:r w:rsidR="001E5F28" w:rsidRPr="008A1DB4">
        <w:rPr>
          <w:spacing w:val="-2"/>
          <w:lang w:val="en-US"/>
        </w:rPr>
        <w:t xml:space="preserve"> </w:t>
      </w:r>
      <w:r w:rsidR="00E90566" w:rsidRPr="008A1DB4">
        <w:rPr>
          <w:spacing w:val="-2"/>
          <w:lang w:val="en-US"/>
        </w:rPr>
        <w:t xml:space="preserve">has not acted with the necessary due diligence in </w:t>
      </w:r>
      <w:r w:rsidR="00FC5891" w:rsidRPr="008A1DB4">
        <w:rPr>
          <w:spacing w:val="-2"/>
          <w:lang w:val="en-US"/>
        </w:rPr>
        <w:t>the extradition process</w:t>
      </w:r>
      <w:r w:rsidR="001E5F28" w:rsidRPr="008A1DB4">
        <w:rPr>
          <w:spacing w:val="-2"/>
          <w:lang w:val="en-US"/>
        </w:rPr>
        <w:t xml:space="preserve">, </w:t>
      </w:r>
      <w:r w:rsidR="00E90566" w:rsidRPr="008A1DB4">
        <w:rPr>
          <w:spacing w:val="-2"/>
          <w:lang w:val="en-US"/>
        </w:rPr>
        <w:t xml:space="preserve">which has resulted in </w:t>
      </w:r>
      <w:r w:rsidR="00E740D4" w:rsidRPr="008A1DB4">
        <w:rPr>
          <w:spacing w:val="-2"/>
          <w:lang w:val="en-US"/>
        </w:rPr>
        <w:t xml:space="preserve">the </w:t>
      </w:r>
      <w:r w:rsidR="00E90566" w:rsidRPr="008A1DB4">
        <w:rPr>
          <w:spacing w:val="-2"/>
          <w:lang w:val="en-US"/>
        </w:rPr>
        <w:t xml:space="preserve">excessive </w:t>
      </w:r>
      <w:r w:rsidR="00E740D4" w:rsidRPr="008A1DB4">
        <w:rPr>
          <w:spacing w:val="-2"/>
          <w:lang w:val="en-US"/>
        </w:rPr>
        <w:t>duration of the</w:t>
      </w:r>
      <w:r w:rsidR="00671326" w:rsidRPr="008A1DB4">
        <w:rPr>
          <w:spacing w:val="-2"/>
          <w:lang w:val="en-US"/>
        </w:rPr>
        <w:t xml:space="preserve"> </w:t>
      </w:r>
      <w:r w:rsidR="00FC5891" w:rsidRPr="008A1DB4">
        <w:rPr>
          <w:spacing w:val="-2"/>
          <w:lang w:val="en-US"/>
        </w:rPr>
        <w:t>extradition proce</w:t>
      </w:r>
      <w:r w:rsidR="00DB2E7E">
        <w:rPr>
          <w:spacing w:val="-2"/>
          <w:lang w:val="en-US"/>
        </w:rPr>
        <w:t>edings</w:t>
      </w:r>
      <w:r w:rsidR="001E5F28" w:rsidRPr="008A1DB4">
        <w:rPr>
          <w:spacing w:val="-2"/>
          <w:lang w:val="en-US"/>
        </w:rPr>
        <w:t xml:space="preserve"> </w:t>
      </w:r>
      <w:r w:rsidR="00E90566" w:rsidRPr="008A1DB4">
        <w:rPr>
          <w:spacing w:val="-2"/>
          <w:lang w:val="en-US"/>
        </w:rPr>
        <w:t xml:space="preserve">and </w:t>
      </w:r>
      <w:r w:rsidR="00DB2E7E">
        <w:rPr>
          <w:spacing w:val="-2"/>
          <w:lang w:val="en-US"/>
        </w:rPr>
        <w:t xml:space="preserve">of </w:t>
      </w:r>
      <w:r w:rsidR="009F24F8" w:rsidRPr="008A1DB4">
        <w:rPr>
          <w:spacing w:val="-2"/>
          <w:lang w:val="en-US"/>
        </w:rPr>
        <w:t xml:space="preserve">the deprivation of </w:t>
      </w:r>
      <w:r w:rsidR="00B43F84" w:rsidRPr="008A1DB4">
        <w:rPr>
          <w:spacing w:val="-2"/>
          <w:lang w:val="en-US"/>
        </w:rPr>
        <w:t>Wong</w:t>
      </w:r>
      <w:r w:rsidR="00C87AA4" w:rsidRPr="008A1DB4">
        <w:rPr>
          <w:spacing w:val="-2"/>
          <w:lang w:val="en-US"/>
        </w:rPr>
        <w:t xml:space="preserve"> Ho Wing</w:t>
      </w:r>
      <w:r w:rsidR="00E90566" w:rsidRPr="008A1DB4">
        <w:rPr>
          <w:spacing w:val="-2"/>
          <w:lang w:val="en-US"/>
        </w:rPr>
        <w:t xml:space="preserve">’s </w:t>
      </w:r>
      <w:r w:rsidR="0079515C" w:rsidRPr="008A1DB4">
        <w:rPr>
          <w:spacing w:val="-2"/>
          <w:lang w:val="en-US"/>
        </w:rPr>
        <w:t>liberty</w:t>
      </w:r>
      <w:r w:rsidR="00DB2E7E">
        <w:rPr>
          <w:spacing w:val="-2"/>
          <w:lang w:val="en-US"/>
        </w:rPr>
        <w:t>. This constitutes</w:t>
      </w:r>
      <w:r w:rsidR="00E90566" w:rsidRPr="008A1DB4">
        <w:rPr>
          <w:spacing w:val="-2"/>
          <w:lang w:val="en-US"/>
        </w:rPr>
        <w:t xml:space="preserve"> a violation of the guarantee of a </w:t>
      </w:r>
      <w:r w:rsidR="00A33F97" w:rsidRPr="008A1DB4">
        <w:rPr>
          <w:spacing w:val="-2"/>
          <w:lang w:val="en-US"/>
        </w:rPr>
        <w:t>reasonable time</w:t>
      </w:r>
      <w:r w:rsidR="00C87AA4" w:rsidRPr="008A1DB4">
        <w:rPr>
          <w:spacing w:val="-2"/>
          <w:lang w:val="en-US"/>
        </w:rPr>
        <w:t xml:space="preserve"> </w:t>
      </w:r>
      <w:r w:rsidR="00E90566" w:rsidRPr="008A1DB4">
        <w:rPr>
          <w:spacing w:val="-2"/>
          <w:lang w:val="en-US"/>
        </w:rPr>
        <w:t xml:space="preserve">in the processing </w:t>
      </w:r>
      <w:r w:rsidR="00671326" w:rsidRPr="008A1DB4">
        <w:rPr>
          <w:spacing w:val="-2"/>
          <w:lang w:val="en-US"/>
        </w:rPr>
        <w:t xml:space="preserve">of the </w:t>
      </w:r>
      <w:r w:rsidR="00FC5891" w:rsidRPr="008A1DB4">
        <w:rPr>
          <w:spacing w:val="-2"/>
          <w:lang w:val="en-US"/>
        </w:rPr>
        <w:t>extradition proce</w:t>
      </w:r>
      <w:r w:rsidR="00E90566" w:rsidRPr="008A1DB4">
        <w:rPr>
          <w:spacing w:val="-2"/>
          <w:lang w:val="en-US"/>
        </w:rPr>
        <w:t xml:space="preserve">edings and of his detention in violation of </w:t>
      </w:r>
      <w:r w:rsidRPr="008A1DB4">
        <w:rPr>
          <w:spacing w:val="-2"/>
          <w:lang w:val="en-US"/>
        </w:rPr>
        <w:t>Article</w:t>
      </w:r>
      <w:r w:rsidR="00CA5C48" w:rsidRPr="008A1DB4">
        <w:rPr>
          <w:spacing w:val="-2"/>
          <w:lang w:val="en-US"/>
        </w:rPr>
        <w:t xml:space="preserve">s </w:t>
      </w:r>
      <w:r w:rsidR="001168D7" w:rsidRPr="008A1DB4">
        <w:rPr>
          <w:spacing w:val="-2"/>
          <w:lang w:val="en-US"/>
        </w:rPr>
        <w:t>7(</w:t>
      </w:r>
      <w:r w:rsidR="001E5F28" w:rsidRPr="008A1DB4">
        <w:rPr>
          <w:spacing w:val="-2"/>
          <w:lang w:val="en-US"/>
        </w:rPr>
        <w:t>1</w:t>
      </w:r>
      <w:r w:rsidR="001168D7" w:rsidRPr="008A1DB4">
        <w:rPr>
          <w:spacing w:val="-2"/>
          <w:lang w:val="en-US"/>
        </w:rPr>
        <w:t>)</w:t>
      </w:r>
      <w:r w:rsidR="001E5F28" w:rsidRPr="008A1DB4">
        <w:rPr>
          <w:spacing w:val="-2"/>
          <w:lang w:val="en-US"/>
        </w:rPr>
        <w:t xml:space="preserve">, </w:t>
      </w:r>
      <w:r w:rsidR="001168D7" w:rsidRPr="008A1DB4">
        <w:rPr>
          <w:spacing w:val="-2"/>
          <w:lang w:val="en-US"/>
        </w:rPr>
        <w:t>7(</w:t>
      </w:r>
      <w:r w:rsidR="00CA5C48" w:rsidRPr="008A1DB4">
        <w:rPr>
          <w:spacing w:val="-2"/>
          <w:lang w:val="en-US"/>
        </w:rPr>
        <w:t>5</w:t>
      </w:r>
      <w:r w:rsidR="001168D7" w:rsidRPr="008A1DB4">
        <w:rPr>
          <w:spacing w:val="-2"/>
          <w:lang w:val="en-US"/>
        </w:rPr>
        <w:t>)</w:t>
      </w:r>
      <w:r w:rsidRPr="008A1DB4">
        <w:rPr>
          <w:spacing w:val="-2"/>
          <w:lang w:val="en-US"/>
        </w:rPr>
        <w:t xml:space="preserve"> and</w:t>
      </w:r>
      <w:r w:rsidR="00A33F97" w:rsidRPr="008A1DB4">
        <w:rPr>
          <w:spacing w:val="-2"/>
          <w:lang w:val="en-US"/>
        </w:rPr>
        <w:t xml:space="preserve"> 8(1)</w:t>
      </w:r>
      <w:r w:rsidRPr="008A1DB4">
        <w:rPr>
          <w:spacing w:val="-2"/>
          <w:lang w:val="en-US"/>
        </w:rPr>
        <w:t xml:space="preserve"> of the Convention</w:t>
      </w:r>
      <w:r w:rsidR="00CA5C48" w:rsidRPr="008A1DB4">
        <w:rPr>
          <w:spacing w:val="-2"/>
          <w:lang w:val="en-US"/>
        </w:rPr>
        <w:t xml:space="preserve">, </w:t>
      </w:r>
      <w:r w:rsidR="009E5939" w:rsidRPr="008A1DB4">
        <w:rPr>
          <w:spacing w:val="-2"/>
          <w:lang w:val="en-US"/>
        </w:rPr>
        <w:t>in relation to</w:t>
      </w:r>
      <w:r w:rsidR="00CA5C48" w:rsidRPr="008A1DB4">
        <w:rPr>
          <w:spacing w:val="-2"/>
          <w:lang w:val="en-US"/>
        </w:rPr>
        <w:t xml:space="preserve"> </w:t>
      </w:r>
      <w:r w:rsidRPr="008A1DB4">
        <w:rPr>
          <w:spacing w:val="-2"/>
          <w:lang w:val="en-US"/>
        </w:rPr>
        <w:t>Article 1(1)</w:t>
      </w:r>
      <w:r w:rsidR="00CA5C48" w:rsidRPr="008A1DB4">
        <w:rPr>
          <w:spacing w:val="-2"/>
          <w:lang w:val="en-US"/>
        </w:rPr>
        <w:t xml:space="preserve"> </w:t>
      </w:r>
      <w:r w:rsidR="00C22433" w:rsidRPr="008A1DB4">
        <w:rPr>
          <w:spacing w:val="-2"/>
          <w:lang w:val="en-US"/>
        </w:rPr>
        <w:t>of this instrument</w:t>
      </w:r>
      <w:r w:rsidR="00CA5C48" w:rsidRPr="008A1DB4">
        <w:rPr>
          <w:spacing w:val="-2"/>
          <w:lang w:val="en-US"/>
        </w:rPr>
        <w:t xml:space="preserve">, </w:t>
      </w:r>
      <w:r w:rsidR="00C22433" w:rsidRPr="008A1DB4">
        <w:rPr>
          <w:spacing w:val="-2"/>
          <w:lang w:val="en-US"/>
        </w:rPr>
        <w:t>as decided</w:t>
      </w:r>
      <w:r w:rsidR="00CA5C48" w:rsidRPr="008A1DB4">
        <w:rPr>
          <w:spacing w:val="-2"/>
          <w:lang w:val="en-US"/>
        </w:rPr>
        <w:t xml:space="preserve"> </w:t>
      </w:r>
      <w:r w:rsidR="00C22433" w:rsidRPr="008A1DB4">
        <w:rPr>
          <w:spacing w:val="-2"/>
          <w:lang w:val="en-US"/>
        </w:rPr>
        <w:t>in Chapters</w:t>
      </w:r>
      <w:r w:rsidR="00CA5C48" w:rsidRPr="008A1DB4">
        <w:rPr>
          <w:spacing w:val="-2"/>
          <w:lang w:val="en-US"/>
        </w:rPr>
        <w:t xml:space="preserve"> </w:t>
      </w:r>
      <w:r w:rsidR="004D6A87" w:rsidRPr="008A1DB4">
        <w:rPr>
          <w:spacing w:val="-2"/>
          <w:lang w:val="en-US"/>
        </w:rPr>
        <w:t>X</w:t>
      </w:r>
      <w:r w:rsidRPr="008A1DB4">
        <w:rPr>
          <w:spacing w:val="-2"/>
          <w:lang w:val="en-US"/>
        </w:rPr>
        <w:t xml:space="preserve"> and </w:t>
      </w:r>
      <w:r w:rsidR="004D6A87" w:rsidRPr="008A1DB4">
        <w:rPr>
          <w:spacing w:val="-2"/>
          <w:lang w:val="en-US"/>
        </w:rPr>
        <w:t xml:space="preserve">XI </w:t>
      </w:r>
      <w:r w:rsidR="001168D7" w:rsidRPr="008A1DB4">
        <w:rPr>
          <w:spacing w:val="-2"/>
          <w:lang w:val="en-US"/>
        </w:rPr>
        <w:t>of this Judgment</w:t>
      </w:r>
      <w:r w:rsidR="00CA5C48" w:rsidRPr="008A1DB4">
        <w:rPr>
          <w:spacing w:val="-2"/>
          <w:lang w:val="en-US"/>
        </w:rPr>
        <w:t xml:space="preserve">. </w:t>
      </w:r>
      <w:r w:rsidR="00C22433" w:rsidRPr="008A1DB4">
        <w:rPr>
          <w:spacing w:val="-2"/>
          <w:lang w:val="en-US"/>
        </w:rPr>
        <w:t>Con</w:t>
      </w:r>
      <w:r w:rsidR="00DB2E7E">
        <w:rPr>
          <w:spacing w:val="-2"/>
          <w:lang w:val="en-US"/>
        </w:rPr>
        <w:t>sequently, the Court finds that</w:t>
      </w:r>
      <w:r w:rsidR="00C22433" w:rsidRPr="008A1DB4">
        <w:rPr>
          <w:spacing w:val="-2"/>
          <w:lang w:val="en-US"/>
        </w:rPr>
        <w:t xml:space="preserve"> </w:t>
      </w:r>
      <w:r w:rsidR="00E90566" w:rsidRPr="008A1DB4">
        <w:rPr>
          <w:spacing w:val="-2"/>
          <w:lang w:val="en-US"/>
        </w:rPr>
        <w:t xml:space="preserve">the State should </w:t>
      </w:r>
      <w:r w:rsidR="00C22433" w:rsidRPr="008A1DB4">
        <w:rPr>
          <w:spacing w:val="-2"/>
          <w:lang w:val="en-US"/>
        </w:rPr>
        <w:t xml:space="preserve">take the final decision in </w:t>
      </w:r>
      <w:r w:rsidR="00FC5891" w:rsidRPr="008A1DB4">
        <w:rPr>
          <w:spacing w:val="-2"/>
          <w:lang w:val="en-US"/>
        </w:rPr>
        <w:t>the extradition process</w:t>
      </w:r>
      <w:r w:rsidR="00DB2E7E" w:rsidRPr="00DB2E7E">
        <w:rPr>
          <w:spacing w:val="-2"/>
          <w:lang w:val="en-US"/>
        </w:rPr>
        <w:t xml:space="preserve"> </w:t>
      </w:r>
      <w:r w:rsidR="00DB2E7E" w:rsidRPr="008A1DB4">
        <w:rPr>
          <w:spacing w:val="-2"/>
          <w:lang w:val="en-US"/>
        </w:rPr>
        <w:t>as soon as possible,</w:t>
      </w:r>
      <w:r w:rsidR="00CA5C48" w:rsidRPr="008A1DB4">
        <w:rPr>
          <w:spacing w:val="-2"/>
          <w:lang w:val="en-US"/>
        </w:rPr>
        <w:t xml:space="preserve"> </w:t>
      </w:r>
      <w:r w:rsidR="00C22433" w:rsidRPr="008A1DB4">
        <w:rPr>
          <w:spacing w:val="-2"/>
          <w:lang w:val="en-US"/>
        </w:rPr>
        <w:t xml:space="preserve">taking into account </w:t>
      </w:r>
      <w:r w:rsidR="00776D24" w:rsidRPr="008A1DB4">
        <w:rPr>
          <w:spacing w:val="-2"/>
          <w:lang w:val="en-US"/>
        </w:rPr>
        <w:t>paragraph</w:t>
      </w:r>
      <w:r w:rsidR="00CA5C48" w:rsidRPr="008A1DB4">
        <w:rPr>
          <w:spacing w:val="-2"/>
          <w:lang w:val="en-US"/>
        </w:rPr>
        <w:t>s</w:t>
      </w:r>
      <w:r w:rsidR="00A70EC8" w:rsidRPr="008A1DB4">
        <w:rPr>
          <w:spacing w:val="-2"/>
          <w:lang w:val="en-US"/>
        </w:rPr>
        <w:t xml:space="preserve"> </w:t>
      </w:r>
      <w:r w:rsidR="00803862" w:rsidRPr="008A1DB4">
        <w:rPr>
          <w:spacing w:val="-2"/>
          <w:lang w:val="en-US"/>
        </w:rPr>
        <w:fldChar w:fldCharType="begin"/>
      </w:r>
      <w:r w:rsidR="00A70EC8" w:rsidRPr="008A1DB4">
        <w:rPr>
          <w:spacing w:val="-2"/>
          <w:lang w:val="en-US"/>
        </w:rPr>
        <w:instrText xml:space="preserve"> REF _Ref418887572 \r \h </w:instrText>
      </w:r>
      <w:r w:rsidR="001415BC"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193</w:t>
      </w:r>
      <w:r w:rsidR="00803862" w:rsidRPr="008A1DB4">
        <w:rPr>
          <w:spacing w:val="-2"/>
          <w:lang w:val="en-US"/>
        </w:rPr>
        <w:fldChar w:fldCharType="end"/>
      </w:r>
      <w:r w:rsidR="001168D7" w:rsidRPr="008A1DB4">
        <w:rPr>
          <w:spacing w:val="-2"/>
          <w:lang w:val="en-US"/>
        </w:rPr>
        <w:t xml:space="preserve"> to</w:t>
      </w:r>
      <w:r w:rsidR="00CA5C48" w:rsidRPr="008A1DB4">
        <w:rPr>
          <w:spacing w:val="-2"/>
          <w:lang w:val="en-US"/>
        </w:rPr>
        <w:t xml:space="preserve"> </w:t>
      </w:r>
      <w:r w:rsidR="00803862" w:rsidRPr="008A1DB4">
        <w:rPr>
          <w:spacing w:val="-2"/>
          <w:lang w:val="en-US"/>
        </w:rPr>
        <w:fldChar w:fldCharType="begin"/>
      </w:r>
      <w:r w:rsidR="00A70EC8" w:rsidRPr="008A1DB4">
        <w:rPr>
          <w:spacing w:val="-2"/>
          <w:lang w:val="en-US"/>
        </w:rPr>
        <w:instrText xml:space="preserve"> REF _Ref417307041 \r \h </w:instrText>
      </w:r>
      <w:r w:rsidR="001415BC"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223</w:t>
      </w:r>
      <w:r w:rsidR="00803862" w:rsidRPr="008A1DB4">
        <w:rPr>
          <w:spacing w:val="-2"/>
          <w:lang w:val="en-US"/>
        </w:rPr>
        <w:fldChar w:fldCharType="end"/>
      </w:r>
      <w:r w:rsidR="00A70EC8" w:rsidRPr="008A1DB4">
        <w:rPr>
          <w:spacing w:val="-2"/>
          <w:lang w:val="en-US"/>
        </w:rPr>
        <w:t xml:space="preserve"> </w:t>
      </w:r>
      <w:r w:rsidR="001168D7" w:rsidRPr="008A1DB4">
        <w:rPr>
          <w:spacing w:val="-2"/>
          <w:lang w:val="en-US"/>
        </w:rPr>
        <w:t>of this Judgment</w:t>
      </w:r>
      <w:r w:rsidR="00CA5C48" w:rsidRPr="008A1DB4">
        <w:rPr>
          <w:spacing w:val="-2"/>
          <w:lang w:val="en-US"/>
        </w:rPr>
        <w:t>.</w:t>
      </w:r>
      <w:bookmarkEnd w:id="1314"/>
    </w:p>
    <w:p w14:paraId="57114467" w14:textId="77777777" w:rsidR="00CA5C48" w:rsidRPr="008A1DB4" w:rsidRDefault="00CA5C48" w:rsidP="00956E97">
      <w:pPr>
        <w:pStyle w:val="PrrafodeSentencia"/>
        <w:numPr>
          <w:ilvl w:val="0"/>
          <w:numId w:val="0"/>
        </w:numPr>
        <w:rPr>
          <w:spacing w:val="-2"/>
          <w:lang w:val="en-US"/>
        </w:rPr>
      </w:pPr>
    </w:p>
    <w:p w14:paraId="4C7A10F6" w14:textId="391A73E8" w:rsidR="00221B79" w:rsidRPr="008A1DB4" w:rsidRDefault="00C22433" w:rsidP="00956E97">
      <w:pPr>
        <w:pStyle w:val="PrrafodeSentencia"/>
        <w:rPr>
          <w:spacing w:val="-2"/>
          <w:lang w:val="en-US"/>
        </w:rPr>
      </w:pPr>
      <w:bookmarkStart w:id="1315" w:name="_Ref419393832"/>
      <w:r w:rsidRPr="008A1DB4">
        <w:rPr>
          <w:spacing w:val="-2"/>
          <w:lang w:val="en-US"/>
        </w:rPr>
        <w:t xml:space="preserve">In addition, bearing in mind the nature of the </w:t>
      </w:r>
      <w:r w:rsidR="00C45946" w:rsidRPr="008A1DB4">
        <w:rPr>
          <w:spacing w:val="-2"/>
          <w:lang w:val="en-US"/>
        </w:rPr>
        <w:t>provisional measures</w:t>
      </w:r>
      <w:r w:rsidR="009C05FB" w:rsidRPr="008A1DB4">
        <w:rPr>
          <w:spacing w:val="-2"/>
          <w:lang w:val="en-US"/>
        </w:rPr>
        <w:t xml:space="preserve"> orde</w:t>
      </w:r>
      <w:r w:rsidRPr="008A1DB4">
        <w:rPr>
          <w:spacing w:val="-2"/>
          <w:lang w:val="en-US"/>
        </w:rPr>
        <w:t xml:space="preserve">red in this case, the Court considers that the State’s obligations under these measures is replaced by the measures ordered in this Judgment as of the date </w:t>
      </w:r>
      <w:r w:rsidR="00DB2E7E">
        <w:rPr>
          <w:spacing w:val="-2"/>
          <w:lang w:val="en-US"/>
        </w:rPr>
        <w:t>of its notification</w:t>
      </w:r>
      <w:r w:rsidRPr="008A1DB4">
        <w:rPr>
          <w:spacing w:val="-2"/>
          <w:lang w:val="en-US"/>
        </w:rPr>
        <w:t>.</w:t>
      </w:r>
      <w:bookmarkEnd w:id="1315"/>
      <w:r w:rsidR="009B5300" w:rsidRPr="008A1DB4">
        <w:rPr>
          <w:spacing w:val="-2"/>
          <w:lang w:val="en-US"/>
        </w:rPr>
        <w:t xml:space="preserve"> </w:t>
      </w:r>
    </w:p>
    <w:p w14:paraId="01E99CA4" w14:textId="77777777" w:rsidR="00221B79" w:rsidRPr="008A1DB4" w:rsidRDefault="00221B79" w:rsidP="00956E97">
      <w:pPr>
        <w:pStyle w:val="ListParagraph"/>
        <w:widowControl w:val="0"/>
        <w:tabs>
          <w:tab w:val="left" w:pos="90"/>
          <w:tab w:val="left" w:pos="567"/>
        </w:tabs>
        <w:suppressAutoHyphens/>
        <w:autoSpaceDE w:val="0"/>
        <w:ind w:left="0" w:right="72"/>
        <w:contextualSpacing w:val="0"/>
        <w:rPr>
          <w:spacing w:val="-2"/>
          <w:lang w:val="en-US"/>
        </w:rPr>
      </w:pPr>
      <w:r w:rsidRPr="008A1DB4">
        <w:rPr>
          <w:i/>
          <w:spacing w:val="-2"/>
          <w:lang w:val="en-US"/>
        </w:rPr>
        <w:tab/>
      </w:r>
      <w:r w:rsidRPr="008A1DB4">
        <w:rPr>
          <w:i/>
          <w:spacing w:val="-2"/>
          <w:lang w:val="en-US"/>
        </w:rPr>
        <w:tab/>
      </w:r>
    </w:p>
    <w:p w14:paraId="7A2AE8EF" w14:textId="16A6125B" w:rsidR="00221B79" w:rsidRPr="008A1DB4" w:rsidRDefault="00221B79" w:rsidP="00956E97">
      <w:pPr>
        <w:pStyle w:val="Heading3"/>
        <w:rPr>
          <w:spacing w:val="-2"/>
          <w:lang w:val="en-US"/>
        </w:rPr>
      </w:pPr>
      <w:bookmarkStart w:id="1316" w:name="_Toc418912875"/>
      <w:bookmarkStart w:id="1317" w:name="_Toc419394455"/>
      <w:bookmarkStart w:id="1318" w:name="_Toc429490314"/>
      <w:bookmarkStart w:id="1319" w:name="_Toc429503828"/>
      <w:bookmarkStart w:id="1320" w:name="_Toc429504334"/>
      <w:bookmarkStart w:id="1321" w:name="_Toc429678047"/>
      <w:bookmarkStart w:id="1322" w:name="_Toc430017210"/>
      <w:bookmarkStart w:id="1323" w:name="_Toc430017439"/>
      <w:bookmarkStart w:id="1324" w:name="_Toc430018721"/>
      <w:bookmarkStart w:id="1325" w:name="_Toc430125319"/>
      <w:bookmarkStart w:id="1326" w:name="_Toc430125427"/>
      <w:r w:rsidRPr="008A1DB4">
        <w:rPr>
          <w:spacing w:val="-2"/>
          <w:lang w:val="en-US"/>
        </w:rPr>
        <w:t>B.</w:t>
      </w:r>
      <w:r w:rsidR="00BD0502" w:rsidRPr="008A1DB4">
        <w:rPr>
          <w:spacing w:val="-2"/>
          <w:lang w:val="en-US"/>
        </w:rPr>
        <w:t>1</w:t>
      </w:r>
      <w:r w:rsidRPr="008A1DB4">
        <w:rPr>
          <w:spacing w:val="-2"/>
          <w:lang w:val="en-US"/>
        </w:rPr>
        <w:t xml:space="preserve">.b) </w:t>
      </w:r>
      <w:r w:rsidR="001168D7" w:rsidRPr="008A1DB4">
        <w:rPr>
          <w:spacing w:val="-2"/>
          <w:lang w:val="en-US"/>
        </w:rPr>
        <w:t>Review of the</w:t>
      </w:r>
      <w:r w:rsidR="004257EF" w:rsidRPr="008A1DB4">
        <w:rPr>
          <w:spacing w:val="-2"/>
          <w:lang w:val="en-US"/>
        </w:rPr>
        <w:t xml:space="preserve"> provisional arrest</w:t>
      </w:r>
      <w:bookmarkEnd w:id="1316"/>
      <w:bookmarkEnd w:id="1317"/>
      <w:bookmarkEnd w:id="1318"/>
      <w:bookmarkEnd w:id="1319"/>
      <w:bookmarkEnd w:id="1320"/>
      <w:bookmarkEnd w:id="1321"/>
      <w:bookmarkEnd w:id="1322"/>
      <w:bookmarkEnd w:id="1323"/>
      <w:bookmarkEnd w:id="1324"/>
      <w:bookmarkEnd w:id="1325"/>
      <w:bookmarkEnd w:id="1326"/>
    </w:p>
    <w:p w14:paraId="5B372338" w14:textId="77777777" w:rsidR="00221B79" w:rsidRPr="008A1DB4" w:rsidRDefault="00221B79" w:rsidP="00956E97">
      <w:pPr>
        <w:widowControl w:val="0"/>
        <w:tabs>
          <w:tab w:val="left" w:pos="90"/>
          <w:tab w:val="left" w:pos="567"/>
        </w:tabs>
        <w:suppressAutoHyphens/>
        <w:autoSpaceDE w:val="0"/>
        <w:ind w:right="72"/>
        <w:rPr>
          <w:b/>
          <w:i/>
          <w:spacing w:val="-2"/>
          <w:lang w:val="en-US"/>
        </w:rPr>
      </w:pPr>
    </w:p>
    <w:p w14:paraId="6D4EF8A1" w14:textId="50460DA3" w:rsidR="00221B79" w:rsidRPr="008A1DB4" w:rsidRDefault="00F36400" w:rsidP="00956E97">
      <w:pPr>
        <w:pStyle w:val="PrrafodeSentencia"/>
        <w:rPr>
          <w:spacing w:val="-2"/>
          <w:lang w:val="en-US"/>
        </w:rPr>
      </w:pPr>
      <w:r w:rsidRPr="008A1DB4">
        <w:rPr>
          <w:spacing w:val="-2"/>
          <w:lang w:val="en-US"/>
        </w:rPr>
        <w:t>The Commission</w:t>
      </w:r>
      <w:r w:rsidR="00221B79" w:rsidRPr="008A1DB4">
        <w:rPr>
          <w:b/>
          <w:i/>
          <w:spacing w:val="-2"/>
          <w:lang w:val="en-US"/>
        </w:rPr>
        <w:t xml:space="preserve"> </w:t>
      </w:r>
      <w:r w:rsidR="00E90566" w:rsidRPr="008A1DB4">
        <w:rPr>
          <w:spacing w:val="-2"/>
          <w:lang w:val="en-US"/>
        </w:rPr>
        <w:t xml:space="preserve">asked that the Court order the State to review </w:t>
      </w:r>
      <w:r w:rsidR="00E90566" w:rsidRPr="008A1DB4">
        <w:rPr>
          <w:i/>
          <w:spacing w:val="-2"/>
          <w:lang w:val="en-US"/>
        </w:rPr>
        <w:t>ex officio</w:t>
      </w:r>
      <w:r w:rsidR="00E90566" w:rsidRPr="008A1DB4">
        <w:rPr>
          <w:spacing w:val="-2"/>
          <w:lang w:val="en-US"/>
        </w:rPr>
        <w:t xml:space="preserve"> the provisional detention </w:t>
      </w:r>
      <w:r w:rsidR="00DB2E7E">
        <w:rPr>
          <w:spacing w:val="-2"/>
          <w:lang w:val="en-US"/>
        </w:rPr>
        <w:t xml:space="preserve">of </w:t>
      </w:r>
      <w:r w:rsidR="00B43F84" w:rsidRPr="008A1DB4">
        <w:rPr>
          <w:spacing w:val="-2"/>
          <w:lang w:val="en-US"/>
        </w:rPr>
        <w:t>Wong</w:t>
      </w:r>
      <w:r w:rsidR="00221B79" w:rsidRPr="008A1DB4">
        <w:rPr>
          <w:spacing w:val="-2"/>
          <w:lang w:val="en-US"/>
        </w:rPr>
        <w:t xml:space="preserve"> Ho Wing, </w:t>
      </w:r>
      <w:r w:rsidR="00E90566" w:rsidRPr="008A1DB4">
        <w:rPr>
          <w:spacing w:val="-2"/>
          <w:lang w:val="en-US"/>
        </w:rPr>
        <w:t xml:space="preserve">taking into consideration his legal situation following the conclusion </w:t>
      </w:r>
      <w:r w:rsidR="00671326" w:rsidRPr="008A1DB4">
        <w:rPr>
          <w:spacing w:val="-2"/>
          <w:lang w:val="en-US"/>
        </w:rPr>
        <w:t xml:space="preserve">of the </w:t>
      </w:r>
      <w:r w:rsidR="00FC5891" w:rsidRPr="008A1DB4">
        <w:rPr>
          <w:spacing w:val="-2"/>
          <w:lang w:val="en-US"/>
        </w:rPr>
        <w:t>extradition proce</w:t>
      </w:r>
      <w:r w:rsidR="00E90566" w:rsidRPr="008A1DB4">
        <w:rPr>
          <w:spacing w:val="-2"/>
          <w:lang w:val="en-US"/>
        </w:rPr>
        <w:t>edings</w:t>
      </w:r>
      <w:r w:rsidR="00221B79" w:rsidRPr="008A1DB4">
        <w:rPr>
          <w:spacing w:val="-2"/>
          <w:lang w:val="en-US"/>
        </w:rPr>
        <w:t xml:space="preserve">. </w:t>
      </w:r>
      <w:r w:rsidR="00E90566" w:rsidRPr="008A1DB4">
        <w:rPr>
          <w:spacing w:val="-2"/>
          <w:lang w:val="en-US"/>
        </w:rPr>
        <w:t>I</w:t>
      </w:r>
      <w:r w:rsidR="00221B79" w:rsidRPr="008A1DB4">
        <w:rPr>
          <w:spacing w:val="-2"/>
          <w:lang w:val="en-US"/>
        </w:rPr>
        <w:t xml:space="preserve">n particular, </w:t>
      </w:r>
      <w:r w:rsidR="00E90566" w:rsidRPr="008A1DB4">
        <w:rPr>
          <w:spacing w:val="-2"/>
          <w:lang w:val="en-US"/>
        </w:rPr>
        <w:t xml:space="preserve">it asked that any judicial decision on the </w:t>
      </w:r>
      <w:r w:rsidR="00776D24" w:rsidRPr="008A1DB4">
        <w:rPr>
          <w:spacing w:val="-2"/>
          <w:lang w:val="en-US"/>
        </w:rPr>
        <w:t>personal liberty</w:t>
      </w:r>
      <w:r w:rsidR="00221B79" w:rsidRPr="008A1DB4">
        <w:rPr>
          <w:spacing w:val="-2"/>
          <w:lang w:val="en-US"/>
        </w:rPr>
        <w:t xml:space="preserve"> </w:t>
      </w:r>
      <w:r w:rsidR="00B43F84" w:rsidRPr="008A1DB4">
        <w:rPr>
          <w:spacing w:val="-2"/>
          <w:lang w:val="en-US"/>
        </w:rPr>
        <w:t>of Wong</w:t>
      </w:r>
      <w:r w:rsidR="00221B79" w:rsidRPr="008A1DB4">
        <w:rPr>
          <w:spacing w:val="-2"/>
          <w:lang w:val="en-US"/>
        </w:rPr>
        <w:t xml:space="preserve"> Ho Wing </w:t>
      </w:r>
      <w:r w:rsidR="00E90566" w:rsidRPr="008A1DB4">
        <w:rPr>
          <w:spacing w:val="-2"/>
          <w:lang w:val="en-US"/>
        </w:rPr>
        <w:t>should be made “in strict compliance with the principles of exceptionality, necessity and proportionality.”</w:t>
      </w:r>
      <w:r w:rsidR="00221B79" w:rsidRPr="008A1DB4">
        <w:rPr>
          <w:spacing w:val="-2"/>
          <w:lang w:val="en-US"/>
        </w:rPr>
        <w:t xml:space="preserve"> </w:t>
      </w:r>
      <w:r w:rsidR="00C45946" w:rsidRPr="008A1DB4">
        <w:rPr>
          <w:spacing w:val="-2"/>
          <w:lang w:val="en-US"/>
        </w:rPr>
        <w:t>The representative</w:t>
      </w:r>
      <w:r w:rsidR="00221B79" w:rsidRPr="008A1DB4">
        <w:rPr>
          <w:b/>
          <w:i/>
          <w:spacing w:val="-2"/>
          <w:lang w:val="en-US"/>
        </w:rPr>
        <w:t xml:space="preserve"> </w:t>
      </w:r>
      <w:r w:rsidR="00E90566" w:rsidRPr="008A1DB4">
        <w:rPr>
          <w:spacing w:val="-2"/>
          <w:lang w:val="en-US"/>
        </w:rPr>
        <w:t xml:space="preserve">requested the immediate release </w:t>
      </w:r>
      <w:r w:rsidR="00B43F84" w:rsidRPr="008A1DB4">
        <w:rPr>
          <w:spacing w:val="-2"/>
          <w:lang w:val="en-US"/>
        </w:rPr>
        <w:t>of Wong</w:t>
      </w:r>
      <w:r w:rsidR="00221B79" w:rsidRPr="008A1DB4">
        <w:rPr>
          <w:spacing w:val="-2"/>
          <w:lang w:val="en-US"/>
        </w:rPr>
        <w:t xml:space="preserve"> Ho Wing. </w:t>
      </w:r>
      <w:r w:rsidRPr="008A1DB4">
        <w:rPr>
          <w:spacing w:val="-2"/>
          <w:lang w:val="en-US"/>
        </w:rPr>
        <w:t>The State</w:t>
      </w:r>
      <w:r w:rsidR="00221B79" w:rsidRPr="008A1DB4">
        <w:rPr>
          <w:spacing w:val="-2"/>
          <w:lang w:val="en-US"/>
        </w:rPr>
        <w:t xml:space="preserve"> </w:t>
      </w:r>
      <w:r w:rsidR="00E90566" w:rsidRPr="008A1DB4">
        <w:rPr>
          <w:spacing w:val="-2"/>
          <w:lang w:val="en-US"/>
        </w:rPr>
        <w:t>asserted that,</w:t>
      </w:r>
      <w:r w:rsidR="00221B79" w:rsidRPr="008A1DB4">
        <w:rPr>
          <w:spacing w:val="-2"/>
          <w:lang w:val="en-US"/>
        </w:rPr>
        <w:t xml:space="preserve"> </w:t>
      </w:r>
      <w:r w:rsidR="00D003F8" w:rsidRPr="008A1DB4">
        <w:rPr>
          <w:spacing w:val="-2"/>
          <w:lang w:val="en-US"/>
        </w:rPr>
        <w:t>on March 10,</w:t>
      </w:r>
      <w:r w:rsidR="00221B79" w:rsidRPr="008A1DB4">
        <w:rPr>
          <w:spacing w:val="-2"/>
          <w:lang w:val="en-US"/>
        </w:rPr>
        <w:t xml:space="preserve"> 2014</w:t>
      </w:r>
      <w:r w:rsidR="001168D7" w:rsidRPr="008A1DB4">
        <w:rPr>
          <w:spacing w:val="-2"/>
          <w:lang w:val="en-US"/>
        </w:rPr>
        <w:t>,</w:t>
      </w:r>
      <w:r w:rsidR="00221B79" w:rsidRPr="008A1DB4">
        <w:rPr>
          <w:spacing w:val="-2"/>
          <w:lang w:val="en-US"/>
        </w:rPr>
        <w:t xml:space="preserve"> </w:t>
      </w:r>
      <w:r w:rsidR="001E7113" w:rsidRPr="008A1DB4">
        <w:rPr>
          <w:spacing w:val="-2"/>
          <w:lang w:val="en-US"/>
        </w:rPr>
        <w:t>the Seventh Criminal Court of El Callao</w:t>
      </w:r>
      <w:r w:rsidR="00221B79" w:rsidRPr="008A1DB4">
        <w:rPr>
          <w:spacing w:val="-2"/>
          <w:lang w:val="en-US"/>
        </w:rPr>
        <w:t xml:space="preserve"> </w:t>
      </w:r>
      <w:r w:rsidR="00E90566" w:rsidRPr="008A1DB4">
        <w:rPr>
          <w:spacing w:val="-2"/>
          <w:lang w:val="en-US"/>
        </w:rPr>
        <w:t xml:space="preserve">had revoked the provisional arrest warrant and issued the </w:t>
      </w:r>
      <w:r w:rsidR="00F26E60">
        <w:rPr>
          <w:spacing w:val="-2"/>
          <w:lang w:val="en-US"/>
        </w:rPr>
        <w:t xml:space="preserve">measure of an </w:t>
      </w:r>
      <w:r w:rsidR="00F26E60" w:rsidRPr="008A1DB4">
        <w:rPr>
          <w:spacing w:val="-2"/>
          <w:lang w:val="en-US"/>
        </w:rPr>
        <w:t>order to appear in court</w:t>
      </w:r>
      <w:r w:rsidR="00F26E60">
        <w:rPr>
          <w:spacing w:val="-2"/>
          <w:lang w:val="en-US"/>
        </w:rPr>
        <w:t xml:space="preserve"> periodically</w:t>
      </w:r>
      <w:r w:rsidR="00E90566" w:rsidRPr="008A1DB4">
        <w:rPr>
          <w:spacing w:val="-2"/>
          <w:lang w:val="en-US"/>
        </w:rPr>
        <w:t xml:space="preserve">: house arrest, </w:t>
      </w:r>
      <w:r w:rsidR="00A81A17">
        <w:rPr>
          <w:spacing w:val="-2"/>
          <w:lang w:val="en-US"/>
        </w:rPr>
        <w:t>establishing</w:t>
      </w:r>
      <w:r w:rsidR="00E90566" w:rsidRPr="008A1DB4">
        <w:rPr>
          <w:spacing w:val="-2"/>
          <w:lang w:val="en-US"/>
        </w:rPr>
        <w:t xml:space="preserve"> a financial </w:t>
      </w:r>
      <w:r w:rsidR="00C7767D" w:rsidRPr="008A1DB4">
        <w:rPr>
          <w:spacing w:val="-2"/>
          <w:lang w:val="en-US"/>
        </w:rPr>
        <w:t xml:space="preserve">surety and the prohibition to leave the country. It argued that the court </w:t>
      </w:r>
      <w:r w:rsidR="00A81A17">
        <w:rPr>
          <w:spacing w:val="-2"/>
          <w:lang w:val="en-US"/>
        </w:rPr>
        <w:t>had taken</w:t>
      </w:r>
      <w:r w:rsidR="00C7767D" w:rsidRPr="008A1DB4">
        <w:rPr>
          <w:spacing w:val="-2"/>
          <w:lang w:val="en-US"/>
        </w:rPr>
        <w:t xml:space="preserve"> into consideration the time </w:t>
      </w:r>
      <w:r w:rsidR="001E7113" w:rsidRPr="008A1DB4">
        <w:rPr>
          <w:spacing w:val="-2"/>
          <w:lang w:val="en-US"/>
        </w:rPr>
        <w:t>Wong</w:t>
      </w:r>
      <w:r w:rsidR="00221B79" w:rsidRPr="008A1DB4">
        <w:rPr>
          <w:spacing w:val="-2"/>
          <w:lang w:val="en-US"/>
        </w:rPr>
        <w:t xml:space="preserve"> Ho Wing</w:t>
      </w:r>
      <w:r w:rsidR="00C7767D" w:rsidRPr="008A1DB4">
        <w:rPr>
          <w:spacing w:val="-2"/>
          <w:lang w:val="en-US"/>
        </w:rPr>
        <w:t xml:space="preserve"> had spent in the </w:t>
      </w:r>
      <w:proofErr w:type="spellStart"/>
      <w:r w:rsidR="00221B79" w:rsidRPr="008A1DB4">
        <w:rPr>
          <w:spacing w:val="-2"/>
          <w:lang w:val="en-US"/>
        </w:rPr>
        <w:t>Sarita</w:t>
      </w:r>
      <w:proofErr w:type="spellEnd"/>
      <w:r w:rsidR="00221B79" w:rsidRPr="008A1DB4">
        <w:rPr>
          <w:spacing w:val="-2"/>
          <w:lang w:val="en-US"/>
        </w:rPr>
        <w:t xml:space="preserve"> Colonia</w:t>
      </w:r>
      <w:r w:rsidR="00C7767D" w:rsidRPr="008A1DB4">
        <w:rPr>
          <w:spacing w:val="-2"/>
          <w:lang w:val="en-US"/>
        </w:rPr>
        <w:t xml:space="preserve"> Prison</w:t>
      </w:r>
      <w:r w:rsidR="00221B79" w:rsidRPr="008A1DB4">
        <w:rPr>
          <w:spacing w:val="-2"/>
          <w:lang w:val="en-US"/>
        </w:rPr>
        <w:t>,</w:t>
      </w:r>
      <w:r w:rsidRPr="008A1DB4">
        <w:rPr>
          <w:spacing w:val="-2"/>
          <w:lang w:val="en-US"/>
        </w:rPr>
        <w:t xml:space="preserve"> and </w:t>
      </w:r>
      <w:r w:rsidR="00C7767D" w:rsidRPr="008A1DB4">
        <w:rPr>
          <w:spacing w:val="-2"/>
          <w:lang w:val="en-US"/>
        </w:rPr>
        <w:t xml:space="preserve">considered it appropriate to modify the measures; hence, the State considered that it had complied with </w:t>
      </w:r>
      <w:r w:rsidR="00C45946" w:rsidRPr="008A1DB4">
        <w:rPr>
          <w:spacing w:val="-2"/>
          <w:lang w:val="en-US"/>
        </w:rPr>
        <w:t xml:space="preserve">the </w:t>
      </w:r>
      <w:r w:rsidRPr="008A1DB4">
        <w:rPr>
          <w:spacing w:val="-2"/>
          <w:lang w:val="en-US"/>
        </w:rPr>
        <w:t>Commission</w:t>
      </w:r>
      <w:r w:rsidR="00C7767D" w:rsidRPr="008A1DB4">
        <w:rPr>
          <w:spacing w:val="-2"/>
          <w:lang w:val="en-US"/>
        </w:rPr>
        <w:t>’s request</w:t>
      </w:r>
      <w:r w:rsidR="00221B79" w:rsidRPr="008A1DB4">
        <w:rPr>
          <w:spacing w:val="-2"/>
          <w:lang w:val="en-US"/>
        </w:rPr>
        <w:t xml:space="preserve">. </w:t>
      </w:r>
    </w:p>
    <w:p w14:paraId="09A517CD" w14:textId="77777777" w:rsidR="00221B79" w:rsidRPr="008A1DB4" w:rsidRDefault="00221B79" w:rsidP="00956E97">
      <w:pPr>
        <w:pStyle w:val="ListParagraph"/>
        <w:tabs>
          <w:tab w:val="left" w:pos="567"/>
        </w:tabs>
        <w:contextualSpacing w:val="0"/>
        <w:rPr>
          <w:spacing w:val="-2"/>
          <w:lang w:val="en-US"/>
        </w:rPr>
      </w:pPr>
    </w:p>
    <w:p w14:paraId="1D8EC8C0" w14:textId="564E636A" w:rsidR="00221B79" w:rsidRPr="008A1DB4" w:rsidRDefault="00F36400" w:rsidP="00956E97">
      <w:pPr>
        <w:pStyle w:val="PrrafodeSentencia"/>
        <w:rPr>
          <w:spacing w:val="-2"/>
          <w:u w:val="single"/>
          <w:lang w:val="en-US"/>
        </w:rPr>
      </w:pPr>
      <w:bookmarkStart w:id="1327" w:name="_Ref419393893"/>
      <w:r w:rsidRPr="008A1DB4">
        <w:rPr>
          <w:spacing w:val="-2"/>
          <w:lang w:val="en-US"/>
        </w:rPr>
        <w:t>The Court</w:t>
      </w:r>
      <w:r w:rsidR="00221B79" w:rsidRPr="008A1DB4">
        <w:rPr>
          <w:spacing w:val="-2"/>
          <w:lang w:val="en-US"/>
        </w:rPr>
        <w:t xml:space="preserve"> </w:t>
      </w:r>
      <w:r w:rsidR="00C7767D" w:rsidRPr="008A1DB4">
        <w:rPr>
          <w:spacing w:val="-2"/>
          <w:lang w:val="en-US"/>
        </w:rPr>
        <w:t>recalls that</w:t>
      </w:r>
      <w:r w:rsidR="00221B79" w:rsidRPr="008A1DB4">
        <w:rPr>
          <w:spacing w:val="-2"/>
          <w:lang w:val="en-US"/>
        </w:rPr>
        <w:t xml:space="preserve"> </w:t>
      </w:r>
      <w:r w:rsidR="001E7113" w:rsidRPr="008A1DB4">
        <w:rPr>
          <w:spacing w:val="-2"/>
          <w:lang w:val="en-US"/>
        </w:rPr>
        <w:t>Wong</w:t>
      </w:r>
      <w:r w:rsidR="00221B79" w:rsidRPr="008A1DB4">
        <w:rPr>
          <w:spacing w:val="-2"/>
          <w:lang w:val="en-US"/>
        </w:rPr>
        <w:t xml:space="preserve"> Ho Wing </w:t>
      </w:r>
      <w:r w:rsidR="00C7767D" w:rsidRPr="008A1DB4">
        <w:rPr>
          <w:spacing w:val="-2"/>
          <w:lang w:val="en-US"/>
        </w:rPr>
        <w:t xml:space="preserve">has been deprived of liberty since </w:t>
      </w:r>
      <w:r w:rsidR="001168D7" w:rsidRPr="008A1DB4">
        <w:rPr>
          <w:spacing w:val="-2"/>
          <w:lang w:val="en-US"/>
        </w:rPr>
        <w:t xml:space="preserve">October </w:t>
      </w:r>
      <w:r w:rsidR="00221B79" w:rsidRPr="008A1DB4">
        <w:rPr>
          <w:spacing w:val="-2"/>
          <w:lang w:val="en-US"/>
        </w:rPr>
        <w:t xml:space="preserve">2008. </w:t>
      </w:r>
      <w:r w:rsidR="00C7767D" w:rsidRPr="008A1DB4">
        <w:rPr>
          <w:spacing w:val="-2"/>
          <w:lang w:val="en-US"/>
        </w:rPr>
        <w:t>Even though he has been kept under house arrest since</w:t>
      </w:r>
      <w:r w:rsidR="00221B79" w:rsidRPr="008A1DB4">
        <w:rPr>
          <w:spacing w:val="-2"/>
          <w:lang w:val="en-US"/>
        </w:rPr>
        <w:t xml:space="preserve"> </w:t>
      </w:r>
      <w:r w:rsidR="001168D7" w:rsidRPr="008A1DB4">
        <w:rPr>
          <w:spacing w:val="-2"/>
          <w:lang w:val="en-US"/>
        </w:rPr>
        <w:t xml:space="preserve">March </w:t>
      </w:r>
      <w:r w:rsidR="00221B79" w:rsidRPr="008A1DB4">
        <w:rPr>
          <w:spacing w:val="-2"/>
          <w:lang w:val="en-US"/>
        </w:rPr>
        <w:t xml:space="preserve">2014, </w:t>
      </w:r>
      <w:r w:rsidR="00C7767D" w:rsidRPr="008A1DB4">
        <w:rPr>
          <w:spacing w:val="-2"/>
          <w:lang w:val="en-US"/>
        </w:rPr>
        <w:t>the</w:t>
      </w:r>
      <w:r w:rsidRPr="008A1DB4">
        <w:rPr>
          <w:spacing w:val="-2"/>
          <w:lang w:val="en-US"/>
        </w:rPr>
        <w:t xml:space="preserve"> Court</w:t>
      </w:r>
      <w:r w:rsidR="00221B79" w:rsidRPr="008A1DB4">
        <w:rPr>
          <w:spacing w:val="-2"/>
          <w:lang w:val="en-US"/>
        </w:rPr>
        <w:t xml:space="preserve"> reitera</w:t>
      </w:r>
      <w:r w:rsidR="00C7767D" w:rsidRPr="008A1DB4">
        <w:rPr>
          <w:spacing w:val="-2"/>
          <w:lang w:val="en-US"/>
        </w:rPr>
        <w:t xml:space="preserve">tes </w:t>
      </w:r>
      <w:r w:rsidR="00A81A17">
        <w:rPr>
          <w:spacing w:val="-2"/>
          <w:lang w:val="en-US"/>
        </w:rPr>
        <w:t xml:space="preserve">its findings </w:t>
      </w:r>
      <w:r w:rsidR="00C7767D" w:rsidRPr="008A1DB4">
        <w:rPr>
          <w:spacing w:val="-2"/>
          <w:lang w:val="en-US"/>
        </w:rPr>
        <w:t xml:space="preserve">in this Judgment as regards the arbitrary nature of the detention, the excessive time taken to process </w:t>
      </w:r>
      <w:r w:rsidR="00671326" w:rsidRPr="008A1DB4">
        <w:rPr>
          <w:spacing w:val="-2"/>
          <w:lang w:val="en-US"/>
        </w:rPr>
        <w:t xml:space="preserve">the </w:t>
      </w:r>
      <w:r w:rsidR="00FC5891" w:rsidRPr="008A1DB4">
        <w:rPr>
          <w:spacing w:val="-2"/>
          <w:lang w:val="en-US"/>
        </w:rPr>
        <w:t>extradition proc</w:t>
      </w:r>
      <w:r w:rsidR="00C7767D" w:rsidRPr="008A1DB4">
        <w:rPr>
          <w:spacing w:val="-2"/>
          <w:lang w:val="en-US"/>
        </w:rPr>
        <w:t>eedings,</w:t>
      </w:r>
      <w:r w:rsidRPr="008A1DB4">
        <w:rPr>
          <w:spacing w:val="-2"/>
          <w:lang w:val="en-US"/>
        </w:rPr>
        <w:t xml:space="preserve"> and </w:t>
      </w:r>
      <w:r w:rsidR="00E740D4" w:rsidRPr="008A1DB4">
        <w:rPr>
          <w:spacing w:val="-2"/>
          <w:lang w:val="en-US"/>
        </w:rPr>
        <w:t>the duration of the</w:t>
      </w:r>
      <w:r w:rsidR="004257EF" w:rsidRPr="008A1DB4">
        <w:rPr>
          <w:spacing w:val="-2"/>
          <w:lang w:val="en-US"/>
        </w:rPr>
        <w:t xml:space="preserve"> provisional arrest</w:t>
      </w:r>
      <w:r w:rsidR="00221B79" w:rsidRPr="008A1DB4">
        <w:rPr>
          <w:spacing w:val="-2"/>
          <w:lang w:val="en-US"/>
        </w:rPr>
        <w:t xml:space="preserve">. </w:t>
      </w:r>
      <w:r w:rsidRPr="008A1DB4">
        <w:rPr>
          <w:spacing w:val="-2"/>
          <w:lang w:val="en-US"/>
        </w:rPr>
        <w:t>The Court</w:t>
      </w:r>
      <w:r w:rsidR="00221B79" w:rsidRPr="008A1DB4">
        <w:rPr>
          <w:spacing w:val="-2"/>
          <w:lang w:val="en-US"/>
        </w:rPr>
        <w:t xml:space="preserve"> rec</w:t>
      </w:r>
      <w:r w:rsidR="00C7767D" w:rsidRPr="008A1DB4">
        <w:rPr>
          <w:spacing w:val="-2"/>
          <w:lang w:val="en-US"/>
        </w:rPr>
        <w:t xml:space="preserve">alls that the purpose of the actual deprivation of liberty </w:t>
      </w:r>
      <w:r w:rsidR="00B43F84" w:rsidRPr="008A1DB4">
        <w:rPr>
          <w:spacing w:val="-2"/>
          <w:lang w:val="en-US"/>
        </w:rPr>
        <w:t>of Wong</w:t>
      </w:r>
      <w:r w:rsidR="00C7767D" w:rsidRPr="008A1DB4">
        <w:rPr>
          <w:spacing w:val="-2"/>
          <w:lang w:val="en-US"/>
        </w:rPr>
        <w:t xml:space="preserve"> Ho Wing is his</w:t>
      </w:r>
      <w:r w:rsidR="00221B79" w:rsidRPr="008A1DB4">
        <w:rPr>
          <w:spacing w:val="-2"/>
          <w:lang w:val="en-US"/>
        </w:rPr>
        <w:t xml:space="preserve"> </w:t>
      </w:r>
      <w:r w:rsidR="002D1CFC" w:rsidRPr="008A1DB4">
        <w:rPr>
          <w:spacing w:val="-2"/>
          <w:lang w:val="en-US"/>
        </w:rPr>
        <w:t>extradition</w:t>
      </w:r>
      <w:r w:rsidR="00221B79" w:rsidRPr="008A1DB4">
        <w:rPr>
          <w:spacing w:val="-2"/>
          <w:lang w:val="en-US"/>
        </w:rPr>
        <w:t xml:space="preserve">. </w:t>
      </w:r>
      <w:r w:rsidR="00C7767D" w:rsidRPr="008A1DB4">
        <w:rPr>
          <w:spacing w:val="-2"/>
          <w:lang w:val="en-US"/>
        </w:rPr>
        <w:t>Therefore, taking into account the measure of reparation according to which the State must take a final decision in the extradition proceedings</w:t>
      </w:r>
      <w:r w:rsidR="00EA243A" w:rsidRPr="008A1DB4">
        <w:rPr>
          <w:spacing w:val="-2"/>
          <w:lang w:val="en-US"/>
        </w:rPr>
        <w:t xml:space="preserve"> (</w:t>
      </w:r>
      <w:r w:rsidR="00EA243A" w:rsidRPr="008A1DB4">
        <w:rPr>
          <w:i/>
          <w:spacing w:val="-2"/>
          <w:lang w:val="en-US"/>
        </w:rPr>
        <w:t xml:space="preserve">supra </w:t>
      </w:r>
      <w:r w:rsidR="00C45946" w:rsidRPr="008A1DB4">
        <w:rPr>
          <w:spacing w:val="-2"/>
          <w:lang w:val="en-US"/>
        </w:rPr>
        <w:t xml:space="preserve">para. </w:t>
      </w:r>
      <w:r w:rsidR="00D6006D" w:rsidRPr="008A1DB4">
        <w:rPr>
          <w:spacing w:val="-2"/>
          <w:lang w:val="en-US"/>
        </w:rPr>
        <w:fldChar w:fldCharType="begin"/>
      </w:r>
      <w:r w:rsidR="00D6006D" w:rsidRPr="008A1DB4">
        <w:rPr>
          <w:spacing w:val="-2"/>
          <w:lang w:val="en-US"/>
        </w:rPr>
        <w:instrText xml:space="preserve"> REF _Ref428264129 \r \h </w:instrText>
      </w:r>
      <w:r w:rsidR="00200708" w:rsidRPr="008A1DB4">
        <w:rPr>
          <w:spacing w:val="-2"/>
          <w:lang w:val="en-US"/>
        </w:rPr>
        <w:instrText xml:space="preserve"> \* MERGEFORMAT </w:instrText>
      </w:r>
      <w:r w:rsidR="00D6006D" w:rsidRPr="008A1DB4">
        <w:rPr>
          <w:spacing w:val="-2"/>
          <w:lang w:val="en-US"/>
        </w:rPr>
      </w:r>
      <w:r w:rsidR="00D6006D" w:rsidRPr="008A1DB4">
        <w:rPr>
          <w:spacing w:val="-2"/>
          <w:lang w:val="en-US"/>
        </w:rPr>
        <w:fldChar w:fldCharType="separate"/>
      </w:r>
      <w:r w:rsidR="00E961FA" w:rsidRPr="008A1DB4">
        <w:rPr>
          <w:spacing w:val="-2"/>
          <w:lang w:val="en-US"/>
        </w:rPr>
        <w:t>302</w:t>
      </w:r>
      <w:r w:rsidR="00D6006D" w:rsidRPr="008A1DB4">
        <w:rPr>
          <w:spacing w:val="-2"/>
          <w:lang w:val="en-US"/>
        </w:rPr>
        <w:fldChar w:fldCharType="end"/>
      </w:r>
      <w:r w:rsidR="00EA243A" w:rsidRPr="008A1DB4">
        <w:rPr>
          <w:spacing w:val="-2"/>
          <w:lang w:val="en-US"/>
        </w:rPr>
        <w:t xml:space="preserve">), </w:t>
      </w:r>
      <w:r w:rsidRPr="008A1DB4">
        <w:rPr>
          <w:spacing w:val="-2"/>
          <w:lang w:val="en-US"/>
        </w:rPr>
        <w:t>the Court</w:t>
      </w:r>
      <w:r w:rsidR="00221B79" w:rsidRPr="008A1DB4">
        <w:rPr>
          <w:spacing w:val="-2"/>
          <w:lang w:val="en-US"/>
        </w:rPr>
        <w:t xml:space="preserve"> </w:t>
      </w:r>
      <w:r w:rsidR="003473B3" w:rsidRPr="008A1DB4">
        <w:rPr>
          <w:spacing w:val="-2"/>
          <w:lang w:val="en-US"/>
        </w:rPr>
        <w:t>orde</w:t>
      </w:r>
      <w:r w:rsidR="00C7767D" w:rsidRPr="008A1DB4">
        <w:rPr>
          <w:spacing w:val="-2"/>
          <w:lang w:val="en-US"/>
        </w:rPr>
        <w:t xml:space="preserve">rs the State to review, immediately, </w:t>
      </w:r>
      <w:r w:rsidR="009F24F8" w:rsidRPr="008A1DB4">
        <w:rPr>
          <w:spacing w:val="-2"/>
          <w:lang w:val="en-US"/>
        </w:rPr>
        <w:t>the deprivation of liberty</w:t>
      </w:r>
      <w:r w:rsidR="006839CF" w:rsidRPr="008A1DB4">
        <w:rPr>
          <w:spacing w:val="-2"/>
          <w:lang w:val="en-US"/>
        </w:rPr>
        <w:t xml:space="preserve"> </w:t>
      </w:r>
      <w:r w:rsidR="00B43F84" w:rsidRPr="008A1DB4">
        <w:rPr>
          <w:spacing w:val="-2"/>
          <w:lang w:val="en-US"/>
        </w:rPr>
        <w:t>of Wong</w:t>
      </w:r>
      <w:r w:rsidR="006839CF" w:rsidRPr="008A1DB4">
        <w:rPr>
          <w:spacing w:val="-2"/>
          <w:lang w:val="en-US"/>
        </w:rPr>
        <w:t xml:space="preserve"> Ho Wing, </w:t>
      </w:r>
      <w:r w:rsidR="00C7767D" w:rsidRPr="008A1DB4">
        <w:rPr>
          <w:spacing w:val="-2"/>
          <w:lang w:val="en-US"/>
        </w:rPr>
        <w:t xml:space="preserve">taking into account the standards established in Chapter </w:t>
      </w:r>
      <w:r w:rsidR="006839CF" w:rsidRPr="008A1DB4">
        <w:rPr>
          <w:spacing w:val="-2"/>
          <w:lang w:val="en-US"/>
        </w:rPr>
        <w:t xml:space="preserve">XI </w:t>
      </w:r>
      <w:r w:rsidR="001168D7" w:rsidRPr="008A1DB4">
        <w:rPr>
          <w:spacing w:val="-2"/>
          <w:lang w:val="en-US"/>
        </w:rPr>
        <w:t>of this Judgment</w:t>
      </w:r>
      <w:r w:rsidR="006839CF" w:rsidRPr="008A1DB4">
        <w:rPr>
          <w:spacing w:val="-2"/>
          <w:lang w:val="en-US"/>
        </w:rPr>
        <w:t xml:space="preserve">. </w:t>
      </w:r>
      <w:r w:rsidR="00C7767D" w:rsidRPr="008A1DB4">
        <w:rPr>
          <w:spacing w:val="-2"/>
          <w:lang w:val="en-US"/>
        </w:rPr>
        <w:t>In addition, the State should take into consideration the time that he has remained deprived of his liberty to date and his actual situation and health care needs.</w:t>
      </w:r>
      <w:bookmarkEnd w:id="1327"/>
    </w:p>
    <w:p w14:paraId="09B826D9" w14:textId="77777777" w:rsidR="00221B79" w:rsidRPr="008A1DB4" w:rsidRDefault="00221B79" w:rsidP="00956E97">
      <w:pPr>
        <w:pStyle w:val="ListParagraph"/>
        <w:widowControl w:val="0"/>
        <w:tabs>
          <w:tab w:val="left" w:pos="90"/>
          <w:tab w:val="left" w:pos="567"/>
        </w:tabs>
        <w:suppressAutoHyphens/>
        <w:autoSpaceDE w:val="0"/>
        <w:ind w:left="0" w:right="72"/>
        <w:contextualSpacing w:val="0"/>
        <w:rPr>
          <w:b/>
          <w:i/>
          <w:spacing w:val="-2"/>
          <w:u w:val="single"/>
          <w:lang w:val="en-US"/>
        </w:rPr>
      </w:pPr>
    </w:p>
    <w:p w14:paraId="78B7160A" w14:textId="2CED129C" w:rsidR="00221B79" w:rsidRPr="008A1DB4" w:rsidRDefault="00221B79" w:rsidP="00956E97">
      <w:pPr>
        <w:pStyle w:val="Heading2"/>
        <w:rPr>
          <w:rFonts w:cs="Verdana-Italic"/>
          <w:b w:val="0"/>
          <w:i/>
          <w:iCs/>
          <w:spacing w:val="-2"/>
          <w:lang w:val="en-US" w:bidi="en-US"/>
        </w:rPr>
      </w:pPr>
      <w:bookmarkStart w:id="1328" w:name="_Toc418074117"/>
      <w:bookmarkStart w:id="1329" w:name="_Toc418503922"/>
      <w:bookmarkStart w:id="1330" w:name="_Toc418912653"/>
      <w:bookmarkStart w:id="1331" w:name="_Toc418912876"/>
      <w:bookmarkStart w:id="1332" w:name="_Toc419394456"/>
      <w:bookmarkStart w:id="1333" w:name="_Toc429490315"/>
      <w:bookmarkStart w:id="1334" w:name="_Toc429503829"/>
      <w:bookmarkStart w:id="1335" w:name="_Toc429504335"/>
      <w:bookmarkStart w:id="1336" w:name="_Toc429678048"/>
      <w:bookmarkStart w:id="1337" w:name="_Toc430017211"/>
      <w:bookmarkStart w:id="1338" w:name="_Toc430017440"/>
      <w:bookmarkStart w:id="1339" w:name="_Toc430018722"/>
      <w:bookmarkStart w:id="1340" w:name="_Toc430125320"/>
      <w:bookmarkStart w:id="1341" w:name="_Toc430125428"/>
      <w:r w:rsidRPr="008A1DB4">
        <w:rPr>
          <w:spacing w:val="-2"/>
          <w:lang w:val="en-US"/>
        </w:rPr>
        <w:lastRenderedPageBreak/>
        <w:t xml:space="preserve">B.2) </w:t>
      </w:r>
      <w:bookmarkStart w:id="1342" w:name="_Toc418074118"/>
      <w:bookmarkStart w:id="1343" w:name="_Toc418503923"/>
      <w:bookmarkEnd w:id="1328"/>
      <w:bookmarkEnd w:id="1329"/>
      <w:r w:rsidRPr="008A1DB4">
        <w:rPr>
          <w:spacing w:val="-2"/>
          <w:lang w:val="en-US"/>
        </w:rPr>
        <w:t xml:space="preserve"> </w:t>
      </w:r>
      <w:r w:rsidR="001168D7" w:rsidRPr="008A1DB4">
        <w:rPr>
          <w:spacing w:val="-2"/>
          <w:lang w:val="en-US"/>
        </w:rPr>
        <w:t>Satisfaction</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14:paraId="22D57B37" w14:textId="77777777" w:rsidR="00221B79" w:rsidRPr="008A1DB4" w:rsidRDefault="00221B79" w:rsidP="00956E97">
      <w:pPr>
        <w:widowControl w:val="0"/>
        <w:tabs>
          <w:tab w:val="left" w:pos="90"/>
          <w:tab w:val="left" w:pos="567"/>
          <w:tab w:val="left" w:pos="1134"/>
        </w:tabs>
        <w:suppressAutoHyphens/>
        <w:autoSpaceDE w:val="0"/>
        <w:ind w:right="74"/>
        <w:rPr>
          <w:spacing w:val="-2"/>
          <w:lang w:val="en-US"/>
        </w:rPr>
      </w:pPr>
    </w:p>
    <w:p w14:paraId="72E4B0F0" w14:textId="735CC498" w:rsidR="00221B79" w:rsidRPr="008A1DB4" w:rsidRDefault="00221B79" w:rsidP="00956E97">
      <w:pPr>
        <w:pStyle w:val="Heading3"/>
        <w:ind w:left="1440"/>
        <w:rPr>
          <w:spacing w:val="-2"/>
          <w:lang w:val="en-US" w:bidi="en-US"/>
        </w:rPr>
      </w:pPr>
      <w:bookmarkStart w:id="1344" w:name="_Toc418912877"/>
      <w:bookmarkStart w:id="1345" w:name="_Toc419394457"/>
      <w:bookmarkStart w:id="1346" w:name="_Toc429490316"/>
      <w:bookmarkStart w:id="1347" w:name="_Toc429503830"/>
      <w:bookmarkStart w:id="1348" w:name="_Toc429504336"/>
      <w:bookmarkStart w:id="1349" w:name="_Toc429678049"/>
      <w:bookmarkStart w:id="1350" w:name="_Toc430017212"/>
      <w:bookmarkStart w:id="1351" w:name="_Toc430017441"/>
      <w:bookmarkStart w:id="1352" w:name="_Toc430018723"/>
      <w:bookmarkStart w:id="1353" w:name="_Toc430125321"/>
      <w:bookmarkStart w:id="1354" w:name="_Toc430125429"/>
      <w:r w:rsidRPr="008A1DB4">
        <w:rPr>
          <w:spacing w:val="-2"/>
          <w:lang w:val="en-US" w:bidi="en-US"/>
        </w:rPr>
        <w:t>B.</w:t>
      </w:r>
      <w:r w:rsidR="00EA243A" w:rsidRPr="008A1DB4">
        <w:rPr>
          <w:spacing w:val="-2"/>
          <w:lang w:val="en-US" w:bidi="en-US"/>
        </w:rPr>
        <w:t>2</w:t>
      </w:r>
      <w:r w:rsidRPr="008A1DB4">
        <w:rPr>
          <w:spacing w:val="-2"/>
          <w:lang w:val="en-US" w:bidi="en-US"/>
        </w:rPr>
        <w:t xml:space="preserve">.a) </w:t>
      </w:r>
      <w:r w:rsidR="001168D7" w:rsidRPr="008A1DB4">
        <w:rPr>
          <w:spacing w:val="-2"/>
          <w:lang w:val="en-US" w:bidi="en-US"/>
        </w:rPr>
        <w:t>Publication and dissemination of the Judgment</w:t>
      </w:r>
      <w:bookmarkEnd w:id="1344"/>
      <w:bookmarkEnd w:id="1345"/>
      <w:bookmarkEnd w:id="1346"/>
      <w:bookmarkEnd w:id="1347"/>
      <w:bookmarkEnd w:id="1348"/>
      <w:bookmarkEnd w:id="1349"/>
      <w:bookmarkEnd w:id="1350"/>
      <w:bookmarkEnd w:id="1351"/>
      <w:bookmarkEnd w:id="1352"/>
      <w:bookmarkEnd w:id="1353"/>
      <w:bookmarkEnd w:id="1354"/>
    </w:p>
    <w:p w14:paraId="4A64DDB9" w14:textId="77777777" w:rsidR="00221B79" w:rsidRPr="008A1DB4" w:rsidRDefault="00221B79" w:rsidP="00956E97">
      <w:pPr>
        <w:widowControl w:val="0"/>
        <w:tabs>
          <w:tab w:val="left" w:pos="90"/>
          <w:tab w:val="left" w:pos="567"/>
        </w:tabs>
        <w:suppressAutoHyphens/>
        <w:autoSpaceDE w:val="0"/>
        <w:ind w:right="74"/>
        <w:rPr>
          <w:rFonts w:cs="Verdana-Italic"/>
          <w:iCs/>
          <w:spacing w:val="-2"/>
          <w:lang w:val="en-US" w:bidi="en-US"/>
        </w:rPr>
      </w:pPr>
    </w:p>
    <w:p w14:paraId="1A9AE9D6" w14:textId="60E60BB0" w:rsidR="00221B79" w:rsidRPr="008A1DB4" w:rsidRDefault="00C45946" w:rsidP="00956E97">
      <w:pPr>
        <w:pStyle w:val="PrrafodeSentencia"/>
        <w:rPr>
          <w:rFonts w:cs="Verdana-Italic"/>
          <w:iCs/>
          <w:spacing w:val="-2"/>
          <w:lang w:val="en-US" w:bidi="en-US"/>
        </w:rPr>
      </w:pPr>
      <w:r w:rsidRPr="008A1DB4">
        <w:rPr>
          <w:rFonts w:cs="Verdana-Italic"/>
          <w:iCs/>
          <w:spacing w:val="-2"/>
          <w:lang w:val="en-US" w:bidi="en-US"/>
        </w:rPr>
        <w:t>The representative</w:t>
      </w:r>
      <w:r w:rsidR="00221B79" w:rsidRPr="008A1DB4">
        <w:rPr>
          <w:rFonts w:cs="Verdana-Italic"/>
          <w:spacing w:val="-2"/>
          <w:lang w:val="en-US" w:bidi="en-US"/>
        </w:rPr>
        <w:t xml:space="preserve"> </w:t>
      </w:r>
      <w:r w:rsidR="00C7767D" w:rsidRPr="008A1DB4">
        <w:rPr>
          <w:rFonts w:cs="Verdana-Italic"/>
          <w:spacing w:val="-2"/>
          <w:lang w:val="en-US" w:bidi="en-US"/>
        </w:rPr>
        <w:t>asked that the Court order the publication of</w:t>
      </w:r>
      <w:r w:rsidR="00221B79" w:rsidRPr="008A1DB4">
        <w:rPr>
          <w:spacing w:val="-2"/>
          <w:lang w:val="en-US"/>
        </w:rPr>
        <w:t xml:space="preserve">: </w:t>
      </w:r>
      <w:r w:rsidR="001168D7" w:rsidRPr="008A1DB4">
        <w:rPr>
          <w:spacing w:val="-2"/>
          <w:lang w:val="en-US"/>
        </w:rPr>
        <w:t>(</w:t>
      </w:r>
      <w:r w:rsidR="00221B79" w:rsidRPr="008A1DB4">
        <w:rPr>
          <w:spacing w:val="-2"/>
          <w:lang w:val="en-US"/>
        </w:rPr>
        <w:t xml:space="preserve">a) </w:t>
      </w:r>
      <w:r w:rsidR="00C7767D" w:rsidRPr="008A1DB4">
        <w:rPr>
          <w:spacing w:val="-2"/>
          <w:lang w:val="en-US"/>
        </w:rPr>
        <w:t xml:space="preserve">the official summary of this Judgment, once, in the </w:t>
      </w:r>
      <w:r w:rsidR="0079515C" w:rsidRPr="008A1DB4">
        <w:rPr>
          <w:spacing w:val="-2"/>
          <w:lang w:val="en-US"/>
        </w:rPr>
        <w:t>official</w:t>
      </w:r>
      <w:r w:rsidR="00C7767D" w:rsidRPr="008A1DB4">
        <w:rPr>
          <w:spacing w:val="-2"/>
          <w:lang w:val="en-US"/>
        </w:rPr>
        <w:t xml:space="preserve"> gazette; </w:t>
      </w:r>
      <w:r w:rsidR="001168D7" w:rsidRPr="008A1DB4">
        <w:rPr>
          <w:spacing w:val="-2"/>
          <w:lang w:val="en-US"/>
        </w:rPr>
        <w:t>(</w:t>
      </w:r>
      <w:r w:rsidR="00221B79" w:rsidRPr="008A1DB4">
        <w:rPr>
          <w:spacing w:val="-2"/>
          <w:lang w:val="en-US"/>
        </w:rPr>
        <w:t xml:space="preserve">b) </w:t>
      </w:r>
      <w:r w:rsidR="00C7767D" w:rsidRPr="008A1DB4">
        <w:rPr>
          <w:spacing w:val="-2"/>
          <w:lang w:val="en-US"/>
        </w:rPr>
        <w:t xml:space="preserve">the official summary of this Judgment, once, in a national newspaper with widespread circulation, </w:t>
      </w:r>
      <w:r w:rsidR="00F36400" w:rsidRPr="008A1DB4">
        <w:rPr>
          <w:spacing w:val="-2"/>
          <w:lang w:val="en-US"/>
        </w:rPr>
        <w:t xml:space="preserve">and </w:t>
      </w:r>
      <w:r w:rsidR="001168D7" w:rsidRPr="008A1DB4">
        <w:rPr>
          <w:spacing w:val="-2"/>
          <w:lang w:val="en-US"/>
        </w:rPr>
        <w:t>(</w:t>
      </w:r>
      <w:r w:rsidR="00221B79" w:rsidRPr="008A1DB4">
        <w:rPr>
          <w:spacing w:val="-2"/>
          <w:lang w:val="en-US"/>
        </w:rPr>
        <w:t xml:space="preserve">c) </w:t>
      </w:r>
      <w:r w:rsidR="00C7767D" w:rsidRPr="008A1DB4">
        <w:rPr>
          <w:spacing w:val="-2"/>
          <w:lang w:val="en-US"/>
        </w:rPr>
        <w:t xml:space="preserve">the Judgment in its entirety, available for one year, on an official website. </w:t>
      </w:r>
      <w:r w:rsidR="00F36400" w:rsidRPr="008A1DB4">
        <w:rPr>
          <w:spacing w:val="-2"/>
          <w:lang w:val="en-US"/>
        </w:rPr>
        <w:t>The State</w:t>
      </w:r>
      <w:r w:rsidR="00221B79" w:rsidRPr="008A1DB4">
        <w:rPr>
          <w:b/>
          <w:i/>
          <w:spacing w:val="-2"/>
          <w:lang w:val="en-US"/>
        </w:rPr>
        <w:t xml:space="preserve"> </w:t>
      </w:r>
      <w:r w:rsidR="00C7767D" w:rsidRPr="008A1DB4">
        <w:rPr>
          <w:spacing w:val="-2"/>
          <w:lang w:val="en-US"/>
        </w:rPr>
        <w:t>indicated that, if the Court so requests, it would not object to the publication of the Judgment.</w:t>
      </w:r>
      <w:r w:rsidR="00221B79" w:rsidRPr="008A1DB4">
        <w:rPr>
          <w:spacing w:val="-2"/>
          <w:lang w:val="en-US"/>
        </w:rPr>
        <w:t xml:space="preserve"> </w:t>
      </w:r>
    </w:p>
    <w:p w14:paraId="4409723C" w14:textId="77777777" w:rsidR="00221B79" w:rsidRPr="008A1DB4" w:rsidRDefault="00221B79" w:rsidP="00956E97">
      <w:pPr>
        <w:widowControl w:val="0"/>
        <w:tabs>
          <w:tab w:val="left" w:pos="90"/>
          <w:tab w:val="left" w:pos="567"/>
        </w:tabs>
        <w:suppressAutoHyphens/>
        <w:autoSpaceDE w:val="0"/>
        <w:ind w:right="72"/>
        <w:rPr>
          <w:rFonts w:cs="Verdana-Italic"/>
          <w:spacing w:val="-2"/>
          <w:lang w:val="en-US" w:bidi="en-US"/>
        </w:rPr>
      </w:pPr>
    </w:p>
    <w:p w14:paraId="39704A2E" w14:textId="6D2C1B4E" w:rsidR="00221B79" w:rsidRPr="008A1DB4" w:rsidRDefault="00F36400" w:rsidP="00956E97">
      <w:pPr>
        <w:pStyle w:val="PrrafodeSentencia"/>
        <w:rPr>
          <w:iCs/>
          <w:spacing w:val="-2"/>
          <w:lang w:val="en-US" w:bidi="en-US"/>
        </w:rPr>
      </w:pPr>
      <w:bookmarkStart w:id="1355" w:name="_Ref419393952"/>
      <w:r w:rsidRPr="008A1DB4">
        <w:rPr>
          <w:spacing w:val="-2"/>
          <w:lang w:val="en-US" w:bidi="en-US"/>
        </w:rPr>
        <w:t>The Court</w:t>
      </w:r>
      <w:r w:rsidR="00221B79" w:rsidRPr="008A1DB4">
        <w:rPr>
          <w:spacing w:val="-2"/>
          <w:lang w:val="en-US" w:bidi="en-US"/>
        </w:rPr>
        <w:t xml:space="preserve"> </w:t>
      </w:r>
      <w:r w:rsidR="00C7767D" w:rsidRPr="008A1DB4">
        <w:rPr>
          <w:spacing w:val="-2"/>
          <w:lang w:val="en-US" w:bidi="en-US"/>
        </w:rPr>
        <w:t>establishes, as it has in other cases,</w:t>
      </w:r>
      <w:r w:rsidR="00221B79" w:rsidRPr="008A1DB4">
        <w:rPr>
          <w:rStyle w:val="FootnoteReference"/>
          <w:rFonts w:cs="Verdana-Italic"/>
          <w:spacing w:val="-2"/>
          <w:lang w:val="en-US" w:bidi="en-US"/>
        </w:rPr>
        <w:footnoteReference w:id="381"/>
      </w:r>
      <w:r w:rsidR="00221B79" w:rsidRPr="008A1DB4">
        <w:rPr>
          <w:spacing w:val="-2"/>
          <w:lang w:val="en-US" w:bidi="en-US"/>
        </w:rPr>
        <w:t xml:space="preserve"> </w:t>
      </w:r>
      <w:r w:rsidR="00C7767D" w:rsidRPr="008A1DB4">
        <w:rPr>
          <w:spacing w:val="-2"/>
          <w:lang w:val="en-US" w:bidi="en-US"/>
        </w:rPr>
        <w:t>that the</w:t>
      </w:r>
      <w:r w:rsidRPr="008A1DB4">
        <w:rPr>
          <w:spacing w:val="-2"/>
          <w:lang w:val="en-US" w:bidi="en-US"/>
        </w:rPr>
        <w:t xml:space="preserve"> State</w:t>
      </w:r>
      <w:r w:rsidR="00221B79" w:rsidRPr="008A1DB4">
        <w:rPr>
          <w:spacing w:val="-2"/>
          <w:lang w:val="en-US" w:bidi="en-US"/>
        </w:rPr>
        <w:t xml:space="preserve"> </w:t>
      </w:r>
      <w:r w:rsidR="00C7767D" w:rsidRPr="008A1DB4">
        <w:rPr>
          <w:spacing w:val="-2"/>
          <w:lang w:val="en-US" w:bidi="en-US"/>
        </w:rPr>
        <w:t>should publish, within six months of notification of this Judgment: (</w:t>
      </w:r>
      <w:r w:rsidR="00221B79" w:rsidRPr="008A1DB4">
        <w:rPr>
          <w:spacing w:val="-2"/>
          <w:lang w:val="en-US" w:bidi="en-US"/>
        </w:rPr>
        <w:t xml:space="preserve">a) </w:t>
      </w:r>
      <w:r w:rsidR="00C7767D" w:rsidRPr="008A1DB4">
        <w:rPr>
          <w:spacing w:val="-2"/>
          <w:lang w:val="en-US"/>
        </w:rPr>
        <w:t xml:space="preserve">the official summary of this Judgment prepared by the Court, once, in </w:t>
      </w:r>
      <w:r w:rsidR="00C7767D" w:rsidRPr="008A1DB4">
        <w:rPr>
          <w:spacing w:val="-2"/>
          <w:lang w:val="en-US" w:bidi="en-US"/>
        </w:rPr>
        <w:t xml:space="preserve">the </w:t>
      </w:r>
      <w:r w:rsidR="0079515C" w:rsidRPr="008A1DB4">
        <w:rPr>
          <w:spacing w:val="-2"/>
          <w:lang w:val="en-US" w:bidi="en-US"/>
        </w:rPr>
        <w:t>official</w:t>
      </w:r>
      <w:r w:rsidR="00C7767D" w:rsidRPr="008A1DB4">
        <w:rPr>
          <w:spacing w:val="-2"/>
          <w:lang w:val="en-US" w:bidi="en-US"/>
        </w:rPr>
        <w:t xml:space="preserve"> gazette</w:t>
      </w:r>
      <w:r w:rsidR="00221B79" w:rsidRPr="008A1DB4">
        <w:rPr>
          <w:spacing w:val="-2"/>
          <w:lang w:val="en-US" w:bidi="en-US"/>
        </w:rPr>
        <w:t xml:space="preserve">; </w:t>
      </w:r>
      <w:r w:rsidR="001168D7" w:rsidRPr="008A1DB4">
        <w:rPr>
          <w:spacing w:val="-2"/>
          <w:lang w:val="en-US" w:bidi="en-US"/>
        </w:rPr>
        <w:t>(</w:t>
      </w:r>
      <w:r w:rsidR="00221B79" w:rsidRPr="008A1DB4">
        <w:rPr>
          <w:spacing w:val="-2"/>
          <w:lang w:val="en-US" w:bidi="en-US"/>
        </w:rPr>
        <w:t xml:space="preserve">b) </w:t>
      </w:r>
      <w:r w:rsidR="00C7767D" w:rsidRPr="008A1DB4">
        <w:rPr>
          <w:spacing w:val="-2"/>
          <w:lang w:val="en-US"/>
        </w:rPr>
        <w:t>the official summary of this Judgment prepared by the Court, once, in a national newspaper with widespread circulation</w:t>
      </w:r>
      <w:r w:rsidR="00221B79" w:rsidRPr="008A1DB4">
        <w:rPr>
          <w:spacing w:val="-2"/>
          <w:lang w:val="en-US" w:bidi="en-US"/>
        </w:rPr>
        <w:t>,</w:t>
      </w:r>
      <w:r w:rsidRPr="008A1DB4">
        <w:rPr>
          <w:spacing w:val="-2"/>
          <w:lang w:val="en-US" w:bidi="en-US"/>
        </w:rPr>
        <w:t xml:space="preserve"> and </w:t>
      </w:r>
      <w:r w:rsidR="001168D7" w:rsidRPr="008A1DB4">
        <w:rPr>
          <w:spacing w:val="-2"/>
          <w:lang w:val="en-US" w:bidi="en-US"/>
        </w:rPr>
        <w:t>(</w:t>
      </w:r>
      <w:r w:rsidR="00221B79" w:rsidRPr="008A1DB4">
        <w:rPr>
          <w:spacing w:val="-2"/>
          <w:lang w:val="en-US" w:bidi="en-US"/>
        </w:rPr>
        <w:t xml:space="preserve">c) </w:t>
      </w:r>
      <w:r w:rsidR="00C7767D" w:rsidRPr="008A1DB4">
        <w:rPr>
          <w:spacing w:val="-2"/>
          <w:lang w:val="en-US"/>
        </w:rPr>
        <w:t>the Judgment in its entirety, available for one year, on an official website</w:t>
      </w:r>
      <w:r w:rsidR="00221B79" w:rsidRPr="008A1DB4">
        <w:rPr>
          <w:spacing w:val="-2"/>
          <w:lang w:val="en-US" w:bidi="en-US"/>
        </w:rPr>
        <w:t>.</w:t>
      </w:r>
      <w:bookmarkEnd w:id="1355"/>
      <w:r w:rsidR="00221B79" w:rsidRPr="008A1DB4">
        <w:rPr>
          <w:spacing w:val="-2"/>
          <w:lang w:val="en-US" w:bidi="en-US"/>
        </w:rPr>
        <w:t xml:space="preserve"> </w:t>
      </w:r>
    </w:p>
    <w:p w14:paraId="23DA8D25" w14:textId="77777777" w:rsidR="001E2773" w:rsidRPr="008A1DB4" w:rsidRDefault="001E2773" w:rsidP="00956E97">
      <w:pPr>
        <w:pStyle w:val="PrrafodeSentencia"/>
        <w:numPr>
          <w:ilvl w:val="0"/>
          <w:numId w:val="0"/>
        </w:numPr>
        <w:rPr>
          <w:spacing w:val="-2"/>
          <w:lang w:val="en-US" w:bidi="en-US"/>
        </w:rPr>
      </w:pPr>
    </w:p>
    <w:p w14:paraId="12659465" w14:textId="16B24592" w:rsidR="00221B79" w:rsidRPr="008A1DB4" w:rsidRDefault="00E41B15" w:rsidP="00956E97">
      <w:pPr>
        <w:pStyle w:val="Heading2"/>
        <w:rPr>
          <w:spacing w:val="-2"/>
          <w:lang w:val="en-US" w:bidi="en-US"/>
        </w:rPr>
      </w:pPr>
      <w:bookmarkStart w:id="1356" w:name="_Toc418074119"/>
      <w:bookmarkStart w:id="1357" w:name="_Toc418503924"/>
      <w:bookmarkStart w:id="1358" w:name="_Toc418912654"/>
      <w:bookmarkStart w:id="1359" w:name="_Toc418912878"/>
      <w:bookmarkStart w:id="1360" w:name="_Toc419394458"/>
      <w:bookmarkStart w:id="1361" w:name="_Toc429490317"/>
      <w:bookmarkStart w:id="1362" w:name="_Toc429503831"/>
      <w:bookmarkStart w:id="1363" w:name="_Toc429504337"/>
      <w:bookmarkStart w:id="1364" w:name="_Toc429678050"/>
      <w:bookmarkStart w:id="1365" w:name="_Toc430017213"/>
      <w:bookmarkStart w:id="1366" w:name="_Toc430017442"/>
      <w:bookmarkStart w:id="1367" w:name="_Toc430018724"/>
      <w:bookmarkStart w:id="1368" w:name="_Toc430125322"/>
      <w:bookmarkStart w:id="1369" w:name="_Toc430125430"/>
      <w:r w:rsidRPr="008A1DB4">
        <w:rPr>
          <w:spacing w:val="-2"/>
          <w:lang w:val="en-US" w:bidi="en-US"/>
        </w:rPr>
        <w:t>B.3</w:t>
      </w:r>
      <w:r w:rsidR="00221B79" w:rsidRPr="008A1DB4">
        <w:rPr>
          <w:spacing w:val="-2"/>
          <w:lang w:val="en-US" w:bidi="en-US"/>
        </w:rPr>
        <w:t xml:space="preserve">) </w:t>
      </w:r>
      <w:bookmarkEnd w:id="1356"/>
      <w:bookmarkEnd w:id="1357"/>
      <w:proofErr w:type="gramStart"/>
      <w:r w:rsidR="001168D7" w:rsidRPr="008A1DB4">
        <w:rPr>
          <w:spacing w:val="-2"/>
          <w:lang w:val="en-US" w:bidi="en-US"/>
        </w:rPr>
        <w:t>Other</w:t>
      </w:r>
      <w:proofErr w:type="gramEnd"/>
      <w:r w:rsidR="001168D7" w:rsidRPr="008A1DB4">
        <w:rPr>
          <w:spacing w:val="-2"/>
          <w:lang w:val="en-US" w:bidi="en-US"/>
        </w:rPr>
        <w:t xml:space="preserve"> measures requested</w:t>
      </w:r>
      <w:bookmarkEnd w:id="1358"/>
      <w:bookmarkEnd w:id="1359"/>
      <w:bookmarkEnd w:id="1360"/>
      <w:bookmarkEnd w:id="1361"/>
      <w:bookmarkEnd w:id="1362"/>
      <w:bookmarkEnd w:id="1363"/>
      <w:bookmarkEnd w:id="1364"/>
      <w:bookmarkEnd w:id="1365"/>
      <w:bookmarkEnd w:id="1366"/>
      <w:bookmarkEnd w:id="1367"/>
      <w:bookmarkEnd w:id="1368"/>
      <w:bookmarkEnd w:id="1369"/>
    </w:p>
    <w:p w14:paraId="5DFA92E6" w14:textId="77777777" w:rsidR="00221B79" w:rsidRPr="008A1DB4" w:rsidRDefault="00221B79" w:rsidP="00956E97">
      <w:pPr>
        <w:pStyle w:val="ListParagraph"/>
        <w:tabs>
          <w:tab w:val="left" w:pos="567"/>
        </w:tabs>
        <w:ind w:left="1060"/>
        <w:contextualSpacing w:val="0"/>
        <w:rPr>
          <w:rFonts w:cs="Verdana-Italic"/>
          <w:iCs/>
          <w:spacing w:val="-2"/>
          <w:lang w:val="en-US" w:bidi="en-US"/>
        </w:rPr>
      </w:pPr>
    </w:p>
    <w:p w14:paraId="70E261D6" w14:textId="6721A9AE" w:rsidR="00E41B15" w:rsidRPr="008A1DB4" w:rsidRDefault="00C7767D" w:rsidP="00956E97">
      <w:pPr>
        <w:pStyle w:val="PrrafodeSentencia"/>
        <w:rPr>
          <w:spacing w:val="-2"/>
          <w:lang w:val="en-US" w:bidi="en-US"/>
        </w:rPr>
      </w:pPr>
      <w:r w:rsidRPr="008A1DB4">
        <w:rPr>
          <w:rFonts w:cs="Verdana-Italic"/>
          <w:iCs/>
          <w:spacing w:val="-2"/>
          <w:lang w:val="en-US" w:bidi="en-US"/>
        </w:rPr>
        <w:t xml:space="preserve">In addition, </w:t>
      </w:r>
      <w:r w:rsidR="00C45946" w:rsidRPr="008A1DB4">
        <w:rPr>
          <w:rFonts w:cs="Verdana-Italic"/>
          <w:iCs/>
          <w:spacing w:val="-2"/>
          <w:lang w:val="en-US" w:bidi="en-US"/>
        </w:rPr>
        <w:t>the representative</w:t>
      </w:r>
      <w:r w:rsidR="00221B79" w:rsidRPr="008A1DB4">
        <w:rPr>
          <w:b/>
          <w:i/>
          <w:spacing w:val="-2"/>
          <w:lang w:val="en-US" w:bidi="en-US"/>
        </w:rPr>
        <w:t xml:space="preserve"> </w:t>
      </w:r>
      <w:r w:rsidRPr="008A1DB4">
        <w:rPr>
          <w:spacing w:val="-2"/>
          <w:lang w:val="en-US" w:bidi="en-US"/>
        </w:rPr>
        <w:t>asked that</w:t>
      </w:r>
      <w:r w:rsidR="00E41B15" w:rsidRPr="008A1DB4">
        <w:rPr>
          <w:spacing w:val="-2"/>
          <w:lang w:val="en-US" w:bidi="en-US"/>
        </w:rPr>
        <w:t>: (</w:t>
      </w:r>
      <w:proofErr w:type="spellStart"/>
      <w:r w:rsidR="00E41B15" w:rsidRPr="008A1DB4">
        <w:rPr>
          <w:spacing w:val="-2"/>
          <w:lang w:val="en-US" w:bidi="en-US"/>
        </w:rPr>
        <w:t>i</w:t>
      </w:r>
      <w:proofErr w:type="spellEnd"/>
      <w:r w:rsidR="00E41B15" w:rsidRPr="008A1DB4">
        <w:rPr>
          <w:spacing w:val="-2"/>
          <w:lang w:val="en-US" w:bidi="en-US"/>
        </w:rPr>
        <w:t xml:space="preserve">) </w:t>
      </w:r>
      <w:r w:rsidRPr="008A1DB4">
        <w:rPr>
          <w:spacing w:val="-2"/>
          <w:lang w:val="en-US" w:bidi="en-US"/>
        </w:rPr>
        <w:t xml:space="preserve">the authorities </w:t>
      </w:r>
      <w:r w:rsidR="00E022F9" w:rsidRPr="008A1DB4">
        <w:rPr>
          <w:spacing w:val="-2"/>
          <w:lang w:val="en-US" w:bidi="en-US"/>
        </w:rPr>
        <w:t>of the Judiciary</w:t>
      </w:r>
      <w:r w:rsidR="00F36400" w:rsidRPr="008A1DB4">
        <w:rPr>
          <w:spacing w:val="-2"/>
          <w:lang w:val="en-US" w:bidi="en-US"/>
        </w:rPr>
        <w:t xml:space="preserve"> and</w:t>
      </w:r>
      <w:r w:rsidR="00776D24" w:rsidRPr="008A1DB4">
        <w:rPr>
          <w:spacing w:val="-2"/>
          <w:lang w:val="en-US" w:bidi="en-US"/>
        </w:rPr>
        <w:t xml:space="preserve"> of the </w:t>
      </w:r>
      <w:r w:rsidR="00B43F84" w:rsidRPr="008A1DB4">
        <w:rPr>
          <w:spacing w:val="-2"/>
          <w:lang w:val="en-US" w:bidi="en-US"/>
        </w:rPr>
        <w:t>Executive Branch</w:t>
      </w:r>
      <w:r w:rsidR="00E41B15" w:rsidRPr="008A1DB4">
        <w:rPr>
          <w:spacing w:val="-2"/>
          <w:lang w:val="en-US" w:bidi="en-US"/>
        </w:rPr>
        <w:t xml:space="preserve"> </w:t>
      </w:r>
      <w:r w:rsidRPr="008A1DB4">
        <w:rPr>
          <w:spacing w:val="-2"/>
          <w:lang w:val="en-US" w:bidi="en-US"/>
        </w:rPr>
        <w:t xml:space="preserve">who have intervened in this case be investigated; (ii) a public act to acknowledge international responsibility </w:t>
      </w:r>
      <w:proofErr w:type="gramStart"/>
      <w:r w:rsidRPr="008A1DB4">
        <w:rPr>
          <w:spacing w:val="-2"/>
          <w:lang w:val="en-US" w:bidi="en-US"/>
        </w:rPr>
        <w:t>be</w:t>
      </w:r>
      <w:proofErr w:type="gramEnd"/>
      <w:r w:rsidRPr="008A1DB4">
        <w:rPr>
          <w:spacing w:val="-2"/>
          <w:lang w:val="en-US" w:bidi="en-US"/>
        </w:rPr>
        <w:t xml:space="preserve"> held, and (iii) medical, psychological and psychosocial treatment be provided to </w:t>
      </w:r>
      <w:r w:rsidR="00B43F84" w:rsidRPr="008A1DB4">
        <w:rPr>
          <w:spacing w:val="-2"/>
          <w:lang w:val="en-US"/>
        </w:rPr>
        <w:t>Wong</w:t>
      </w:r>
      <w:r w:rsidR="00E41B15" w:rsidRPr="008A1DB4">
        <w:rPr>
          <w:spacing w:val="-2"/>
          <w:lang w:val="en-US"/>
        </w:rPr>
        <w:t xml:space="preserve"> Ho Wing. </w:t>
      </w:r>
      <w:r w:rsidRPr="008A1DB4">
        <w:rPr>
          <w:spacing w:val="-2"/>
          <w:lang w:val="en-US"/>
        </w:rPr>
        <w:t xml:space="preserve">For its part, </w:t>
      </w:r>
      <w:r w:rsidR="00F36400" w:rsidRPr="008A1DB4">
        <w:rPr>
          <w:spacing w:val="-2"/>
          <w:lang w:val="en-US"/>
        </w:rPr>
        <w:t>the Commission</w:t>
      </w:r>
      <w:r w:rsidR="00E41B15" w:rsidRPr="008A1DB4">
        <w:rPr>
          <w:b/>
          <w:i/>
          <w:spacing w:val="-2"/>
          <w:lang w:val="en-US"/>
        </w:rPr>
        <w:t xml:space="preserve"> </w:t>
      </w:r>
      <w:r w:rsidRPr="008A1DB4">
        <w:rPr>
          <w:spacing w:val="-2"/>
          <w:lang w:val="en-US"/>
        </w:rPr>
        <w:t>asked that the Court order measures of non-repetition. The State objected to these measures</w:t>
      </w:r>
      <w:r w:rsidR="00E41B15" w:rsidRPr="008A1DB4">
        <w:rPr>
          <w:spacing w:val="-2"/>
          <w:lang w:val="en-US"/>
        </w:rPr>
        <w:t>.</w:t>
      </w:r>
    </w:p>
    <w:p w14:paraId="37D0383E" w14:textId="77777777" w:rsidR="00EA243A" w:rsidRPr="008A1DB4" w:rsidRDefault="00EA243A" w:rsidP="00956E97">
      <w:pPr>
        <w:rPr>
          <w:spacing w:val="-2"/>
          <w:lang w:val="en-US" w:bidi="en-US"/>
        </w:rPr>
      </w:pPr>
    </w:p>
    <w:p w14:paraId="4A0A72C5" w14:textId="06E40440" w:rsidR="00221B79" w:rsidRPr="008A1DB4" w:rsidRDefault="00F36400" w:rsidP="00956E97">
      <w:pPr>
        <w:pStyle w:val="PrrafodeSentencia"/>
        <w:rPr>
          <w:i/>
          <w:iCs/>
          <w:spacing w:val="-2"/>
          <w:lang w:val="en-US" w:bidi="en-US"/>
        </w:rPr>
      </w:pPr>
      <w:r w:rsidRPr="008A1DB4">
        <w:rPr>
          <w:spacing w:val="-2"/>
          <w:lang w:val="en-US" w:bidi="en-US"/>
        </w:rPr>
        <w:t>This Court</w:t>
      </w:r>
      <w:r w:rsidR="00221B79" w:rsidRPr="008A1DB4">
        <w:rPr>
          <w:spacing w:val="-2"/>
          <w:lang w:val="en-US" w:bidi="en-US"/>
        </w:rPr>
        <w:t xml:space="preserve"> </w:t>
      </w:r>
      <w:r w:rsidR="00C7767D" w:rsidRPr="008A1DB4">
        <w:rPr>
          <w:spacing w:val="-2"/>
          <w:lang w:val="en-US" w:bidi="en-US"/>
        </w:rPr>
        <w:t xml:space="preserve">does not find it necessary to </w:t>
      </w:r>
      <w:r w:rsidR="0079515C" w:rsidRPr="008A1DB4">
        <w:rPr>
          <w:spacing w:val="-2"/>
          <w:lang w:val="en-US" w:bidi="en-US"/>
        </w:rPr>
        <w:t>order</w:t>
      </w:r>
      <w:r w:rsidR="00C7767D" w:rsidRPr="008A1DB4">
        <w:rPr>
          <w:spacing w:val="-2"/>
          <w:lang w:val="en-US" w:bidi="en-US"/>
        </w:rPr>
        <w:t xml:space="preserve"> these o</w:t>
      </w:r>
      <w:r w:rsidR="001168D7" w:rsidRPr="008A1DB4">
        <w:rPr>
          <w:spacing w:val="-2"/>
          <w:lang w:val="en-US" w:bidi="en-US"/>
        </w:rPr>
        <w:t>ther measures requested</w:t>
      </w:r>
      <w:r w:rsidR="00C7767D" w:rsidRPr="008A1DB4">
        <w:rPr>
          <w:spacing w:val="-2"/>
          <w:lang w:val="en-US" w:bidi="en-US"/>
        </w:rPr>
        <w:t xml:space="preserve"> by</w:t>
      </w:r>
      <w:r w:rsidR="00221B79" w:rsidRPr="008A1DB4">
        <w:rPr>
          <w:spacing w:val="-2"/>
          <w:lang w:val="en-US" w:bidi="en-US"/>
        </w:rPr>
        <w:t xml:space="preserve"> </w:t>
      </w:r>
      <w:r w:rsidR="00C45946" w:rsidRPr="008A1DB4">
        <w:rPr>
          <w:spacing w:val="-2"/>
          <w:lang w:val="en-US" w:bidi="en-US"/>
        </w:rPr>
        <w:t>the representative</w:t>
      </w:r>
      <w:r w:rsidRPr="008A1DB4">
        <w:rPr>
          <w:spacing w:val="-2"/>
          <w:lang w:val="en-US" w:bidi="en-US"/>
        </w:rPr>
        <w:t xml:space="preserve"> and the Commission</w:t>
      </w:r>
      <w:r w:rsidR="00221B79" w:rsidRPr="008A1DB4">
        <w:rPr>
          <w:spacing w:val="-2"/>
          <w:lang w:val="en-US" w:bidi="en-US"/>
        </w:rPr>
        <w:t xml:space="preserve">, </w:t>
      </w:r>
      <w:r w:rsidR="00C7767D" w:rsidRPr="008A1DB4">
        <w:rPr>
          <w:spacing w:val="-2"/>
          <w:lang w:val="en-US" w:bidi="en-US"/>
        </w:rPr>
        <w:t xml:space="preserve">considering that the delivery of this Judgment and the reparations ordered in it are sufficient and appropriate. </w:t>
      </w:r>
    </w:p>
    <w:p w14:paraId="0DE1DE04" w14:textId="77777777" w:rsidR="00221B79" w:rsidRPr="008A1DB4" w:rsidRDefault="00221B79" w:rsidP="00956E97">
      <w:pPr>
        <w:tabs>
          <w:tab w:val="left" w:pos="567"/>
        </w:tabs>
        <w:rPr>
          <w:b/>
          <w:spacing w:val="-2"/>
          <w:lang w:val="en-US"/>
        </w:rPr>
      </w:pPr>
    </w:p>
    <w:p w14:paraId="2D0EE8E4" w14:textId="11F23CB0" w:rsidR="00221B79" w:rsidRPr="008A1DB4" w:rsidRDefault="00221B79" w:rsidP="00956E97">
      <w:pPr>
        <w:pStyle w:val="Heading1"/>
        <w:rPr>
          <w:spacing w:val="-2"/>
          <w:lang w:val="en-US"/>
        </w:rPr>
      </w:pPr>
      <w:bookmarkStart w:id="1370" w:name="_Toc418074121"/>
      <w:bookmarkStart w:id="1371" w:name="_Toc418503926"/>
      <w:bookmarkStart w:id="1372" w:name="_Toc418912655"/>
      <w:bookmarkStart w:id="1373" w:name="_Toc418912879"/>
      <w:bookmarkStart w:id="1374" w:name="_Toc419394459"/>
      <w:bookmarkStart w:id="1375" w:name="_Toc429490318"/>
      <w:bookmarkStart w:id="1376" w:name="_Toc429503832"/>
      <w:bookmarkStart w:id="1377" w:name="_Toc429504338"/>
      <w:bookmarkStart w:id="1378" w:name="_Toc429678051"/>
      <w:bookmarkStart w:id="1379" w:name="_Toc430017214"/>
      <w:bookmarkStart w:id="1380" w:name="_Toc430017443"/>
      <w:bookmarkStart w:id="1381" w:name="_Toc430018725"/>
      <w:bookmarkStart w:id="1382" w:name="_Toc430125323"/>
      <w:bookmarkStart w:id="1383" w:name="_Toc430125431"/>
      <w:r w:rsidRPr="008A1DB4">
        <w:rPr>
          <w:spacing w:val="-2"/>
          <w:lang w:val="en-US"/>
        </w:rPr>
        <w:t>C</w:t>
      </w:r>
      <w:r w:rsidR="00E3374A" w:rsidRPr="008A1DB4">
        <w:rPr>
          <w:spacing w:val="-2"/>
          <w:lang w:val="en-US"/>
        </w:rPr>
        <w:t>.</w:t>
      </w:r>
      <w:r w:rsidRPr="008A1DB4">
        <w:rPr>
          <w:spacing w:val="-2"/>
          <w:lang w:val="en-US"/>
        </w:rPr>
        <w:t xml:space="preserve"> </w:t>
      </w:r>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r w:rsidR="00406E3B" w:rsidRPr="008A1DB4">
        <w:rPr>
          <w:spacing w:val="-2"/>
          <w:lang w:val="en-US"/>
        </w:rPr>
        <w:t>Compensation</w:t>
      </w:r>
    </w:p>
    <w:p w14:paraId="30093777" w14:textId="77777777" w:rsidR="00221B79" w:rsidRPr="008A1DB4" w:rsidRDefault="00221B79" w:rsidP="00956E97">
      <w:pPr>
        <w:pStyle w:val="ListParagraph"/>
        <w:tabs>
          <w:tab w:val="left" w:pos="567"/>
        </w:tabs>
        <w:ind w:left="0"/>
        <w:contextualSpacing w:val="0"/>
        <w:rPr>
          <w:spacing w:val="-2"/>
          <w:lang w:val="en-US"/>
        </w:rPr>
      </w:pPr>
    </w:p>
    <w:p w14:paraId="6CA19264" w14:textId="356C171A" w:rsidR="00221B79" w:rsidRPr="008A1DB4" w:rsidRDefault="00F36400" w:rsidP="00956E97">
      <w:pPr>
        <w:pStyle w:val="PrrafodeSentencia"/>
        <w:rPr>
          <w:spacing w:val="-2"/>
          <w:lang w:val="en-US"/>
        </w:rPr>
      </w:pPr>
      <w:r w:rsidRPr="008A1DB4">
        <w:rPr>
          <w:spacing w:val="-2"/>
          <w:lang w:val="en-US"/>
        </w:rPr>
        <w:t>The Commission</w:t>
      </w:r>
      <w:r w:rsidR="00221B79" w:rsidRPr="008A1DB4">
        <w:rPr>
          <w:spacing w:val="-2"/>
          <w:lang w:val="en-US"/>
        </w:rPr>
        <w:t xml:space="preserve"> </w:t>
      </w:r>
      <w:r w:rsidR="00C7767D" w:rsidRPr="008A1DB4">
        <w:rPr>
          <w:spacing w:val="-2"/>
          <w:lang w:val="en-US"/>
        </w:rPr>
        <w:t>asked</w:t>
      </w:r>
      <w:r w:rsidR="00221B79" w:rsidRPr="008A1DB4">
        <w:rPr>
          <w:spacing w:val="-2"/>
          <w:lang w:val="en-US"/>
        </w:rPr>
        <w:t xml:space="preserve"> </w:t>
      </w:r>
      <w:r w:rsidRPr="008A1DB4">
        <w:rPr>
          <w:spacing w:val="-2"/>
          <w:lang w:val="en-US"/>
        </w:rPr>
        <w:t>the Court</w:t>
      </w:r>
      <w:r w:rsidR="00221B79" w:rsidRPr="008A1DB4">
        <w:rPr>
          <w:spacing w:val="-2"/>
          <w:lang w:val="en-US"/>
        </w:rPr>
        <w:t xml:space="preserve"> </w:t>
      </w:r>
      <w:r w:rsidR="00C7767D" w:rsidRPr="008A1DB4">
        <w:rPr>
          <w:spacing w:val="-2"/>
          <w:lang w:val="en-US"/>
        </w:rPr>
        <w:t>to order that full reparation be made to</w:t>
      </w:r>
      <w:r w:rsidR="00221B79" w:rsidRPr="008A1DB4">
        <w:rPr>
          <w:spacing w:val="-2"/>
          <w:lang w:val="en-US"/>
        </w:rPr>
        <w:t xml:space="preserve"> </w:t>
      </w:r>
      <w:r w:rsidR="00B43F84" w:rsidRPr="008A1DB4">
        <w:rPr>
          <w:spacing w:val="-2"/>
          <w:lang w:val="en-US"/>
        </w:rPr>
        <w:t>Wong</w:t>
      </w:r>
      <w:r w:rsidR="00221B79" w:rsidRPr="008A1DB4">
        <w:rPr>
          <w:spacing w:val="-2"/>
          <w:lang w:val="en-US"/>
        </w:rPr>
        <w:t xml:space="preserve"> Ho Wing </w:t>
      </w:r>
      <w:r w:rsidR="00C7767D" w:rsidRPr="008A1DB4">
        <w:rPr>
          <w:spacing w:val="-2"/>
          <w:lang w:val="en-US"/>
        </w:rPr>
        <w:t xml:space="preserve">for the violations that were established. </w:t>
      </w:r>
    </w:p>
    <w:p w14:paraId="0D79EF15" w14:textId="77777777" w:rsidR="00221B79" w:rsidRPr="008A1DB4" w:rsidRDefault="00221B79" w:rsidP="00956E97">
      <w:pPr>
        <w:pStyle w:val="ListParagraph"/>
        <w:tabs>
          <w:tab w:val="left" w:pos="567"/>
        </w:tabs>
        <w:ind w:left="0"/>
        <w:contextualSpacing w:val="0"/>
        <w:rPr>
          <w:spacing w:val="-2"/>
          <w:lang w:val="en-US"/>
        </w:rPr>
      </w:pPr>
    </w:p>
    <w:p w14:paraId="19D5A9B6" w14:textId="133C1510" w:rsidR="00221B79" w:rsidRPr="008A1DB4" w:rsidRDefault="00C45946" w:rsidP="00956E97">
      <w:pPr>
        <w:pStyle w:val="PrrafodeSentencia"/>
        <w:rPr>
          <w:spacing w:val="-2"/>
          <w:lang w:val="en-US"/>
        </w:rPr>
      </w:pPr>
      <w:r w:rsidRPr="008A1DB4">
        <w:rPr>
          <w:spacing w:val="-2"/>
          <w:lang w:val="en-US"/>
        </w:rPr>
        <w:t>The representative</w:t>
      </w:r>
      <w:r w:rsidR="00221B79" w:rsidRPr="008A1DB4">
        <w:rPr>
          <w:spacing w:val="-2"/>
          <w:lang w:val="en-US"/>
        </w:rPr>
        <w:t xml:space="preserve"> </w:t>
      </w:r>
      <w:r w:rsidR="00C7767D" w:rsidRPr="008A1DB4">
        <w:rPr>
          <w:spacing w:val="-2"/>
          <w:lang w:val="en-US"/>
        </w:rPr>
        <w:t xml:space="preserve">asked that the Court determine the consequential damages and the loss of earnings of </w:t>
      </w:r>
      <w:r w:rsidR="00B43F84" w:rsidRPr="008A1DB4">
        <w:rPr>
          <w:spacing w:val="-2"/>
          <w:lang w:val="en-US"/>
        </w:rPr>
        <w:t>Wong</w:t>
      </w:r>
      <w:r w:rsidR="00221B79" w:rsidRPr="008A1DB4">
        <w:rPr>
          <w:spacing w:val="-2"/>
          <w:lang w:val="en-US"/>
        </w:rPr>
        <w:t xml:space="preserve"> Ho Wing. </w:t>
      </w:r>
      <w:r w:rsidR="00C7767D" w:rsidRPr="008A1DB4">
        <w:rPr>
          <w:spacing w:val="-2"/>
          <w:lang w:val="en-US"/>
        </w:rPr>
        <w:t>In this regard, he indicated that</w:t>
      </w:r>
      <w:r w:rsidR="00FF66D3" w:rsidRPr="008A1DB4">
        <w:rPr>
          <w:spacing w:val="-2"/>
          <w:lang w:val="en-US"/>
        </w:rPr>
        <w:t xml:space="preserve">, as a result of the arbitrary </w:t>
      </w:r>
      <w:r w:rsidR="0079515C" w:rsidRPr="008A1DB4">
        <w:rPr>
          <w:spacing w:val="-2"/>
          <w:lang w:val="en-US"/>
        </w:rPr>
        <w:t>deprivation of</w:t>
      </w:r>
      <w:r w:rsidR="00FF66D3" w:rsidRPr="008A1DB4">
        <w:rPr>
          <w:spacing w:val="-2"/>
          <w:lang w:val="en-US"/>
        </w:rPr>
        <w:t xml:space="preserve"> his liberty </w:t>
      </w:r>
      <w:r w:rsidR="001168D7" w:rsidRPr="008A1DB4">
        <w:rPr>
          <w:spacing w:val="-2"/>
          <w:lang w:val="en-US"/>
        </w:rPr>
        <w:t>for more than five years, the victim was unable to administer his businesses in the Un</w:t>
      </w:r>
      <w:r w:rsidR="00A81A17">
        <w:rPr>
          <w:spacing w:val="-2"/>
          <w:lang w:val="en-US"/>
        </w:rPr>
        <w:t>ited States of America</w:t>
      </w:r>
      <w:r w:rsidR="001168D7" w:rsidRPr="008A1DB4">
        <w:rPr>
          <w:spacing w:val="-2"/>
          <w:lang w:val="en-US"/>
        </w:rPr>
        <w:t xml:space="preserve"> and</w:t>
      </w:r>
      <w:r w:rsidR="00A81A17">
        <w:rPr>
          <w:spacing w:val="-2"/>
          <w:lang w:val="en-US"/>
        </w:rPr>
        <w:t>,</w:t>
      </w:r>
      <w:r w:rsidR="001168D7" w:rsidRPr="008A1DB4">
        <w:rPr>
          <w:spacing w:val="-2"/>
          <w:lang w:val="en-US"/>
        </w:rPr>
        <w:t xml:space="preserve"> for this</w:t>
      </w:r>
      <w:r w:rsidR="00A81A17">
        <w:rPr>
          <w:spacing w:val="-2"/>
          <w:lang w:val="en-US"/>
        </w:rPr>
        <w:t>,</w:t>
      </w:r>
      <w:r w:rsidR="001168D7" w:rsidRPr="008A1DB4">
        <w:rPr>
          <w:spacing w:val="-2"/>
          <w:lang w:val="en-US"/>
        </w:rPr>
        <w:t xml:space="preserve"> he requested compensation </w:t>
      </w:r>
      <w:r w:rsidR="00FF66D3" w:rsidRPr="008A1DB4">
        <w:rPr>
          <w:spacing w:val="-2"/>
          <w:lang w:val="en-US"/>
        </w:rPr>
        <w:t>of US$3,</w:t>
      </w:r>
      <w:r w:rsidR="00221B79" w:rsidRPr="008A1DB4">
        <w:rPr>
          <w:spacing w:val="-2"/>
          <w:lang w:val="en-US"/>
        </w:rPr>
        <w:t>2</w:t>
      </w:r>
      <w:r w:rsidR="001168D7" w:rsidRPr="008A1DB4">
        <w:rPr>
          <w:spacing w:val="-2"/>
          <w:lang w:val="en-US"/>
        </w:rPr>
        <w:t>12,713.</w:t>
      </w:r>
      <w:r w:rsidR="00221B79" w:rsidRPr="008A1DB4">
        <w:rPr>
          <w:spacing w:val="-2"/>
          <w:lang w:val="en-US"/>
        </w:rPr>
        <w:t xml:space="preserve">55, </w:t>
      </w:r>
      <w:r w:rsidR="00FF66D3" w:rsidRPr="008A1DB4">
        <w:rPr>
          <w:spacing w:val="-2"/>
          <w:lang w:val="en-US"/>
        </w:rPr>
        <w:t xml:space="preserve">which corresponded to the value of two restaurants and the loss of their leasing rates. He also requested that the determination of the pecuniary damage be carried out in the jurisdiction </w:t>
      </w:r>
      <w:r w:rsidRPr="008A1DB4">
        <w:rPr>
          <w:spacing w:val="-2"/>
          <w:lang w:val="en-US"/>
        </w:rPr>
        <w:t xml:space="preserve">of </w:t>
      </w:r>
      <w:r w:rsidR="00071662" w:rsidRPr="008A1DB4">
        <w:rPr>
          <w:spacing w:val="-2"/>
          <w:lang w:val="en-US"/>
        </w:rPr>
        <w:t>the Peruvian State</w:t>
      </w:r>
      <w:r w:rsidR="00221B79" w:rsidRPr="008A1DB4">
        <w:rPr>
          <w:spacing w:val="-2"/>
          <w:lang w:val="en-US"/>
        </w:rPr>
        <w:t xml:space="preserve"> </w:t>
      </w:r>
      <w:r w:rsidR="00FF66D3" w:rsidRPr="008A1DB4">
        <w:rPr>
          <w:spacing w:val="-2"/>
          <w:lang w:val="en-US"/>
        </w:rPr>
        <w:t>in application of domestic norms. Furthermore, he indicated that, before being deprived of his liberty,</w:t>
      </w:r>
      <w:r w:rsidR="00221B79" w:rsidRPr="008A1DB4">
        <w:rPr>
          <w:spacing w:val="-2"/>
          <w:lang w:val="en-US"/>
        </w:rPr>
        <w:t xml:space="preserve"> </w:t>
      </w:r>
      <w:r w:rsidR="001E7113" w:rsidRPr="008A1DB4">
        <w:rPr>
          <w:spacing w:val="-2"/>
          <w:lang w:val="en-US"/>
        </w:rPr>
        <w:t>Wong</w:t>
      </w:r>
      <w:r w:rsidR="00221B79" w:rsidRPr="008A1DB4">
        <w:rPr>
          <w:spacing w:val="-2"/>
          <w:lang w:val="en-US"/>
        </w:rPr>
        <w:t xml:space="preserve"> Ho Wing</w:t>
      </w:r>
      <w:r w:rsidR="00FF66D3" w:rsidRPr="008A1DB4">
        <w:rPr>
          <w:spacing w:val="-2"/>
          <w:lang w:val="en-US"/>
        </w:rPr>
        <w:t xml:space="preserve"> earned approximately </w:t>
      </w:r>
      <w:r w:rsidR="002F1744" w:rsidRPr="008A1DB4">
        <w:rPr>
          <w:spacing w:val="-2"/>
          <w:lang w:val="en-US"/>
        </w:rPr>
        <w:t xml:space="preserve">US$ </w:t>
      </w:r>
      <w:r w:rsidR="001168D7" w:rsidRPr="008A1DB4">
        <w:rPr>
          <w:spacing w:val="-2"/>
          <w:lang w:val="en-US"/>
        </w:rPr>
        <w:t>10,000.</w:t>
      </w:r>
      <w:r w:rsidR="00221B79" w:rsidRPr="008A1DB4">
        <w:rPr>
          <w:spacing w:val="-2"/>
          <w:lang w:val="en-US"/>
        </w:rPr>
        <w:t xml:space="preserve">00 </w:t>
      </w:r>
      <w:r w:rsidR="00FF66D3" w:rsidRPr="008A1DB4">
        <w:rPr>
          <w:spacing w:val="-2"/>
          <w:lang w:val="en-US"/>
        </w:rPr>
        <w:t xml:space="preserve">a month from his business activities. Regarding the </w:t>
      </w:r>
      <w:r w:rsidR="00406E3B" w:rsidRPr="008A1DB4">
        <w:rPr>
          <w:spacing w:val="-2"/>
          <w:lang w:val="en-US"/>
        </w:rPr>
        <w:t>non-pecuniary damage</w:t>
      </w:r>
      <w:r w:rsidR="00221B79" w:rsidRPr="008A1DB4">
        <w:rPr>
          <w:spacing w:val="-2"/>
          <w:lang w:val="en-US"/>
        </w:rPr>
        <w:t xml:space="preserve">, </w:t>
      </w:r>
      <w:r w:rsidR="00FF66D3" w:rsidRPr="008A1DB4">
        <w:rPr>
          <w:spacing w:val="-2"/>
          <w:lang w:val="en-US"/>
        </w:rPr>
        <w:t xml:space="preserve">he asked that compensation </w:t>
      </w:r>
      <w:proofErr w:type="gramStart"/>
      <w:r w:rsidR="00FF66D3" w:rsidRPr="008A1DB4">
        <w:rPr>
          <w:spacing w:val="-2"/>
          <w:lang w:val="en-US"/>
        </w:rPr>
        <w:t>be</w:t>
      </w:r>
      <w:proofErr w:type="gramEnd"/>
      <w:r w:rsidR="00FF66D3" w:rsidRPr="008A1DB4">
        <w:rPr>
          <w:spacing w:val="-2"/>
          <w:lang w:val="en-US"/>
        </w:rPr>
        <w:t xml:space="preserve"> awarded for the suffering and </w:t>
      </w:r>
      <w:r w:rsidR="00A81A17">
        <w:rPr>
          <w:spacing w:val="-2"/>
          <w:lang w:val="en-US"/>
        </w:rPr>
        <w:t>affliction</w:t>
      </w:r>
      <w:r w:rsidR="00FF66D3" w:rsidRPr="008A1DB4">
        <w:rPr>
          <w:spacing w:val="-2"/>
          <w:lang w:val="en-US"/>
        </w:rPr>
        <w:t xml:space="preserve"> caused to the victim and asked </w:t>
      </w:r>
      <w:r w:rsidR="00F36400" w:rsidRPr="008A1DB4">
        <w:rPr>
          <w:spacing w:val="-2"/>
          <w:lang w:val="en-US"/>
        </w:rPr>
        <w:t>the Court</w:t>
      </w:r>
      <w:r w:rsidR="00221B79" w:rsidRPr="008A1DB4">
        <w:rPr>
          <w:spacing w:val="-2"/>
          <w:lang w:val="en-US"/>
        </w:rPr>
        <w:t xml:space="preserve"> </w:t>
      </w:r>
      <w:r w:rsidR="00FF66D3" w:rsidRPr="008A1DB4">
        <w:rPr>
          <w:spacing w:val="-2"/>
          <w:lang w:val="en-US"/>
        </w:rPr>
        <w:t xml:space="preserve">to determine the </w:t>
      </w:r>
      <w:r w:rsidR="00406E3B" w:rsidRPr="008A1DB4">
        <w:rPr>
          <w:spacing w:val="-2"/>
          <w:lang w:val="en-US"/>
        </w:rPr>
        <w:t>non-pecuniary damage</w:t>
      </w:r>
      <w:r w:rsidR="00221B79" w:rsidRPr="008A1DB4">
        <w:rPr>
          <w:spacing w:val="-2"/>
          <w:lang w:val="en-US"/>
        </w:rPr>
        <w:t xml:space="preserve"> </w:t>
      </w:r>
      <w:r w:rsidR="00FF66D3" w:rsidRPr="008A1DB4">
        <w:rPr>
          <w:spacing w:val="-2"/>
          <w:lang w:val="en-US"/>
        </w:rPr>
        <w:t xml:space="preserve">taking into consideration the principle of </w:t>
      </w:r>
      <w:proofErr w:type="spellStart"/>
      <w:r w:rsidR="00221B79" w:rsidRPr="008A1DB4">
        <w:rPr>
          <w:i/>
          <w:spacing w:val="-2"/>
          <w:lang w:val="en-US"/>
        </w:rPr>
        <w:t>pretium</w:t>
      </w:r>
      <w:proofErr w:type="spellEnd"/>
      <w:r w:rsidR="00221B79" w:rsidRPr="008A1DB4">
        <w:rPr>
          <w:i/>
          <w:spacing w:val="-2"/>
          <w:lang w:val="en-US"/>
        </w:rPr>
        <w:t xml:space="preserve"> </w:t>
      </w:r>
      <w:proofErr w:type="spellStart"/>
      <w:r w:rsidR="00221B79" w:rsidRPr="008A1DB4">
        <w:rPr>
          <w:i/>
          <w:spacing w:val="-2"/>
          <w:lang w:val="en-US"/>
        </w:rPr>
        <w:t>doloris</w:t>
      </w:r>
      <w:proofErr w:type="spellEnd"/>
      <w:r w:rsidR="00FF66D3" w:rsidRPr="008A1DB4">
        <w:rPr>
          <w:spacing w:val="-2"/>
          <w:lang w:val="en-US"/>
        </w:rPr>
        <w:t xml:space="preserve"> of the victim, </w:t>
      </w:r>
      <w:r w:rsidR="00A81A17">
        <w:rPr>
          <w:spacing w:val="-2"/>
          <w:lang w:val="en-US"/>
        </w:rPr>
        <w:t xml:space="preserve">and </w:t>
      </w:r>
      <w:r w:rsidR="00FF66D3" w:rsidRPr="008A1DB4">
        <w:rPr>
          <w:spacing w:val="-2"/>
          <w:lang w:val="en-US"/>
        </w:rPr>
        <w:t>establishing an amount, in equity</w:t>
      </w:r>
      <w:r w:rsidR="00221B79" w:rsidRPr="008A1DB4">
        <w:rPr>
          <w:spacing w:val="-2"/>
          <w:lang w:val="en-US"/>
        </w:rPr>
        <w:t xml:space="preserve">. </w:t>
      </w:r>
    </w:p>
    <w:p w14:paraId="34DC5D9F" w14:textId="77777777" w:rsidR="00221B79" w:rsidRPr="008A1DB4" w:rsidRDefault="00221B79" w:rsidP="00956E97">
      <w:pPr>
        <w:pStyle w:val="ListParagraph"/>
        <w:tabs>
          <w:tab w:val="left" w:pos="567"/>
        </w:tabs>
        <w:ind w:left="0"/>
        <w:contextualSpacing w:val="0"/>
        <w:rPr>
          <w:b/>
          <w:spacing w:val="-2"/>
          <w:lang w:val="en-US"/>
        </w:rPr>
      </w:pPr>
    </w:p>
    <w:p w14:paraId="032DE5F2" w14:textId="51959ADE" w:rsidR="00F2185E" w:rsidRPr="008A1DB4" w:rsidRDefault="00F36400" w:rsidP="00956E97">
      <w:pPr>
        <w:pStyle w:val="PrrafodeSentencia"/>
        <w:rPr>
          <w:b/>
          <w:i/>
          <w:spacing w:val="-2"/>
          <w:lang w:val="en-US"/>
        </w:rPr>
      </w:pPr>
      <w:r w:rsidRPr="008A1DB4">
        <w:rPr>
          <w:spacing w:val="-2"/>
          <w:lang w:val="en-US"/>
        </w:rPr>
        <w:t>The State</w:t>
      </w:r>
      <w:r w:rsidR="00F2185E" w:rsidRPr="008A1DB4">
        <w:rPr>
          <w:spacing w:val="-2"/>
          <w:lang w:val="en-US"/>
        </w:rPr>
        <w:t xml:space="preserve"> reiterated that it had not violated the rights </w:t>
      </w:r>
      <w:r w:rsidR="0079515C" w:rsidRPr="008A1DB4">
        <w:rPr>
          <w:spacing w:val="-2"/>
          <w:lang w:val="en-US"/>
        </w:rPr>
        <w:t>recognized</w:t>
      </w:r>
      <w:r w:rsidR="00F2185E" w:rsidRPr="008A1DB4">
        <w:rPr>
          <w:spacing w:val="-2"/>
          <w:lang w:val="en-US"/>
        </w:rPr>
        <w:t xml:space="preserve"> in </w:t>
      </w:r>
      <w:r w:rsidRPr="008A1DB4">
        <w:rPr>
          <w:spacing w:val="-2"/>
          <w:lang w:val="en-US"/>
        </w:rPr>
        <w:t>the American Convention</w:t>
      </w:r>
      <w:r w:rsidR="00221B79" w:rsidRPr="008A1DB4">
        <w:rPr>
          <w:spacing w:val="-2"/>
          <w:lang w:val="en-US"/>
        </w:rPr>
        <w:t xml:space="preserve">, </w:t>
      </w:r>
      <w:r w:rsidR="00F2185E" w:rsidRPr="008A1DB4">
        <w:rPr>
          <w:spacing w:val="-2"/>
          <w:lang w:val="en-US"/>
        </w:rPr>
        <w:t xml:space="preserve">so that it had no obligation to make reparation. Nevertheless, it affirmed its opposition </w:t>
      </w:r>
      <w:r w:rsidR="00F2185E" w:rsidRPr="008A1DB4">
        <w:rPr>
          <w:spacing w:val="-2"/>
          <w:lang w:val="en-US"/>
        </w:rPr>
        <w:lastRenderedPageBreak/>
        <w:t xml:space="preserve">“to the elevated nature of the amounts requested, [and that] this type of claim sought to convert the Court into </w:t>
      </w:r>
      <w:r w:rsidR="0079515C" w:rsidRPr="008A1DB4">
        <w:rPr>
          <w:spacing w:val="-2"/>
          <w:lang w:val="en-US"/>
        </w:rPr>
        <w:t>an</w:t>
      </w:r>
      <w:r w:rsidR="00F2185E" w:rsidRPr="008A1DB4">
        <w:rPr>
          <w:spacing w:val="-2"/>
          <w:lang w:val="en-US"/>
        </w:rPr>
        <w:t xml:space="preserve"> economic entity, which was not in keeping with the object and purpose of its functions.” It pointed out that the total requested by the representative amounted to a sum that “is evidently incompatible with the inter-American standards in </w:t>
      </w:r>
      <w:r w:rsidR="00A81A17">
        <w:rPr>
          <w:spacing w:val="-2"/>
          <w:lang w:val="en-US"/>
        </w:rPr>
        <w:t>effect</w:t>
      </w:r>
      <w:r w:rsidR="00F2185E" w:rsidRPr="008A1DB4">
        <w:rPr>
          <w:spacing w:val="-2"/>
          <w:lang w:val="en-US"/>
        </w:rPr>
        <w:t xml:space="preserve"> under the inter-American system and any other supranational system for the protection of human rights as regards reparations in favor of a single person.” It also argued that the representative had not provided any </w:t>
      </w:r>
      <w:r w:rsidR="00A81A17">
        <w:rPr>
          <w:spacing w:val="-2"/>
          <w:lang w:val="en-US"/>
        </w:rPr>
        <w:t>evidence of the business losses,</w:t>
      </w:r>
      <w:r w:rsidR="00F2185E" w:rsidRPr="008A1DB4">
        <w:rPr>
          <w:spacing w:val="-2"/>
          <w:lang w:val="en-US"/>
        </w:rPr>
        <w:t xml:space="preserve"> that the elements included as pecuniary damage were not included among the facts of this case, and that it would have been necessary to prove their causal nexus with facts of the case.</w:t>
      </w:r>
    </w:p>
    <w:p w14:paraId="7A85A9A3" w14:textId="77777777" w:rsidR="00221B79" w:rsidRPr="008A1DB4" w:rsidRDefault="00221B79" w:rsidP="00F2185E">
      <w:pPr>
        <w:tabs>
          <w:tab w:val="left" w:pos="567"/>
        </w:tabs>
        <w:rPr>
          <w:b/>
          <w:i/>
          <w:spacing w:val="-2"/>
          <w:lang w:val="en-US"/>
        </w:rPr>
      </w:pPr>
    </w:p>
    <w:p w14:paraId="74C9C1EE" w14:textId="3E1433B3" w:rsidR="00221B79" w:rsidRPr="008A1DB4" w:rsidRDefault="00F2185E" w:rsidP="00956E97">
      <w:pPr>
        <w:pStyle w:val="PrrafodeSentencia"/>
        <w:rPr>
          <w:spacing w:val="-2"/>
          <w:lang w:val="en-US"/>
        </w:rPr>
      </w:pPr>
      <w:r w:rsidRPr="008A1DB4">
        <w:rPr>
          <w:spacing w:val="-2"/>
          <w:lang w:val="en-US"/>
        </w:rPr>
        <w:t>In its case law, this</w:t>
      </w:r>
      <w:r w:rsidR="00F36400" w:rsidRPr="008A1DB4">
        <w:rPr>
          <w:spacing w:val="-2"/>
          <w:lang w:val="en-US"/>
        </w:rPr>
        <w:t xml:space="preserve"> Court</w:t>
      </w:r>
      <w:r w:rsidR="00221B79" w:rsidRPr="008A1DB4">
        <w:rPr>
          <w:spacing w:val="-2"/>
          <w:lang w:val="en-US"/>
        </w:rPr>
        <w:t xml:space="preserve"> ha</w:t>
      </w:r>
      <w:r w:rsidRPr="008A1DB4">
        <w:rPr>
          <w:spacing w:val="-2"/>
          <w:lang w:val="en-US"/>
        </w:rPr>
        <w:t xml:space="preserve">s developed the concept of </w:t>
      </w:r>
      <w:r w:rsidR="00406E3B" w:rsidRPr="008A1DB4">
        <w:rPr>
          <w:spacing w:val="-2"/>
          <w:lang w:val="en-US"/>
        </w:rPr>
        <w:t>pecuniary damage</w:t>
      </w:r>
      <w:r w:rsidR="00F36400" w:rsidRPr="008A1DB4">
        <w:rPr>
          <w:spacing w:val="-2"/>
          <w:lang w:val="en-US"/>
        </w:rPr>
        <w:t xml:space="preserve"> and </w:t>
      </w:r>
      <w:r w:rsidRPr="008A1DB4">
        <w:rPr>
          <w:spacing w:val="-2"/>
          <w:lang w:val="en-US"/>
        </w:rPr>
        <w:t>the situations in which it should be compensated and has established that</w:t>
      </w:r>
      <w:r w:rsidR="00221B79" w:rsidRPr="008A1DB4">
        <w:rPr>
          <w:spacing w:val="-2"/>
          <w:lang w:val="en-US"/>
        </w:rPr>
        <w:t xml:space="preserve"> </w:t>
      </w:r>
      <w:r w:rsidR="00406E3B" w:rsidRPr="008A1DB4">
        <w:rPr>
          <w:spacing w:val="-2"/>
          <w:lang w:val="en-US"/>
        </w:rPr>
        <w:t>pecuniary damage</w:t>
      </w:r>
      <w:r w:rsidR="00221B79" w:rsidRPr="008A1DB4">
        <w:rPr>
          <w:spacing w:val="-2"/>
          <w:lang w:val="en-US"/>
        </w:rPr>
        <w:t xml:space="preserve"> sup</w:t>
      </w:r>
      <w:r w:rsidRPr="008A1DB4">
        <w:rPr>
          <w:spacing w:val="-2"/>
          <w:lang w:val="en-US"/>
        </w:rPr>
        <w:t>poses “the loss of, or detriment to, the income of the victims, the expenses incurred as a result of the facts, and the consequences of a pecuniary nature that have a causal nexus with the facts of the case.</w:t>
      </w:r>
      <w:r w:rsidR="00221B79" w:rsidRPr="008A1DB4">
        <w:rPr>
          <w:spacing w:val="-2"/>
          <w:lang w:val="en-US"/>
        </w:rPr>
        <w:t>”</w:t>
      </w:r>
      <w:r w:rsidR="00221B79" w:rsidRPr="008A1DB4">
        <w:rPr>
          <w:rStyle w:val="FootnoteReference"/>
          <w:spacing w:val="-2"/>
          <w:lang w:val="en-US"/>
        </w:rPr>
        <w:footnoteReference w:id="382"/>
      </w:r>
      <w:r w:rsidR="00221B79" w:rsidRPr="008A1DB4">
        <w:rPr>
          <w:spacing w:val="-2"/>
          <w:lang w:val="en-US"/>
        </w:rPr>
        <w:t xml:space="preserve"> </w:t>
      </w:r>
      <w:r w:rsidRPr="008A1DB4">
        <w:rPr>
          <w:spacing w:val="-2"/>
          <w:lang w:val="en-US"/>
        </w:rPr>
        <w:t xml:space="preserve">In addition, the Court has developed the concept of </w:t>
      </w:r>
      <w:r w:rsidR="00406E3B" w:rsidRPr="008A1DB4">
        <w:rPr>
          <w:spacing w:val="-2"/>
          <w:lang w:val="en-US"/>
        </w:rPr>
        <w:t>non-pecuniary damage</w:t>
      </w:r>
      <w:r w:rsidR="00F36400" w:rsidRPr="008A1DB4">
        <w:rPr>
          <w:spacing w:val="-2"/>
          <w:lang w:val="en-US"/>
        </w:rPr>
        <w:t xml:space="preserve"> and </w:t>
      </w:r>
      <w:r w:rsidR="00221B79" w:rsidRPr="008A1DB4">
        <w:rPr>
          <w:spacing w:val="-2"/>
          <w:lang w:val="en-US"/>
        </w:rPr>
        <w:t>ha</w:t>
      </w:r>
      <w:r w:rsidRPr="008A1DB4">
        <w:rPr>
          <w:spacing w:val="-2"/>
          <w:lang w:val="en-US"/>
        </w:rPr>
        <w:t>s established that this “may inclu</w:t>
      </w:r>
      <w:r w:rsidR="00A81A17">
        <w:rPr>
          <w:spacing w:val="-2"/>
          <w:lang w:val="en-US"/>
        </w:rPr>
        <w:t>de the suffering and affliction</w:t>
      </w:r>
      <w:r w:rsidRPr="008A1DB4">
        <w:rPr>
          <w:spacing w:val="-2"/>
          <w:lang w:val="en-US"/>
        </w:rPr>
        <w:t xml:space="preserve"> caused to the direct victim and his family, the impairment of values that have great significance for the individual, and also the changes of a non-pecuniary nature, in the living conditions of the victim or his family.</w:t>
      </w:r>
      <w:r w:rsidR="00221B79" w:rsidRPr="008A1DB4">
        <w:rPr>
          <w:spacing w:val="-2"/>
          <w:lang w:val="en-US"/>
        </w:rPr>
        <w:t>”</w:t>
      </w:r>
      <w:r w:rsidR="00221B79" w:rsidRPr="008A1DB4">
        <w:rPr>
          <w:rStyle w:val="FootnoteReference"/>
          <w:spacing w:val="-2"/>
          <w:lang w:val="en-US"/>
        </w:rPr>
        <w:footnoteReference w:id="383"/>
      </w:r>
    </w:p>
    <w:p w14:paraId="7B21C111" w14:textId="77777777" w:rsidR="00221B79" w:rsidRPr="008A1DB4" w:rsidRDefault="00221B79" w:rsidP="00956E97">
      <w:pPr>
        <w:pStyle w:val="ListParagraph"/>
        <w:tabs>
          <w:tab w:val="left" w:pos="567"/>
        </w:tabs>
        <w:contextualSpacing w:val="0"/>
        <w:rPr>
          <w:spacing w:val="-2"/>
          <w:lang w:val="en-US"/>
        </w:rPr>
      </w:pPr>
    </w:p>
    <w:p w14:paraId="58F8A1E2" w14:textId="283C0624" w:rsidR="00221B79" w:rsidRPr="008A1DB4" w:rsidRDefault="00F2185E" w:rsidP="00F2185E">
      <w:pPr>
        <w:pStyle w:val="PrrafodeSentencia"/>
        <w:rPr>
          <w:spacing w:val="-2"/>
          <w:lang w:val="en-US"/>
        </w:rPr>
      </w:pPr>
      <w:r w:rsidRPr="008A1DB4">
        <w:rPr>
          <w:spacing w:val="-2"/>
          <w:lang w:val="en-US"/>
        </w:rPr>
        <w:t xml:space="preserve">From the information provided, </w:t>
      </w:r>
      <w:r w:rsidR="00F36400" w:rsidRPr="008A1DB4">
        <w:rPr>
          <w:spacing w:val="-2"/>
          <w:lang w:val="en-US"/>
        </w:rPr>
        <w:t>the Court</w:t>
      </w:r>
      <w:r w:rsidRPr="008A1DB4">
        <w:rPr>
          <w:spacing w:val="-2"/>
          <w:lang w:val="en-US"/>
        </w:rPr>
        <w:t xml:space="preserve"> notes that</w:t>
      </w:r>
      <w:r w:rsidR="00221B79" w:rsidRPr="008A1DB4">
        <w:rPr>
          <w:spacing w:val="-2"/>
          <w:lang w:val="en-US"/>
        </w:rPr>
        <w:t xml:space="preserve"> </w:t>
      </w:r>
      <w:r w:rsidR="001E7113" w:rsidRPr="008A1DB4">
        <w:rPr>
          <w:spacing w:val="-2"/>
          <w:lang w:val="en-US"/>
        </w:rPr>
        <w:t>Wong</w:t>
      </w:r>
      <w:r w:rsidR="00221B79" w:rsidRPr="008A1DB4">
        <w:rPr>
          <w:spacing w:val="-2"/>
          <w:lang w:val="en-US"/>
        </w:rPr>
        <w:t xml:space="preserve"> Ho Wing</w:t>
      </w:r>
      <w:r w:rsidR="00F36400" w:rsidRPr="008A1DB4">
        <w:rPr>
          <w:spacing w:val="-2"/>
          <w:lang w:val="en-US"/>
        </w:rPr>
        <w:t xml:space="preserve"> and </w:t>
      </w:r>
      <w:r w:rsidRPr="008A1DB4">
        <w:rPr>
          <w:spacing w:val="-2"/>
          <w:lang w:val="en-US"/>
        </w:rPr>
        <w:t xml:space="preserve">his wife </w:t>
      </w:r>
      <w:r w:rsidR="00A81A17">
        <w:rPr>
          <w:spacing w:val="-2"/>
          <w:lang w:val="en-US"/>
        </w:rPr>
        <w:t>indicated that the family was</w:t>
      </w:r>
      <w:r w:rsidRPr="008A1DB4">
        <w:rPr>
          <w:spacing w:val="-2"/>
          <w:lang w:val="en-US"/>
        </w:rPr>
        <w:t xml:space="preserve"> in the hotel business in </w:t>
      </w:r>
      <w:r w:rsidR="00FE5E87" w:rsidRPr="008A1DB4">
        <w:rPr>
          <w:spacing w:val="-2"/>
          <w:lang w:val="en-US"/>
        </w:rPr>
        <w:t>Peru</w:t>
      </w:r>
      <w:r w:rsidR="00221B79" w:rsidRPr="008A1DB4">
        <w:rPr>
          <w:spacing w:val="-2"/>
          <w:lang w:val="en-US"/>
        </w:rPr>
        <w:t xml:space="preserve">. </w:t>
      </w:r>
      <w:r w:rsidRPr="008A1DB4">
        <w:rPr>
          <w:spacing w:val="-2"/>
          <w:lang w:val="en-US"/>
        </w:rPr>
        <w:t xml:space="preserve">Also, in his affidavit, </w:t>
      </w:r>
      <w:r w:rsidR="001E7113" w:rsidRPr="008A1DB4">
        <w:rPr>
          <w:spacing w:val="-2"/>
          <w:lang w:val="en-US"/>
        </w:rPr>
        <w:t>Wong</w:t>
      </w:r>
      <w:r w:rsidRPr="008A1DB4">
        <w:rPr>
          <w:spacing w:val="-2"/>
          <w:lang w:val="en-US"/>
        </w:rPr>
        <w:t xml:space="preserve"> Ho Wing indicated that he had two restaurants and an importing company in the United States of America, and that these businesses ceased operations because a building burned down and he “was unable to administer the company.</w:t>
      </w:r>
      <w:r w:rsidR="00221B79" w:rsidRPr="008A1DB4">
        <w:rPr>
          <w:spacing w:val="-2"/>
          <w:lang w:val="en-US"/>
        </w:rPr>
        <w:t>”</w:t>
      </w:r>
      <w:r w:rsidR="00221B79" w:rsidRPr="008A1DB4">
        <w:rPr>
          <w:rStyle w:val="FootnoteReference"/>
          <w:spacing w:val="-2"/>
          <w:lang w:val="en-US"/>
        </w:rPr>
        <w:footnoteReference w:id="384"/>
      </w:r>
      <w:r w:rsidRPr="008A1DB4">
        <w:rPr>
          <w:spacing w:val="-2"/>
          <w:lang w:val="en-US"/>
        </w:rPr>
        <w:t xml:space="preserve"> In addition, his wife asserted that “his businesses in the United States closed down owing to his absence; [but t</w:t>
      </w:r>
      <w:proofErr w:type="gramStart"/>
      <w:r w:rsidRPr="008A1DB4">
        <w:rPr>
          <w:spacing w:val="-2"/>
          <w:lang w:val="en-US"/>
        </w:rPr>
        <w:t>]he</w:t>
      </w:r>
      <w:proofErr w:type="gramEnd"/>
      <w:r w:rsidR="00221B79" w:rsidRPr="008A1DB4">
        <w:rPr>
          <w:spacing w:val="-2"/>
          <w:lang w:val="en-US"/>
        </w:rPr>
        <w:t xml:space="preserve"> </w:t>
      </w:r>
      <w:r w:rsidRPr="008A1DB4">
        <w:rPr>
          <w:spacing w:val="-2"/>
          <w:lang w:val="en-US"/>
        </w:rPr>
        <w:t>family business in Peru remains, alt</w:t>
      </w:r>
      <w:r w:rsidR="00A81A17">
        <w:rPr>
          <w:spacing w:val="-2"/>
          <w:lang w:val="en-US"/>
        </w:rPr>
        <w:t>hough the</w:t>
      </w:r>
      <w:r w:rsidRPr="008A1DB4">
        <w:rPr>
          <w:spacing w:val="-2"/>
          <w:lang w:val="en-US"/>
        </w:rPr>
        <w:t xml:space="preserve"> situation is not good.</w:t>
      </w:r>
      <w:r w:rsidR="00221B79" w:rsidRPr="008A1DB4">
        <w:rPr>
          <w:spacing w:val="-2"/>
          <w:lang w:val="en-US"/>
        </w:rPr>
        <w:t>”</w:t>
      </w:r>
      <w:r w:rsidR="00221B79" w:rsidRPr="008A1DB4">
        <w:rPr>
          <w:rStyle w:val="FootnoteReference"/>
          <w:spacing w:val="-2"/>
          <w:lang w:val="en-US"/>
        </w:rPr>
        <w:footnoteReference w:id="385"/>
      </w:r>
      <w:r w:rsidRPr="008A1DB4">
        <w:rPr>
          <w:spacing w:val="-2"/>
          <w:lang w:val="en-US"/>
        </w:rPr>
        <w:t xml:space="preserve"> </w:t>
      </w:r>
      <w:r w:rsidR="0079515C" w:rsidRPr="008A1DB4">
        <w:rPr>
          <w:spacing w:val="-2"/>
          <w:lang w:val="en-US"/>
        </w:rPr>
        <w:t>Nevertheless</w:t>
      </w:r>
      <w:r w:rsidRPr="008A1DB4">
        <w:rPr>
          <w:spacing w:val="-2"/>
          <w:lang w:val="en-US"/>
        </w:rPr>
        <w:t>, the evidence provided only authenticates the registration of the limited liability company</w:t>
      </w:r>
      <w:r w:rsidR="00221B79" w:rsidRPr="008A1DB4">
        <w:rPr>
          <w:spacing w:val="-2"/>
          <w:lang w:val="en-US"/>
        </w:rPr>
        <w:t xml:space="preserve"> “</w:t>
      </w:r>
      <w:proofErr w:type="spellStart"/>
      <w:r w:rsidR="00221B79" w:rsidRPr="008A1DB4">
        <w:rPr>
          <w:i/>
          <w:spacing w:val="-2"/>
          <w:lang w:val="en-US"/>
        </w:rPr>
        <w:t>Inversiones</w:t>
      </w:r>
      <w:proofErr w:type="spellEnd"/>
      <w:r w:rsidR="00221B79" w:rsidRPr="008A1DB4">
        <w:rPr>
          <w:i/>
          <w:spacing w:val="-2"/>
          <w:lang w:val="en-US"/>
        </w:rPr>
        <w:t xml:space="preserve"> </w:t>
      </w:r>
      <w:proofErr w:type="spellStart"/>
      <w:r w:rsidR="00221B79" w:rsidRPr="008A1DB4">
        <w:rPr>
          <w:i/>
          <w:spacing w:val="-2"/>
          <w:lang w:val="en-US"/>
        </w:rPr>
        <w:t>Turísticas</w:t>
      </w:r>
      <w:proofErr w:type="spellEnd"/>
      <w:r w:rsidR="00221B79" w:rsidRPr="008A1DB4">
        <w:rPr>
          <w:i/>
          <w:spacing w:val="-2"/>
          <w:lang w:val="en-US"/>
        </w:rPr>
        <w:t xml:space="preserve"> Maury SAC</w:t>
      </w:r>
      <w:r w:rsidRPr="008A1DB4">
        <w:rPr>
          <w:spacing w:val="-2"/>
          <w:lang w:val="en-US"/>
        </w:rPr>
        <w:t>,” founded by the victim.</w:t>
      </w:r>
      <w:r w:rsidR="00221B79" w:rsidRPr="008A1DB4">
        <w:rPr>
          <w:rStyle w:val="FootnoteReference"/>
          <w:spacing w:val="-2"/>
          <w:lang w:val="en-US"/>
        </w:rPr>
        <w:footnoteReference w:id="386"/>
      </w:r>
    </w:p>
    <w:p w14:paraId="55674CEB" w14:textId="77777777" w:rsidR="00221B79" w:rsidRPr="008A1DB4" w:rsidRDefault="00221B79" w:rsidP="00956E97">
      <w:pPr>
        <w:pStyle w:val="ListParagraph"/>
        <w:tabs>
          <w:tab w:val="left" w:pos="567"/>
        </w:tabs>
        <w:contextualSpacing w:val="0"/>
        <w:rPr>
          <w:spacing w:val="-2"/>
          <w:lang w:val="en-US"/>
        </w:rPr>
      </w:pPr>
    </w:p>
    <w:p w14:paraId="76FEA9D6" w14:textId="2BC72619" w:rsidR="00221B79" w:rsidRPr="008A1DB4" w:rsidRDefault="00A81A17" w:rsidP="00956E97">
      <w:pPr>
        <w:pStyle w:val="PrrafodeSentencia"/>
        <w:rPr>
          <w:spacing w:val="-2"/>
          <w:lang w:val="en-US"/>
        </w:rPr>
      </w:pPr>
      <w:r>
        <w:rPr>
          <w:spacing w:val="-2"/>
          <w:lang w:val="en-US"/>
        </w:rPr>
        <w:t>Consequently, the</w:t>
      </w:r>
      <w:r w:rsidR="00F2185E" w:rsidRPr="008A1DB4">
        <w:rPr>
          <w:spacing w:val="-2"/>
          <w:lang w:val="en-US"/>
        </w:rPr>
        <w:t xml:space="preserve"> Court notes that it does not have ev</w:t>
      </w:r>
      <w:r>
        <w:rPr>
          <w:spacing w:val="-2"/>
          <w:lang w:val="en-US"/>
        </w:rPr>
        <w:t>idence authenticating</w:t>
      </w:r>
      <w:r w:rsidR="00F2185E" w:rsidRPr="008A1DB4">
        <w:rPr>
          <w:spacing w:val="-2"/>
          <w:lang w:val="en-US"/>
        </w:rPr>
        <w:t xml:space="preserve"> the representative’s calculation of </w:t>
      </w:r>
      <w:r w:rsidR="00406E3B" w:rsidRPr="008A1DB4">
        <w:rPr>
          <w:spacing w:val="-2"/>
          <w:lang w:val="en-US"/>
        </w:rPr>
        <w:t>pecuniary damage</w:t>
      </w:r>
      <w:r w:rsidR="00F2185E" w:rsidRPr="008A1DB4">
        <w:rPr>
          <w:spacing w:val="-2"/>
          <w:lang w:val="en-US"/>
        </w:rPr>
        <w:t>, or the income that</w:t>
      </w:r>
      <w:r w:rsidR="00647F5E" w:rsidRPr="008A1DB4">
        <w:rPr>
          <w:spacing w:val="-2"/>
          <w:lang w:val="en-US"/>
        </w:rPr>
        <w:t xml:space="preserve"> </w:t>
      </w:r>
      <w:r w:rsidR="001E7113" w:rsidRPr="008A1DB4">
        <w:rPr>
          <w:spacing w:val="-2"/>
          <w:lang w:val="en-US"/>
        </w:rPr>
        <w:t>Wong</w:t>
      </w:r>
      <w:r w:rsidR="00221B79" w:rsidRPr="008A1DB4">
        <w:rPr>
          <w:spacing w:val="-2"/>
          <w:lang w:val="en-US"/>
        </w:rPr>
        <w:t xml:space="preserve"> Ho Wing </w:t>
      </w:r>
      <w:r w:rsidR="00F2185E" w:rsidRPr="008A1DB4">
        <w:rPr>
          <w:spacing w:val="-2"/>
          <w:lang w:val="en-US"/>
        </w:rPr>
        <w:t xml:space="preserve">received before the events that </w:t>
      </w:r>
      <w:r w:rsidR="0079515C" w:rsidRPr="008A1DB4">
        <w:rPr>
          <w:spacing w:val="-2"/>
          <w:lang w:val="en-US"/>
        </w:rPr>
        <w:t>resulted</w:t>
      </w:r>
      <w:r w:rsidR="00F2185E" w:rsidRPr="008A1DB4">
        <w:rPr>
          <w:spacing w:val="-2"/>
          <w:lang w:val="en-US"/>
        </w:rPr>
        <w:t xml:space="preserve"> in the human rights </w:t>
      </w:r>
      <w:r w:rsidR="0079515C" w:rsidRPr="008A1DB4">
        <w:rPr>
          <w:spacing w:val="-2"/>
          <w:lang w:val="en-US"/>
        </w:rPr>
        <w:t>violations</w:t>
      </w:r>
      <w:r w:rsidR="00F2185E" w:rsidRPr="008A1DB4">
        <w:rPr>
          <w:spacing w:val="-2"/>
          <w:lang w:val="en-US"/>
        </w:rPr>
        <w:t xml:space="preserve"> declared in </w:t>
      </w:r>
      <w:r w:rsidR="00467AFC" w:rsidRPr="008A1DB4">
        <w:rPr>
          <w:spacing w:val="-2"/>
          <w:lang w:val="en-US"/>
        </w:rPr>
        <w:t>this case</w:t>
      </w:r>
      <w:r w:rsidR="00221B79" w:rsidRPr="008A1DB4">
        <w:rPr>
          <w:spacing w:val="-2"/>
          <w:lang w:val="en-US"/>
        </w:rPr>
        <w:t xml:space="preserve">. </w:t>
      </w:r>
      <w:r w:rsidR="00F2185E" w:rsidRPr="008A1DB4">
        <w:rPr>
          <w:spacing w:val="-2"/>
          <w:lang w:val="en-US"/>
        </w:rPr>
        <w:t xml:space="preserve">However, the body of evidence reveals that </w:t>
      </w:r>
      <w:r w:rsidR="001E7113" w:rsidRPr="008A1DB4">
        <w:rPr>
          <w:spacing w:val="-2"/>
          <w:lang w:val="en-US"/>
        </w:rPr>
        <w:t>Wong</w:t>
      </w:r>
      <w:r w:rsidR="00221B79" w:rsidRPr="008A1DB4">
        <w:rPr>
          <w:spacing w:val="-2"/>
          <w:lang w:val="en-US"/>
        </w:rPr>
        <w:t xml:space="preserve"> Ho Wing </w:t>
      </w:r>
      <w:r w:rsidR="00F2185E" w:rsidRPr="008A1DB4">
        <w:rPr>
          <w:spacing w:val="-2"/>
          <w:lang w:val="en-US"/>
        </w:rPr>
        <w:t xml:space="preserve">had several businesses before he was deprived of his liberty. Therefore, the Court finds it reasonable to consider that </w:t>
      </w:r>
      <w:r w:rsidR="001E7113" w:rsidRPr="008A1DB4">
        <w:rPr>
          <w:spacing w:val="-2"/>
          <w:lang w:val="en-US"/>
        </w:rPr>
        <w:t>Wong</w:t>
      </w:r>
      <w:r w:rsidR="00221B79" w:rsidRPr="008A1DB4">
        <w:rPr>
          <w:spacing w:val="-2"/>
          <w:lang w:val="en-US"/>
        </w:rPr>
        <w:t xml:space="preserve"> Ho Wing </w:t>
      </w:r>
      <w:r w:rsidR="00F2185E" w:rsidRPr="008A1DB4">
        <w:rPr>
          <w:spacing w:val="-2"/>
          <w:lang w:val="en-US"/>
        </w:rPr>
        <w:t>suffered a loss of earnings during the time he remained detained.</w:t>
      </w:r>
      <w:r w:rsidR="00221B79" w:rsidRPr="008A1DB4">
        <w:rPr>
          <w:spacing w:val="-2"/>
          <w:lang w:val="en-US"/>
        </w:rPr>
        <w:t xml:space="preserve"> </w:t>
      </w:r>
    </w:p>
    <w:p w14:paraId="22C6681C" w14:textId="77777777" w:rsidR="00221B79" w:rsidRPr="008A1DB4" w:rsidRDefault="00221B79" w:rsidP="00956E97">
      <w:pPr>
        <w:pStyle w:val="ListParagraph"/>
        <w:tabs>
          <w:tab w:val="left" w:pos="567"/>
        </w:tabs>
        <w:contextualSpacing w:val="0"/>
        <w:rPr>
          <w:spacing w:val="-2"/>
          <w:lang w:val="en-US"/>
        </w:rPr>
      </w:pPr>
    </w:p>
    <w:p w14:paraId="3094CD45" w14:textId="564E513A" w:rsidR="00221B79" w:rsidRPr="008A1DB4" w:rsidRDefault="00F2185E" w:rsidP="00CB0A77">
      <w:pPr>
        <w:pStyle w:val="PrrafodeSentencia"/>
        <w:rPr>
          <w:spacing w:val="-2"/>
          <w:lang w:val="en-US"/>
        </w:rPr>
      </w:pPr>
      <w:r w:rsidRPr="008A1DB4">
        <w:rPr>
          <w:spacing w:val="-2"/>
          <w:lang w:val="en-US"/>
        </w:rPr>
        <w:t>Regarding the</w:t>
      </w:r>
      <w:r w:rsidR="00221B79" w:rsidRPr="008A1DB4">
        <w:rPr>
          <w:spacing w:val="-2"/>
          <w:lang w:val="en-US"/>
        </w:rPr>
        <w:t xml:space="preserve"> </w:t>
      </w:r>
      <w:r w:rsidR="00406E3B" w:rsidRPr="008A1DB4">
        <w:rPr>
          <w:spacing w:val="-2"/>
          <w:lang w:val="en-US"/>
        </w:rPr>
        <w:t>non-pecuniary damage</w:t>
      </w:r>
      <w:r w:rsidR="00221B79" w:rsidRPr="008A1DB4">
        <w:rPr>
          <w:spacing w:val="-2"/>
          <w:lang w:val="en-US"/>
        </w:rPr>
        <w:t xml:space="preserve">, </w:t>
      </w:r>
      <w:r w:rsidR="00F36400" w:rsidRPr="008A1DB4">
        <w:rPr>
          <w:spacing w:val="-2"/>
          <w:lang w:val="en-US"/>
        </w:rPr>
        <w:t>the Court</w:t>
      </w:r>
      <w:r w:rsidRPr="008A1DB4">
        <w:rPr>
          <w:spacing w:val="-2"/>
          <w:lang w:val="en-US"/>
        </w:rPr>
        <w:t xml:space="preserve"> notes that, in his affidavit</w:t>
      </w:r>
      <w:r w:rsidR="00221B79" w:rsidRPr="008A1DB4">
        <w:rPr>
          <w:spacing w:val="-2"/>
          <w:lang w:val="en-US"/>
        </w:rPr>
        <w:t xml:space="preserve">, </w:t>
      </w:r>
      <w:r w:rsidR="001E7113" w:rsidRPr="008A1DB4">
        <w:rPr>
          <w:spacing w:val="-2"/>
          <w:lang w:val="en-US"/>
        </w:rPr>
        <w:t>Wong</w:t>
      </w:r>
      <w:r w:rsidR="00221B79" w:rsidRPr="008A1DB4">
        <w:rPr>
          <w:spacing w:val="-2"/>
          <w:lang w:val="en-US"/>
        </w:rPr>
        <w:t xml:space="preserve"> Ho Wing </w:t>
      </w:r>
      <w:r w:rsidR="00A81A17">
        <w:rPr>
          <w:spacing w:val="-2"/>
          <w:lang w:val="en-US"/>
        </w:rPr>
        <w:t>stated</w:t>
      </w:r>
      <w:r w:rsidRPr="008A1DB4">
        <w:rPr>
          <w:spacing w:val="-2"/>
          <w:lang w:val="en-US"/>
        </w:rPr>
        <w:t xml:space="preserve"> that, while he was in prison, he “suffered immense emotional and physical </w:t>
      </w:r>
      <w:r w:rsidR="0079515C" w:rsidRPr="008A1DB4">
        <w:rPr>
          <w:spacing w:val="-2"/>
          <w:lang w:val="en-US"/>
        </w:rPr>
        <w:t>devastation</w:t>
      </w:r>
      <w:r w:rsidRPr="008A1DB4">
        <w:rPr>
          <w:spacing w:val="-2"/>
          <w:lang w:val="en-US"/>
        </w:rPr>
        <w:t xml:space="preserve"> </w:t>
      </w:r>
      <w:r w:rsidR="00221B79" w:rsidRPr="008A1DB4">
        <w:rPr>
          <w:spacing w:val="-2"/>
          <w:lang w:val="en-US"/>
        </w:rPr>
        <w:t xml:space="preserve">[…] </w:t>
      </w:r>
      <w:r w:rsidRPr="008A1DB4">
        <w:rPr>
          <w:spacing w:val="-2"/>
          <w:lang w:val="en-US"/>
        </w:rPr>
        <w:t xml:space="preserve">as a result of the harsh environment of the prison, and also the constant fear that he would be extradited without any apparent reason.” He also indicated that “if it was not for the fact that [he had] a family to maintain </w:t>
      </w:r>
      <w:r w:rsidR="00221B79" w:rsidRPr="008A1DB4">
        <w:rPr>
          <w:spacing w:val="-2"/>
          <w:lang w:val="en-US"/>
        </w:rPr>
        <w:t>[…</w:t>
      </w:r>
      <w:r w:rsidRPr="008A1DB4">
        <w:rPr>
          <w:spacing w:val="-2"/>
          <w:lang w:val="en-US"/>
        </w:rPr>
        <w:t>he</w:t>
      </w:r>
      <w:r w:rsidR="00221B79" w:rsidRPr="008A1DB4">
        <w:rPr>
          <w:spacing w:val="-2"/>
          <w:lang w:val="en-US"/>
        </w:rPr>
        <w:t xml:space="preserve">] </w:t>
      </w:r>
      <w:r w:rsidRPr="008A1DB4">
        <w:rPr>
          <w:spacing w:val="-2"/>
          <w:lang w:val="en-US"/>
        </w:rPr>
        <w:t xml:space="preserve">believe[d] that </w:t>
      </w:r>
      <w:r w:rsidR="00221B79" w:rsidRPr="008A1DB4">
        <w:rPr>
          <w:spacing w:val="-2"/>
          <w:lang w:val="en-US"/>
        </w:rPr>
        <w:t>[…</w:t>
      </w:r>
      <w:r w:rsidRPr="008A1DB4">
        <w:rPr>
          <w:spacing w:val="-2"/>
          <w:lang w:val="en-US"/>
        </w:rPr>
        <w:t xml:space="preserve"> he</w:t>
      </w:r>
      <w:r w:rsidR="00221B79" w:rsidRPr="008A1DB4">
        <w:rPr>
          <w:spacing w:val="-2"/>
          <w:lang w:val="en-US"/>
        </w:rPr>
        <w:t>]</w:t>
      </w:r>
      <w:r w:rsidRPr="008A1DB4">
        <w:rPr>
          <w:spacing w:val="-2"/>
          <w:lang w:val="en-US"/>
        </w:rPr>
        <w:t xml:space="preserve"> would have lost the will to live.</w:t>
      </w:r>
      <w:r w:rsidR="00221B79" w:rsidRPr="008A1DB4">
        <w:rPr>
          <w:spacing w:val="-2"/>
          <w:lang w:val="en-US"/>
        </w:rPr>
        <w:t>”</w:t>
      </w:r>
      <w:r w:rsidR="00221B79" w:rsidRPr="008A1DB4">
        <w:rPr>
          <w:rStyle w:val="FootnoteReference"/>
          <w:spacing w:val="-2"/>
          <w:lang w:val="en-US"/>
        </w:rPr>
        <w:footnoteReference w:id="387"/>
      </w:r>
      <w:r w:rsidR="00221B79" w:rsidRPr="008A1DB4">
        <w:rPr>
          <w:spacing w:val="-2"/>
          <w:lang w:val="en-US"/>
        </w:rPr>
        <w:t xml:space="preserve"> A</w:t>
      </w:r>
      <w:r w:rsidRPr="008A1DB4">
        <w:rPr>
          <w:spacing w:val="-2"/>
          <w:lang w:val="en-US"/>
        </w:rPr>
        <w:t xml:space="preserve">lso, </w:t>
      </w:r>
      <w:r w:rsidR="00406E3B" w:rsidRPr="008A1DB4">
        <w:rPr>
          <w:spacing w:val="-2"/>
          <w:lang w:val="en-US"/>
        </w:rPr>
        <w:t xml:space="preserve">expert witness </w:t>
      </w:r>
      <w:r w:rsidR="00221B79" w:rsidRPr="008A1DB4">
        <w:rPr>
          <w:spacing w:val="-2"/>
          <w:lang w:val="en-US"/>
        </w:rPr>
        <w:t xml:space="preserve">Carmen </w:t>
      </w:r>
      <w:proofErr w:type="spellStart"/>
      <w:r w:rsidR="00221B79" w:rsidRPr="008A1DB4">
        <w:rPr>
          <w:spacing w:val="-2"/>
          <w:lang w:val="en-US"/>
        </w:rPr>
        <w:t>Wurst</w:t>
      </w:r>
      <w:proofErr w:type="spellEnd"/>
      <w:r w:rsidR="00221B79" w:rsidRPr="008A1DB4">
        <w:rPr>
          <w:spacing w:val="-2"/>
          <w:lang w:val="en-US"/>
        </w:rPr>
        <w:t xml:space="preserve"> </w:t>
      </w:r>
      <w:r w:rsidRPr="008A1DB4">
        <w:rPr>
          <w:spacing w:val="-2"/>
          <w:lang w:val="en-US"/>
        </w:rPr>
        <w:t xml:space="preserve">referred to the fact that </w:t>
      </w:r>
      <w:r w:rsidR="001E7113" w:rsidRPr="008A1DB4">
        <w:rPr>
          <w:spacing w:val="-2"/>
          <w:lang w:val="en-US"/>
        </w:rPr>
        <w:t>Wong</w:t>
      </w:r>
      <w:r w:rsidRPr="008A1DB4">
        <w:rPr>
          <w:spacing w:val="-2"/>
          <w:lang w:val="en-US"/>
        </w:rPr>
        <w:t xml:space="preserve"> Ho Wing was “subjected to </w:t>
      </w:r>
      <w:r w:rsidR="00A81A17">
        <w:rPr>
          <w:spacing w:val="-2"/>
          <w:lang w:val="en-US"/>
        </w:rPr>
        <w:t>numerous stress factors during the</w:t>
      </w:r>
      <w:r w:rsidRPr="008A1DB4">
        <w:rPr>
          <w:spacing w:val="-2"/>
          <w:lang w:val="en-US"/>
        </w:rPr>
        <w:t xml:space="preserve"> time</w:t>
      </w:r>
      <w:r w:rsidR="00A81A17">
        <w:rPr>
          <w:spacing w:val="-2"/>
          <w:lang w:val="en-US"/>
        </w:rPr>
        <w:t xml:space="preserve"> he spent</w:t>
      </w:r>
      <w:r w:rsidRPr="008A1DB4">
        <w:rPr>
          <w:spacing w:val="-2"/>
          <w:lang w:val="en-US"/>
        </w:rPr>
        <w:t xml:space="preserve"> in prison, owing to the prison conditions, [and this] has </w:t>
      </w:r>
      <w:r w:rsidRPr="008A1DB4">
        <w:rPr>
          <w:spacing w:val="-2"/>
          <w:lang w:val="en-US"/>
        </w:rPr>
        <w:lastRenderedPageBreak/>
        <w:t xml:space="preserve">resulted in severe psychological effects and suffering,” with depressive psychological tendencies, anxiety, </w:t>
      </w:r>
      <w:r w:rsidR="00A81A17">
        <w:rPr>
          <w:lang w:val="en-US"/>
        </w:rPr>
        <w:t>dissociative disorder</w:t>
      </w:r>
      <w:r w:rsidR="00CB0A77" w:rsidRPr="008A1DB4">
        <w:rPr>
          <w:lang w:val="en-US"/>
        </w:rPr>
        <w:t>, and chronic anxiety among other symptoms. However, she indicated that “the symptoms have decreased slightly</w:t>
      </w:r>
      <w:r w:rsidR="00A81A17" w:rsidRPr="00A81A17">
        <w:rPr>
          <w:lang w:val="en-US"/>
        </w:rPr>
        <w:t xml:space="preserve"> </w:t>
      </w:r>
      <w:r w:rsidR="00A81A17">
        <w:rPr>
          <w:lang w:val="en-US"/>
        </w:rPr>
        <w:t>during his house arrest</w:t>
      </w:r>
      <w:r w:rsidR="00CB0A77" w:rsidRPr="008A1DB4">
        <w:rPr>
          <w:lang w:val="en-US"/>
        </w:rPr>
        <w:t>.” In addition, regarding the risk of being extradited, she considered that this caused him suffering</w:t>
      </w:r>
      <w:r w:rsidR="00A81A17">
        <w:rPr>
          <w:lang w:val="en-US"/>
        </w:rPr>
        <w:t>s,</w:t>
      </w:r>
      <w:r w:rsidR="00CB0A77" w:rsidRPr="008A1DB4">
        <w:rPr>
          <w:lang w:val="en-US"/>
        </w:rPr>
        <w:t xml:space="preserve"> such as feeling a “permanent death threat [and he had encountered] situations of racial and personal abuse owing to the reactions of </w:t>
      </w:r>
      <w:r w:rsidR="00A81A17">
        <w:rPr>
          <w:lang w:val="en-US"/>
        </w:rPr>
        <w:t xml:space="preserve">other </w:t>
      </w:r>
      <w:r w:rsidR="00CB0A77" w:rsidRPr="008A1DB4">
        <w:rPr>
          <w:lang w:val="en-US"/>
        </w:rPr>
        <w:t>prisoners to the possibility that he would be extradited.</w:t>
      </w:r>
      <w:r w:rsidR="00221B79" w:rsidRPr="008A1DB4">
        <w:rPr>
          <w:spacing w:val="-2"/>
          <w:lang w:val="en-US"/>
        </w:rPr>
        <w:t>”</w:t>
      </w:r>
      <w:r w:rsidR="00221B79" w:rsidRPr="008A1DB4">
        <w:rPr>
          <w:rStyle w:val="FootnoteReference"/>
          <w:spacing w:val="-2"/>
          <w:lang w:val="en-US"/>
        </w:rPr>
        <w:footnoteReference w:id="388"/>
      </w:r>
    </w:p>
    <w:p w14:paraId="57939466" w14:textId="77777777" w:rsidR="00221B79" w:rsidRPr="008A1DB4" w:rsidRDefault="00221B79" w:rsidP="00956E97">
      <w:pPr>
        <w:pStyle w:val="ListParagraph"/>
        <w:tabs>
          <w:tab w:val="left" w:pos="567"/>
        </w:tabs>
        <w:contextualSpacing w:val="0"/>
        <w:rPr>
          <w:spacing w:val="-2"/>
          <w:lang w:val="en-US"/>
        </w:rPr>
      </w:pPr>
    </w:p>
    <w:p w14:paraId="53B10012" w14:textId="7CC38913" w:rsidR="00221B79" w:rsidRPr="008A1DB4" w:rsidRDefault="00CB0A77" w:rsidP="00956E97">
      <w:pPr>
        <w:pStyle w:val="PrrafodeSentencia"/>
        <w:rPr>
          <w:spacing w:val="-2"/>
          <w:lang w:val="en-US"/>
        </w:rPr>
      </w:pPr>
      <w:bookmarkStart w:id="1384" w:name="_Ref419394005"/>
      <w:r w:rsidRPr="008A1DB4">
        <w:rPr>
          <w:spacing w:val="-2"/>
          <w:lang w:val="en-US"/>
        </w:rPr>
        <w:t>Based on the foregoing conclusions, the circumstances of this case, and the violations found, the Court considers it pertinent to establish, in equity, compensation for</w:t>
      </w:r>
      <w:r w:rsidR="00953371" w:rsidRPr="008A1DB4">
        <w:rPr>
          <w:spacing w:val="-2"/>
          <w:lang w:val="en-US"/>
        </w:rPr>
        <w:t xml:space="preserve"> </w:t>
      </w:r>
      <w:r w:rsidR="00406E3B" w:rsidRPr="008A1DB4">
        <w:rPr>
          <w:spacing w:val="-2"/>
          <w:lang w:val="en-US"/>
        </w:rPr>
        <w:t xml:space="preserve">pecuniary </w:t>
      </w:r>
      <w:r w:rsidRPr="008A1DB4">
        <w:rPr>
          <w:spacing w:val="-2"/>
          <w:lang w:val="en-US"/>
        </w:rPr>
        <w:t xml:space="preserve">and non-pecuniary </w:t>
      </w:r>
      <w:r w:rsidR="00406E3B" w:rsidRPr="008A1DB4">
        <w:rPr>
          <w:spacing w:val="-2"/>
          <w:lang w:val="en-US"/>
        </w:rPr>
        <w:t>damage</w:t>
      </w:r>
      <w:r w:rsidR="00953371" w:rsidRPr="008A1DB4">
        <w:rPr>
          <w:spacing w:val="-2"/>
          <w:lang w:val="en-US"/>
        </w:rPr>
        <w:t xml:space="preserve"> </w:t>
      </w:r>
      <w:r w:rsidRPr="008A1DB4">
        <w:rPr>
          <w:spacing w:val="-2"/>
          <w:lang w:val="en-US"/>
        </w:rPr>
        <w:t xml:space="preserve">in favor </w:t>
      </w:r>
      <w:r w:rsidR="00B43F84" w:rsidRPr="008A1DB4">
        <w:rPr>
          <w:spacing w:val="-2"/>
          <w:lang w:val="en-US"/>
        </w:rPr>
        <w:t>of Wong</w:t>
      </w:r>
      <w:r w:rsidR="00953371" w:rsidRPr="008A1DB4">
        <w:rPr>
          <w:spacing w:val="-2"/>
          <w:lang w:val="en-US"/>
        </w:rPr>
        <w:t xml:space="preserve"> Ho Wi</w:t>
      </w:r>
      <w:r w:rsidR="00F65DC7" w:rsidRPr="008A1DB4">
        <w:rPr>
          <w:spacing w:val="-2"/>
          <w:lang w:val="en-US"/>
        </w:rPr>
        <w:t>ng</w:t>
      </w:r>
      <w:r w:rsidR="00953371" w:rsidRPr="008A1DB4">
        <w:rPr>
          <w:spacing w:val="-2"/>
          <w:lang w:val="en-US"/>
        </w:rPr>
        <w:t xml:space="preserve"> </w:t>
      </w:r>
      <w:r w:rsidRPr="008A1DB4">
        <w:rPr>
          <w:spacing w:val="-2"/>
          <w:lang w:val="en-US"/>
        </w:rPr>
        <w:t xml:space="preserve">of </w:t>
      </w:r>
      <w:r w:rsidR="002F1744" w:rsidRPr="008A1DB4">
        <w:rPr>
          <w:spacing w:val="-2"/>
          <w:lang w:val="en-US"/>
        </w:rPr>
        <w:t xml:space="preserve">US$ </w:t>
      </w:r>
      <w:r w:rsidR="001B7C1F" w:rsidRPr="008A1DB4">
        <w:rPr>
          <w:spacing w:val="-2"/>
          <w:lang w:val="en-US"/>
        </w:rPr>
        <w:t>3</w:t>
      </w:r>
      <w:r w:rsidRPr="008A1DB4">
        <w:rPr>
          <w:spacing w:val="-2"/>
          <w:lang w:val="en-US"/>
        </w:rPr>
        <w:t>0,000.</w:t>
      </w:r>
      <w:r w:rsidR="00953371" w:rsidRPr="008A1DB4">
        <w:rPr>
          <w:spacing w:val="-2"/>
          <w:lang w:val="en-US"/>
        </w:rPr>
        <w:t>00</w:t>
      </w:r>
      <w:r w:rsidR="009D7D2D" w:rsidRPr="008A1DB4">
        <w:rPr>
          <w:b/>
          <w:spacing w:val="-2"/>
          <w:lang w:val="en-US"/>
        </w:rPr>
        <w:t xml:space="preserve"> </w:t>
      </w:r>
      <w:r w:rsidR="009D7D2D" w:rsidRPr="008A1DB4">
        <w:rPr>
          <w:spacing w:val="-2"/>
          <w:lang w:val="en-US"/>
        </w:rPr>
        <w:t>(t</w:t>
      </w:r>
      <w:r w:rsidRPr="008A1DB4">
        <w:rPr>
          <w:spacing w:val="-2"/>
          <w:lang w:val="en-US"/>
        </w:rPr>
        <w:t>hirty</w:t>
      </w:r>
      <w:r w:rsidR="009D7D2D" w:rsidRPr="008A1DB4">
        <w:rPr>
          <w:spacing w:val="-2"/>
          <w:lang w:val="en-US"/>
        </w:rPr>
        <w:t xml:space="preserve"> </w:t>
      </w:r>
      <w:r w:rsidR="002F1744" w:rsidRPr="008A1DB4">
        <w:rPr>
          <w:spacing w:val="-2"/>
          <w:lang w:val="en-US"/>
        </w:rPr>
        <w:t>thousand United States dollars</w:t>
      </w:r>
      <w:r w:rsidR="009D7D2D" w:rsidRPr="008A1DB4">
        <w:rPr>
          <w:spacing w:val="-2"/>
          <w:lang w:val="en-US"/>
        </w:rPr>
        <w:t>)</w:t>
      </w:r>
      <w:r w:rsidR="00953371" w:rsidRPr="008A1DB4">
        <w:rPr>
          <w:spacing w:val="-2"/>
          <w:lang w:val="en-US"/>
        </w:rPr>
        <w:t xml:space="preserve">. </w:t>
      </w:r>
      <w:r w:rsidRPr="008A1DB4">
        <w:rPr>
          <w:spacing w:val="-2"/>
          <w:lang w:val="en-US"/>
        </w:rPr>
        <w:t xml:space="preserve">This amount must be paid within the relevant time frame established by the Court </w:t>
      </w:r>
      <w:bookmarkEnd w:id="1384"/>
      <w:r w:rsidR="00F65DC7" w:rsidRPr="008A1DB4">
        <w:rPr>
          <w:spacing w:val="-2"/>
          <w:lang w:val="en-US"/>
        </w:rPr>
        <w:t>(</w:t>
      </w:r>
      <w:r w:rsidR="00F65DC7" w:rsidRPr="008A1DB4">
        <w:rPr>
          <w:i/>
          <w:spacing w:val="-2"/>
          <w:lang w:val="en-US"/>
        </w:rPr>
        <w:t>infra</w:t>
      </w:r>
      <w:r w:rsidR="00F65DC7" w:rsidRPr="008A1DB4">
        <w:rPr>
          <w:spacing w:val="-2"/>
          <w:lang w:val="en-US"/>
        </w:rPr>
        <w:t xml:space="preserve"> </w:t>
      </w:r>
      <w:r w:rsidR="00C45946" w:rsidRPr="008A1DB4">
        <w:rPr>
          <w:spacing w:val="-2"/>
          <w:lang w:val="en-US"/>
        </w:rPr>
        <w:t xml:space="preserve">para. </w:t>
      </w:r>
      <w:r w:rsidR="00F65DC7" w:rsidRPr="008A1DB4">
        <w:rPr>
          <w:spacing w:val="-2"/>
          <w:lang w:val="en-US"/>
        </w:rPr>
        <w:fldChar w:fldCharType="begin"/>
      </w:r>
      <w:r w:rsidR="00F65DC7" w:rsidRPr="008A1DB4">
        <w:rPr>
          <w:spacing w:val="-2"/>
          <w:lang w:val="en-US"/>
        </w:rPr>
        <w:instrText xml:space="preserve"> REF _Ref419394072 \r \h </w:instrText>
      </w:r>
      <w:r w:rsidR="00DC41F4" w:rsidRPr="008A1DB4">
        <w:rPr>
          <w:spacing w:val="-2"/>
          <w:lang w:val="en-US"/>
        </w:rPr>
        <w:instrText xml:space="preserve"> \* MERGEFORMAT </w:instrText>
      </w:r>
      <w:r w:rsidR="00F65DC7" w:rsidRPr="008A1DB4">
        <w:rPr>
          <w:spacing w:val="-2"/>
          <w:lang w:val="en-US"/>
        </w:rPr>
      </w:r>
      <w:r w:rsidR="00F65DC7" w:rsidRPr="008A1DB4">
        <w:rPr>
          <w:spacing w:val="-2"/>
          <w:lang w:val="en-US"/>
        </w:rPr>
        <w:fldChar w:fldCharType="separate"/>
      </w:r>
      <w:r w:rsidR="00E961FA" w:rsidRPr="008A1DB4">
        <w:rPr>
          <w:spacing w:val="-2"/>
          <w:lang w:val="en-US"/>
        </w:rPr>
        <w:t>323</w:t>
      </w:r>
      <w:r w:rsidR="00F65DC7" w:rsidRPr="008A1DB4">
        <w:rPr>
          <w:spacing w:val="-2"/>
          <w:lang w:val="en-US"/>
        </w:rPr>
        <w:fldChar w:fldCharType="end"/>
      </w:r>
      <w:r w:rsidR="00F65DC7" w:rsidRPr="008A1DB4">
        <w:rPr>
          <w:spacing w:val="-2"/>
          <w:lang w:val="en-US"/>
        </w:rPr>
        <w:t xml:space="preserve">). </w:t>
      </w:r>
    </w:p>
    <w:p w14:paraId="485C8569" w14:textId="77777777" w:rsidR="00221B79" w:rsidRPr="008A1DB4" w:rsidRDefault="00221B79" w:rsidP="00956E97">
      <w:pPr>
        <w:tabs>
          <w:tab w:val="left" w:pos="567"/>
        </w:tabs>
        <w:rPr>
          <w:b/>
          <w:spacing w:val="-2"/>
          <w:lang w:val="en-US"/>
        </w:rPr>
      </w:pPr>
    </w:p>
    <w:p w14:paraId="2076E2F1" w14:textId="27933C32" w:rsidR="00221B79" w:rsidRPr="008A1DB4" w:rsidRDefault="00E3374A" w:rsidP="00956E97">
      <w:pPr>
        <w:pStyle w:val="Heading1"/>
        <w:rPr>
          <w:spacing w:val="-2"/>
          <w:lang w:val="en-US"/>
        </w:rPr>
      </w:pPr>
      <w:bookmarkStart w:id="1385" w:name="_Toc418074122"/>
      <w:bookmarkStart w:id="1386" w:name="_Toc418503927"/>
      <w:bookmarkStart w:id="1387" w:name="_Toc418912656"/>
      <w:bookmarkStart w:id="1388" w:name="_Toc418912880"/>
      <w:bookmarkStart w:id="1389" w:name="_Toc419394460"/>
      <w:bookmarkStart w:id="1390" w:name="_Toc429490319"/>
      <w:bookmarkStart w:id="1391" w:name="_Toc429503833"/>
      <w:bookmarkStart w:id="1392" w:name="_Toc429504339"/>
      <w:bookmarkStart w:id="1393" w:name="_Toc429678052"/>
      <w:bookmarkStart w:id="1394" w:name="_Toc430017215"/>
      <w:bookmarkStart w:id="1395" w:name="_Toc430017444"/>
      <w:bookmarkStart w:id="1396" w:name="_Toc430018726"/>
      <w:bookmarkStart w:id="1397" w:name="_Toc430125324"/>
      <w:bookmarkStart w:id="1398" w:name="_Toc430125432"/>
      <w:r w:rsidRPr="008A1DB4">
        <w:rPr>
          <w:spacing w:val="-2"/>
          <w:lang w:val="en-US"/>
        </w:rPr>
        <w:t>D</w:t>
      </w:r>
      <w:r w:rsidR="00221B79" w:rsidRPr="008A1DB4">
        <w:rPr>
          <w:spacing w:val="-2"/>
          <w:lang w:val="en-US"/>
        </w:rPr>
        <w:t xml:space="preserve">. </w:t>
      </w:r>
      <w:r w:rsidR="0027284C" w:rsidRPr="008A1DB4">
        <w:rPr>
          <w:spacing w:val="-2"/>
          <w:lang w:val="en-US"/>
        </w:rPr>
        <w:t>Costs and expenses</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14:paraId="0BECEA35" w14:textId="77777777" w:rsidR="00221B79" w:rsidRPr="008A1DB4" w:rsidRDefault="00221B79" w:rsidP="00956E97">
      <w:pPr>
        <w:pStyle w:val="ListParagraph"/>
        <w:tabs>
          <w:tab w:val="left" w:pos="567"/>
        </w:tabs>
        <w:ind w:left="0"/>
        <w:contextualSpacing w:val="0"/>
        <w:rPr>
          <w:spacing w:val="-2"/>
          <w:lang w:val="en-US"/>
        </w:rPr>
      </w:pPr>
    </w:p>
    <w:p w14:paraId="1AE19EA4" w14:textId="025B2974" w:rsidR="00221B79" w:rsidRPr="008A1DB4" w:rsidRDefault="00C45946" w:rsidP="00956E97">
      <w:pPr>
        <w:pStyle w:val="PrrafodeSentencia"/>
        <w:rPr>
          <w:rFonts w:cs="Verdana-Italic"/>
          <w:b/>
          <w:spacing w:val="-2"/>
          <w:lang w:val="en-US" w:bidi="en-US"/>
        </w:rPr>
      </w:pPr>
      <w:r w:rsidRPr="008A1DB4">
        <w:rPr>
          <w:spacing w:val="-2"/>
          <w:lang w:val="en-US"/>
        </w:rPr>
        <w:t>The representative</w:t>
      </w:r>
      <w:r w:rsidR="00221B79" w:rsidRPr="008A1DB4">
        <w:rPr>
          <w:spacing w:val="-2"/>
          <w:lang w:val="en-US"/>
        </w:rPr>
        <w:t xml:space="preserve"> </w:t>
      </w:r>
      <w:r w:rsidR="00CB0A77" w:rsidRPr="008A1DB4">
        <w:rPr>
          <w:spacing w:val="-2"/>
          <w:lang w:val="en-US"/>
        </w:rPr>
        <w:t xml:space="preserve">requested, for </w:t>
      </w:r>
      <w:r w:rsidR="0027284C" w:rsidRPr="008A1DB4">
        <w:rPr>
          <w:spacing w:val="-2"/>
          <w:lang w:val="en-US"/>
        </w:rPr>
        <w:t>costs and expenses</w:t>
      </w:r>
      <w:r w:rsidR="00221B79" w:rsidRPr="008A1DB4">
        <w:rPr>
          <w:spacing w:val="-2"/>
          <w:lang w:val="en-US"/>
        </w:rPr>
        <w:t xml:space="preserve">, </w:t>
      </w:r>
      <w:r w:rsidR="00CB0A77" w:rsidRPr="008A1DB4">
        <w:rPr>
          <w:spacing w:val="-2"/>
          <w:lang w:val="en-US"/>
        </w:rPr>
        <w:t xml:space="preserve">the </w:t>
      </w:r>
      <w:r w:rsidR="0079515C" w:rsidRPr="008A1DB4">
        <w:rPr>
          <w:spacing w:val="-2"/>
          <w:lang w:val="en-US"/>
        </w:rPr>
        <w:t>sum</w:t>
      </w:r>
      <w:r w:rsidR="00CB0A77" w:rsidRPr="008A1DB4">
        <w:rPr>
          <w:spacing w:val="-2"/>
          <w:lang w:val="en-US"/>
        </w:rPr>
        <w:t xml:space="preserve"> of</w:t>
      </w:r>
      <w:r w:rsidR="00221B79" w:rsidRPr="008A1DB4">
        <w:rPr>
          <w:spacing w:val="-2"/>
          <w:lang w:val="en-US"/>
        </w:rPr>
        <w:t xml:space="preserve"> </w:t>
      </w:r>
      <w:r w:rsidR="002F1744" w:rsidRPr="008A1DB4">
        <w:rPr>
          <w:spacing w:val="-2"/>
          <w:lang w:val="en-US"/>
        </w:rPr>
        <w:t xml:space="preserve">US$ </w:t>
      </w:r>
      <w:r w:rsidR="00CB0A77" w:rsidRPr="008A1DB4">
        <w:rPr>
          <w:spacing w:val="-2"/>
          <w:lang w:val="en-US"/>
        </w:rPr>
        <w:t>10,000.</w:t>
      </w:r>
      <w:r w:rsidR="00221B79" w:rsidRPr="008A1DB4">
        <w:rPr>
          <w:spacing w:val="-2"/>
          <w:lang w:val="en-US"/>
        </w:rPr>
        <w:t xml:space="preserve">00 </w:t>
      </w:r>
      <w:r w:rsidR="00CB0A77" w:rsidRPr="008A1DB4">
        <w:rPr>
          <w:spacing w:val="-2"/>
          <w:lang w:val="en-US"/>
        </w:rPr>
        <w:t xml:space="preserve">as honoraria </w:t>
      </w:r>
      <w:r w:rsidR="0079515C" w:rsidRPr="008A1DB4">
        <w:rPr>
          <w:spacing w:val="-2"/>
          <w:lang w:val="en-US"/>
        </w:rPr>
        <w:t>based on</w:t>
      </w:r>
      <w:r w:rsidR="00CB0A77" w:rsidRPr="008A1DB4">
        <w:rPr>
          <w:spacing w:val="-2"/>
          <w:lang w:val="en-US"/>
        </w:rPr>
        <w:t xml:space="preserve"> the </w:t>
      </w:r>
      <w:r w:rsidR="0079515C" w:rsidRPr="008A1DB4">
        <w:rPr>
          <w:spacing w:val="-2"/>
          <w:lang w:val="en-US"/>
        </w:rPr>
        <w:t>professional</w:t>
      </w:r>
      <w:r w:rsidR="00CB0A77" w:rsidRPr="008A1DB4">
        <w:rPr>
          <w:spacing w:val="-2"/>
          <w:lang w:val="en-US"/>
        </w:rPr>
        <w:t xml:space="preserve"> services contract signed by the representative </w:t>
      </w:r>
      <w:r w:rsidR="00B43F84" w:rsidRPr="008A1DB4">
        <w:rPr>
          <w:spacing w:val="-2"/>
          <w:lang w:val="en-US"/>
        </w:rPr>
        <w:t>of Wong</w:t>
      </w:r>
      <w:r w:rsidR="00221B79" w:rsidRPr="008A1DB4">
        <w:rPr>
          <w:spacing w:val="-2"/>
          <w:lang w:val="en-US"/>
        </w:rPr>
        <w:t xml:space="preserve"> Ho Wing</w:t>
      </w:r>
      <w:r w:rsidR="00F36400" w:rsidRPr="008A1DB4">
        <w:rPr>
          <w:spacing w:val="-2"/>
          <w:lang w:val="en-US"/>
        </w:rPr>
        <w:t xml:space="preserve"> and </w:t>
      </w:r>
      <w:r w:rsidR="00221B79" w:rsidRPr="008A1DB4">
        <w:rPr>
          <w:spacing w:val="-2"/>
          <w:lang w:val="en-US"/>
        </w:rPr>
        <w:t xml:space="preserve">He Long Huang; </w:t>
      </w:r>
      <w:r w:rsidR="00CB0A77" w:rsidRPr="008A1DB4">
        <w:rPr>
          <w:spacing w:val="-2"/>
          <w:lang w:val="en-US"/>
        </w:rPr>
        <w:t>as well as</w:t>
      </w:r>
      <w:r w:rsidR="00221B79" w:rsidRPr="008A1DB4">
        <w:rPr>
          <w:spacing w:val="-2"/>
          <w:lang w:val="en-US"/>
        </w:rPr>
        <w:t xml:space="preserve"> </w:t>
      </w:r>
      <w:r w:rsidR="002F1744" w:rsidRPr="008A1DB4">
        <w:rPr>
          <w:spacing w:val="-2"/>
          <w:lang w:val="en-US"/>
        </w:rPr>
        <w:t xml:space="preserve">US$ </w:t>
      </w:r>
      <w:r w:rsidR="00CB0A77" w:rsidRPr="008A1DB4">
        <w:rPr>
          <w:spacing w:val="-2"/>
          <w:lang w:val="en-US"/>
        </w:rPr>
        <w:t xml:space="preserve">6,651.44 for expenses related to the proceedings. With his final written arguments, </w:t>
      </w:r>
      <w:r w:rsidRPr="008A1DB4">
        <w:rPr>
          <w:spacing w:val="-2"/>
          <w:lang w:val="en-US"/>
        </w:rPr>
        <w:t>the representative</w:t>
      </w:r>
      <w:r w:rsidR="00221B79" w:rsidRPr="008A1DB4">
        <w:rPr>
          <w:spacing w:val="-2"/>
          <w:lang w:val="en-US"/>
        </w:rPr>
        <w:t xml:space="preserve"> </w:t>
      </w:r>
      <w:r w:rsidR="00CB0A77" w:rsidRPr="008A1DB4">
        <w:rPr>
          <w:spacing w:val="-2"/>
          <w:lang w:val="en-US"/>
        </w:rPr>
        <w:t xml:space="preserve">also forwarded vouchers for </w:t>
      </w:r>
      <w:r w:rsidR="0079515C" w:rsidRPr="008A1DB4">
        <w:rPr>
          <w:spacing w:val="-2"/>
          <w:lang w:val="en-US"/>
        </w:rPr>
        <w:t>expenses</w:t>
      </w:r>
      <w:r w:rsidR="00CB0A77" w:rsidRPr="008A1DB4">
        <w:rPr>
          <w:spacing w:val="-2"/>
          <w:lang w:val="en-US"/>
        </w:rPr>
        <w:t xml:space="preserve"> incurred following the presentation of the </w:t>
      </w:r>
      <w:r w:rsidRPr="008A1DB4">
        <w:rPr>
          <w:spacing w:val="-2"/>
          <w:lang w:val="en-US"/>
        </w:rPr>
        <w:t>motions and arguments brief</w:t>
      </w:r>
      <w:r w:rsidR="00221B79" w:rsidRPr="008A1DB4">
        <w:rPr>
          <w:spacing w:val="-2"/>
          <w:lang w:val="en-US"/>
        </w:rPr>
        <w:t xml:space="preserve">. </w:t>
      </w:r>
      <w:r w:rsidR="00F36400" w:rsidRPr="008A1DB4">
        <w:rPr>
          <w:spacing w:val="-2"/>
          <w:lang w:val="en-US"/>
        </w:rPr>
        <w:t>The State</w:t>
      </w:r>
      <w:r w:rsidR="00221B79" w:rsidRPr="008A1DB4">
        <w:rPr>
          <w:spacing w:val="-2"/>
          <w:lang w:val="en-US"/>
        </w:rPr>
        <w:t xml:space="preserve"> </w:t>
      </w:r>
      <w:r w:rsidR="00CB0A77" w:rsidRPr="008A1DB4">
        <w:rPr>
          <w:spacing w:val="-2"/>
          <w:lang w:val="en-US"/>
        </w:rPr>
        <w:t>indicated that it was only in order to pay</w:t>
      </w:r>
      <w:r w:rsidR="00221B79" w:rsidRPr="008A1DB4">
        <w:rPr>
          <w:spacing w:val="-2"/>
          <w:lang w:val="en-US"/>
        </w:rPr>
        <w:t xml:space="preserve"> </w:t>
      </w:r>
      <w:r w:rsidR="0027284C" w:rsidRPr="008A1DB4">
        <w:rPr>
          <w:spacing w:val="-2"/>
          <w:lang w:val="en-US"/>
        </w:rPr>
        <w:t>costs and expenses</w:t>
      </w:r>
      <w:r w:rsidR="00221B79" w:rsidRPr="008A1DB4">
        <w:rPr>
          <w:spacing w:val="-2"/>
          <w:lang w:val="en-US"/>
        </w:rPr>
        <w:t xml:space="preserve"> </w:t>
      </w:r>
      <w:r w:rsidR="00CB0A77" w:rsidRPr="008A1DB4">
        <w:rPr>
          <w:spacing w:val="-2"/>
          <w:lang w:val="en-US"/>
        </w:rPr>
        <w:t>if receipts, travel vouchers</w:t>
      </w:r>
      <w:r w:rsidR="00EF13DB">
        <w:rPr>
          <w:spacing w:val="-2"/>
          <w:lang w:val="en-US"/>
        </w:rPr>
        <w:t>,</w:t>
      </w:r>
      <w:r w:rsidR="00CB0A77" w:rsidRPr="008A1DB4">
        <w:rPr>
          <w:spacing w:val="-2"/>
          <w:lang w:val="en-US"/>
        </w:rPr>
        <w:t xml:space="preserve"> a</w:t>
      </w:r>
      <w:r w:rsidR="00EF13DB">
        <w:rPr>
          <w:spacing w:val="-2"/>
          <w:lang w:val="en-US"/>
        </w:rPr>
        <w:t>nd other documents existed proving</w:t>
      </w:r>
      <w:r w:rsidR="00CB0A77" w:rsidRPr="008A1DB4">
        <w:rPr>
          <w:spacing w:val="-2"/>
          <w:lang w:val="en-US"/>
        </w:rPr>
        <w:t xml:space="preserve"> that the disbursement</w:t>
      </w:r>
      <w:r w:rsidR="00EF13DB">
        <w:rPr>
          <w:spacing w:val="-2"/>
          <w:lang w:val="en-US"/>
        </w:rPr>
        <w:t>s were</w:t>
      </w:r>
      <w:r w:rsidR="00CB0A77" w:rsidRPr="008A1DB4">
        <w:rPr>
          <w:spacing w:val="-2"/>
          <w:lang w:val="en-US"/>
        </w:rPr>
        <w:t xml:space="preserve"> made in relation to these proceedings. In</w:t>
      </w:r>
      <w:r w:rsidR="00221B79" w:rsidRPr="008A1DB4">
        <w:rPr>
          <w:spacing w:val="-2"/>
          <w:lang w:val="en-US"/>
        </w:rPr>
        <w:t xml:space="preserve"> particular, </w:t>
      </w:r>
      <w:r w:rsidR="00CB0A77" w:rsidRPr="008A1DB4">
        <w:rPr>
          <w:spacing w:val="-2"/>
          <w:lang w:val="en-US"/>
        </w:rPr>
        <w:t xml:space="preserve">it argued that the need </w:t>
      </w:r>
      <w:r w:rsidR="00EF13DB">
        <w:rPr>
          <w:spacing w:val="-2"/>
          <w:lang w:val="en-US"/>
        </w:rPr>
        <w:t xml:space="preserve">for, </w:t>
      </w:r>
      <w:r w:rsidR="00CB0A77" w:rsidRPr="008A1DB4">
        <w:rPr>
          <w:spacing w:val="-2"/>
          <w:lang w:val="en-US"/>
        </w:rPr>
        <w:t xml:space="preserve">and </w:t>
      </w:r>
      <w:r w:rsidR="00EF13DB">
        <w:rPr>
          <w:spacing w:val="-2"/>
          <w:lang w:val="en-US"/>
        </w:rPr>
        <w:t xml:space="preserve">the </w:t>
      </w:r>
      <w:r w:rsidR="0079515C" w:rsidRPr="008A1DB4">
        <w:rPr>
          <w:spacing w:val="-2"/>
          <w:lang w:val="en-US"/>
        </w:rPr>
        <w:t>reasonableness</w:t>
      </w:r>
      <w:r w:rsidR="00EF13DB">
        <w:rPr>
          <w:spacing w:val="-2"/>
          <w:lang w:val="en-US"/>
        </w:rPr>
        <w:t>,</w:t>
      </w:r>
      <w:r w:rsidR="00CB0A77" w:rsidRPr="008A1DB4">
        <w:rPr>
          <w:spacing w:val="-2"/>
          <w:lang w:val="en-US"/>
        </w:rPr>
        <w:t xml:space="preserve"> of the trips made by different persons, including the underage daughters of </w:t>
      </w:r>
      <w:r w:rsidR="00B43F84" w:rsidRPr="008A1DB4">
        <w:rPr>
          <w:spacing w:val="-2"/>
          <w:lang w:val="en-US"/>
        </w:rPr>
        <w:t>Wong</w:t>
      </w:r>
      <w:r w:rsidR="00221B79" w:rsidRPr="008A1DB4">
        <w:rPr>
          <w:spacing w:val="-2"/>
          <w:lang w:val="en-US"/>
        </w:rPr>
        <w:t xml:space="preserve"> Ho Wing, </w:t>
      </w:r>
      <w:r w:rsidR="00CB0A77" w:rsidRPr="008A1DB4">
        <w:rPr>
          <w:spacing w:val="-2"/>
          <w:lang w:val="en-US"/>
        </w:rPr>
        <w:t xml:space="preserve">for the same event and on numerous occasions, referring to trips to </w:t>
      </w:r>
      <w:r w:rsidR="00EF13DB">
        <w:rPr>
          <w:spacing w:val="-2"/>
          <w:lang w:val="en-US"/>
        </w:rPr>
        <w:t>Washington D.C, San José,</w:t>
      </w:r>
      <w:r w:rsidR="00F36400" w:rsidRPr="008A1DB4">
        <w:rPr>
          <w:spacing w:val="-2"/>
          <w:lang w:val="en-US"/>
        </w:rPr>
        <w:t xml:space="preserve"> and </w:t>
      </w:r>
      <w:r w:rsidR="00221B79" w:rsidRPr="008A1DB4">
        <w:rPr>
          <w:spacing w:val="-2"/>
          <w:lang w:val="en-US"/>
        </w:rPr>
        <w:t xml:space="preserve">Lima. </w:t>
      </w:r>
    </w:p>
    <w:p w14:paraId="5C8FB392"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0FE8D882" w14:textId="651922EB" w:rsidR="00221B79" w:rsidRPr="008A1DB4" w:rsidRDefault="00F36400" w:rsidP="00956E97">
      <w:pPr>
        <w:pStyle w:val="PrrafodeSentencia"/>
        <w:rPr>
          <w:b/>
          <w:spacing w:val="-2"/>
          <w:lang w:val="en-US" w:bidi="en-US"/>
        </w:rPr>
      </w:pPr>
      <w:r w:rsidRPr="008A1DB4">
        <w:rPr>
          <w:spacing w:val="-2"/>
          <w:lang w:val="en-US" w:bidi="en-US"/>
        </w:rPr>
        <w:t>The Court</w:t>
      </w:r>
      <w:r w:rsidR="00221B79" w:rsidRPr="008A1DB4">
        <w:rPr>
          <w:spacing w:val="-2"/>
          <w:lang w:val="en-US" w:bidi="en-US"/>
        </w:rPr>
        <w:t xml:space="preserve"> reitera</w:t>
      </w:r>
      <w:r w:rsidR="00CB0A77" w:rsidRPr="008A1DB4">
        <w:rPr>
          <w:spacing w:val="-2"/>
          <w:lang w:val="en-US" w:bidi="en-US"/>
        </w:rPr>
        <w:t>tes that, pursuant to its case law,</w:t>
      </w:r>
      <w:r w:rsidR="00221B79" w:rsidRPr="008A1DB4">
        <w:rPr>
          <w:rStyle w:val="FootnoteReference"/>
          <w:rFonts w:cs="Verdana-Italic"/>
          <w:spacing w:val="-2"/>
          <w:lang w:val="en-US" w:bidi="en-US"/>
        </w:rPr>
        <w:footnoteReference w:id="389"/>
      </w:r>
      <w:r w:rsidR="00CB0A77" w:rsidRPr="008A1DB4">
        <w:rPr>
          <w:spacing w:val="-2"/>
          <w:lang w:val="en-US" w:bidi="en-US"/>
        </w:rPr>
        <w:t xml:space="preserve"> costs and expenses are part of the concept of reparation, insofar as the actions taken by the victims to obtain justice at both the domestic and the international level, involve expenditures that must be compensated when </w:t>
      </w:r>
      <w:r w:rsidR="00775124" w:rsidRPr="008A1DB4">
        <w:rPr>
          <w:spacing w:val="-2"/>
          <w:lang w:val="en-US" w:bidi="en-US"/>
        </w:rPr>
        <w:t>the international responsibility</w:t>
      </w:r>
      <w:r w:rsidR="00C45946" w:rsidRPr="008A1DB4">
        <w:rPr>
          <w:spacing w:val="-2"/>
          <w:lang w:val="en-US" w:bidi="en-US"/>
        </w:rPr>
        <w:t xml:space="preserve"> of the </w:t>
      </w:r>
      <w:r w:rsidRPr="008A1DB4">
        <w:rPr>
          <w:spacing w:val="-2"/>
          <w:lang w:val="en-US" w:bidi="en-US"/>
        </w:rPr>
        <w:t>State</w:t>
      </w:r>
      <w:r w:rsidR="00221B79" w:rsidRPr="008A1DB4">
        <w:rPr>
          <w:spacing w:val="-2"/>
          <w:lang w:val="en-US" w:bidi="en-US"/>
        </w:rPr>
        <w:t xml:space="preserve"> </w:t>
      </w:r>
      <w:r w:rsidR="00CB0A77" w:rsidRPr="008A1DB4">
        <w:rPr>
          <w:spacing w:val="-2"/>
          <w:lang w:val="en-US" w:bidi="en-US"/>
        </w:rPr>
        <w:t>has been declared in a sentence condemning it. The Court also recalls that the eventual reimbursement of</w:t>
      </w:r>
      <w:r w:rsidR="00221B79" w:rsidRPr="008A1DB4">
        <w:rPr>
          <w:spacing w:val="-2"/>
          <w:lang w:val="en-US" w:bidi="en-US"/>
        </w:rPr>
        <w:t xml:space="preserve"> </w:t>
      </w:r>
      <w:r w:rsidR="0027284C" w:rsidRPr="008A1DB4">
        <w:rPr>
          <w:spacing w:val="-2"/>
          <w:lang w:val="en-US" w:bidi="en-US"/>
        </w:rPr>
        <w:t>costs and expenses</w:t>
      </w:r>
      <w:r w:rsidR="00221B79" w:rsidRPr="008A1DB4">
        <w:rPr>
          <w:spacing w:val="-2"/>
          <w:lang w:val="en-US" w:bidi="en-US"/>
        </w:rPr>
        <w:t xml:space="preserve"> </w:t>
      </w:r>
      <w:r w:rsidR="00CB0A77" w:rsidRPr="008A1DB4">
        <w:rPr>
          <w:spacing w:val="-2"/>
          <w:lang w:val="en-US" w:bidi="en-US"/>
        </w:rPr>
        <w:t>is made based on the disbursements that have been duly proved before the Court.</w:t>
      </w:r>
    </w:p>
    <w:p w14:paraId="72C6BF5A"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4DA7CE84" w14:textId="6FF0BA10" w:rsidR="00221B79" w:rsidRPr="008A1DB4" w:rsidRDefault="00F36400" w:rsidP="00956E97">
      <w:pPr>
        <w:pStyle w:val="PrrafodeSentencia"/>
        <w:rPr>
          <w:b/>
          <w:spacing w:val="-2"/>
          <w:lang w:val="en-US" w:bidi="en-US"/>
        </w:rPr>
      </w:pPr>
      <w:r w:rsidRPr="008A1DB4">
        <w:rPr>
          <w:spacing w:val="-2"/>
          <w:lang w:val="en-US" w:bidi="en-US"/>
        </w:rPr>
        <w:t>The Court</w:t>
      </w:r>
      <w:r w:rsidR="00221B79" w:rsidRPr="008A1DB4">
        <w:rPr>
          <w:spacing w:val="-2"/>
          <w:lang w:val="en-US" w:bidi="en-US"/>
        </w:rPr>
        <w:t xml:space="preserve"> </w:t>
      </w:r>
      <w:r w:rsidR="00CB0A77" w:rsidRPr="008A1DB4">
        <w:rPr>
          <w:spacing w:val="-2"/>
          <w:lang w:val="en-US" w:bidi="en-US"/>
        </w:rPr>
        <w:t xml:space="preserve">notes that </w:t>
      </w:r>
      <w:r w:rsidR="00C45946" w:rsidRPr="008A1DB4">
        <w:rPr>
          <w:spacing w:val="-2"/>
          <w:lang w:val="en-US" w:bidi="en-US"/>
        </w:rPr>
        <w:t>the representative</w:t>
      </w:r>
      <w:r w:rsidR="00221B79" w:rsidRPr="008A1DB4">
        <w:rPr>
          <w:spacing w:val="-2"/>
          <w:lang w:val="en-US" w:bidi="en-US"/>
        </w:rPr>
        <w:t xml:space="preserve"> </w:t>
      </w:r>
      <w:r w:rsidR="00CB0A77" w:rsidRPr="008A1DB4">
        <w:rPr>
          <w:spacing w:val="-2"/>
          <w:lang w:val="en-US" w:bidi="en-US"/>
        </w:rPr>
        <w:t xml:space="preserve">provided </w:t>
      </w:r>
      <w:r w:rsidR="00EF13DB">
        <w:rPr>
          <w:spacing w:val="-2"/>
          <w:lang w:val="en-US" w:bidi="en-US"/>
        </w:rPr>
        <w:t xml:space="preserve">evidence </w:t>
      </w:r>
      <w:r w:rsidR="00CB0A77" w:rsidRPr="008A1DB4">
        <w:rPr>
          <w:spacing w:val="-2"/>
          <w:lang w:val="en-US" w:bidi="en-US"/>
        </w:rPr>
        <w:t xml:space="preserve">corresponding to the expenses for: the professional services contract </w:t>
      </w:r>
      <w:r w:rsidR="00EF13DB">
        <w:rPr>
          <w:spacing w:val="-2"/>
          <w:lang w:val="en-US" w:bidi="en-US"/>
        </w:rPr>
        <w:t>amounting to</w:t>
      </w:r>
      <w:r w:rsidR="00CB0A77" w:rsidRPr="008A1DB4">
        <w:rPr>
          <w:spacing w:val="-2"/>
          <w:lang w:val="en-US" w:bidi="en-US"/>
        </w:rPr>
        <w:t xml:space="preserve"> </w:t>
      </w:r>
      <w:r w:rsidR="00EF13DB">
        <w:rPr>
          <w:spacing w:val="-2"/>
          <w:lang w:val="en-US" w:bidi="en-US"/>
        </w:rPr>
        <w:t>US$</w:t>
      </w:r>
      <w:r w:rsidR="00CB0A77" w:rsidRPr="008A1DB4">
        <w:rPr>
          <w:spacing w:val="-2"/>
          <w:lang w:val="en-US" w:bidi="en-US"/>
        </w:rPr>
        <w:t>10,000.</w:t>
      </w:r>
      <w:r w:rsidR="00221B79" w:rsidRPr="008A1DB4">
        <w:rPr>
          <w:spacing w:val="-2"/>
          <w:lang w:val="en-US" w:bidi="en-US"/>
        </w:rPr>
        <w:t>00</w:t>
      </w:r>
      <w:r w:rsidR="00CB0A77" w:rsidRPr="008A1DB4">
        <w:rPr>
          <w:spacing w:val="-2"/>
          <w:lang w:val="en-US" w:bidi="en-US"/>
        </w:rPr>
        <w:t>,</w:t>
      </w:r>
      <w:r w:rsidR="00221B79" w:rsidRPr="008A1DB4">
        <w:rPr>
          <w:rStyle w:val="FootnoteReference"/>
          <w:rFonts w:cs="Verdana-Italic"/>
          <w:spacing w:val="-2"/>
          <w:lang w:val="en-US" w:bidi="en-US"/>
        </w:rPr>
        <w:footnoteReference w:id="390"/>
      </w:r>
      <w:r w:rsidR="00CB0A77" w:rsidRPr="008A1DB4">
        <w:rPr>
          <w:spacing w:val="-2"/>
          <w:lang w:val="en-US" w:bidi="en-US"/>
        </w:rPr>
        <w:t xml:space="preserve"> sending correspondence to </w:t>
      </w:r>
      <w:r w:rsidRPr="008A1DB4">
        <w:rPr>
          <w:spacing w:val="-2"/>
          <w:lang w:val="en-US" w:bidi="en-US"/>
        </w:rPr>
        <w:t>the Inter-American Commission</w:t>
      </w:r>
      <w:r w:rsidR="00221B79" w:rsidRPr="008A1DB4">
        <w:rPr>
          <w:spacing w:val="-2"/>
          <w:lang w:val="en-US" w:bidi="en-US"/>
        </w:rPr>
        <w:t xml:space="preserve"> </w:t>
      </w:r>
      <w:r w:rsidR="00CB0A77" w:rsidRPr="008A1DB4">
        <w:rPr>
          <w:spacing w:val="-2"/>
          <w:lang w:val="en-US" w:bidi="en-US"/>
        </w:rPr>
        <w:t xml:space="preserve">for </w:t>
      </w:r>
      <w:r w:rsidR="00EF13DB">
        <w:rPr>
          <w:spacing w:val="-2"/>
          <w:lang w:val="en-US" w:bidi="en-US"/>
        </w:rPr>
        <w:t>US$</w:t>
      </w:r>
      <w:r w:rsidR="00CB0A77" w:rsidRPr="008A1DB4">
        <w:rPr>
          <w:spacing w:val="-2"/>
          <w:lang w:val="en-US" w:bidi="en-US"/>
        </w:rPr>
        <w:t>138.</w:t>
      </w:r>
      <w:r w:rsidR="00221B79" w:rsidRPr="008A1DB4">
        <w:rPr>
          <w:spacing w:val="-2"/>
          <w:lang w:val="en-US" w:bidi="en-US"/>
        </w:rPr>
        <w:t>30</w:t>
      </w:r>
      <w:r w:rsidR="00CB0A77" w:rsidRPr="008A1DB4">
        <w:rPr>
          <w:spacing w:val="-2"/>
          <w:lang w:val="en-US" w:bidi="en-US"/>
        </w:rPr>
        <w:t>,</w:t>
      </w:r>
      <w:r w:rsidR="00221B79" w:rsidRPr="008A1DB4">
        <w:rPr>
          <w:rStyle w:val="FootnoteReference"/>
          <w:rFonts w:cs="Verdana-Italic"/>
          <w:spacing w:val="-2"/>
          <w:lang w:val="en-US" w:bidi="en-US"/>
        </w:rPr>
        <w:footnoteReference w:id="391"/>
      </w:r>
      <w:r w:rsidR="00CB0A77" w:rsidRPr="008A1DB4">
        <w:rPr>
          <w:spacing w:val="-2"/>
          <w:lang w:val="en-US" w:bidi="en-US"/>
        </w:rPr>
        <w:t xml:space="preserve"> payment of airfares for the family of </w:t>
      </w:r>
      <w:r w:rsidR="00B43F84" w:rsidRPr="008A1DB4">
        <w:rPr>
          <w:spacing w:val="-2"/>
          <w:lang w:val="en-US" w:bidi="en-US"/>
        </w:rPr>
        <w:t>Wong</w:t>
      </w:r>
      <w:r w:rsidR="00221B79" w:rsidRPr="008A1DB4">
        <w:rPr>
          <w:spacing w:val="-2"/>
          <w:lang w:val="en-US" w:bidi="en-US"/>
        </w:rPr>
        <w:t xml:space="preserve"> Ho Wing </w:t>
      </w:r>
      <w:r w:rsidR="00CB0A77" w:rsidRPr="008A1DB4">
        <w:rPr>
          <w:spacing w:val="-2"/>
          <w:lang w:val="en-US" w:bidi="en-US"/>
        </w:rPr>
        <w:t>to take part in the hearing before</w:t>
      </w:r>
      <w:r w:rsidR="00221B79" w:rsidRPr="008A1DB4">
        <w:rPr>
          <w:spacing w:val="-2"/>
          <w:lang w:val="en-US" w:bidi="en-US"/>
        </w:rPr>
        <w:t xml:space="preserve"> </w:t>
      </w:r>
      <w:r w:rsidRPr="008A1DB4">
        <w:rPr>
          <w:spacing w:val="-2"/>
          <w:lang w:val="en-US" w:bidi="en-US"/>
        </w:rPr>
        <w:t>the Court</w:t>
      </w:r>
      <w:r w:rsidR="00221B79" w:rsidRPr="008A1DB4">
        <w:rPr>
          <w:spacing w:val="-2"/>
          <w:lang w:val="en-US" w:bidi="en-US"/>
        </w:rPr>
        <w:t xml:space="preserve"> </w:t>
      </w:r>
      <w:r w:rsidR="00CB0A77" w:rsidRPr="008A1DB4">
        <w:rPr>
          <w:spacing w:val="-2"/>
          <w:lang w:val="en-US" w:bidi="en-US"/>
        </w:rPr>
        <w:t>in February 2011 f</w:t>
      </w:r>
      <w:r w:rsidR="00221B79" w:rsidRPr="008A1DB4">
        <w:rPr>
          <w:spacing w:val="-2"/>
          <w:lang w:val="en-US" w:bidi="en-US"/>
        </w:rPr>
        <w:t xml:space="preserve">or </w:t>
      </w:r>
      <w:r w:rsidR="00EF13DB">
        <w:rPr>
          <w:spacing w:val="-2"/>
          <w:lang w:val="en-US" w:bidi="en-US"/>
        </w:rPr>
        <w:t>US$</w:t>
      </w:r>
      <w:r w:rsidR="00CB0A77" w:rsidRPr="008A1DB4">
        <w:rPr>
          <w:spacing w:val="-2"/>
          <w:lang w:val="en-US" w:bidi="en-US"/>
        </w:rPr>
        <w:t>2,751.</w:t>
      </w:r>
      <w:r w:rsidR="00221B79" w:rsidRPr="008A1DB4">
        <w:rPr>
          <w:spacing w:val="-2"/>
          <w:lang w:val="en-US" w:bidi="en-US"/>
        </w:rPr>
        <w:t>80</w:t>
      </w:r>
      <w:r w:rsidR="00CB0A77" w:rsidRPr="008A1DB4">
        <w:rPr>
          <w:spacing w:val="-2"/>
          <w:lang w:val="en-US" w:bidi="en-US"/>
        </w:rPr>
        <w:t>,</w:t>
      </w:r>
      <w:r w:rsidR="00221B79" w:rsidRPr="008A1DB4">
        <w:rPr>
          <w:rStyle w:val="FootnoteReference"/>
          <w:rFonts w:cs="Verdana-Italic"/>
          <w:spacing w:val="-2"/>
          <w:lang w:val="en-US" w:bidi="en-US"/>
        </w:rPr>
        <w:footnoteReference w:id="392"/>
      </w:r>
      <w:r w:rsidR="00CB0A77" w:rsidRPr="008A1DB4">
        <w:rPr>
          <w:spacing w:val="-2"/>
          <w:lang w:val="en-US" w:bidi="en-US"/>
        </w:rPr>
        <w:t xml:space="preserve"> accommodation in Washington, D.C. for his family and lawyer to take part in the hearing before </w:t>
      </w:r>
      <w:r w:rsidR="0079515C" w:rsidRPr="008A1DB4">
        <w:rPr>
          <w:spacing w:val="-2"/>
          <w:lang w:val="en-US" w:bidi="en-US"/>
        </w:rPr>
        <w:t>the</w:t>
      </w:r>
      <w:r w:rsidR="00CB0A77" w:rsidRPr="008A1DB4">
        <w:rPr>
          <w:spacing w:val="-2"/>
          <w:lang w:val="en-US" w:bidi="en-US"/>
        </w:rPr>
        <w:t xml:space="preserve"> </w:t>
      </w:r>
      <w:r w:rsidRPr="008A1DB4">
        <w:rPr>
          <w:spacing w:val="-2"/>
          <w:lang w:val="en-US" w:bidi="en-US"/>
        </w:rPr>
        <w:t>Inter-American Commission</w:t>
      </w:r>
      <w:r w:rsidR="00221B79" w:rsidRPr="008A1DB4">
        <w:rPr>
          <w:spacing w:val="-2"/>
          <w:lang w:val="en-US" w:bidi="en-US"/>
        </w:rPr>
        <w:t xml:space="preserve"> </w:t>
      </w:r>
      <w:r w:rsidR="00CB0A77" w:rsidRPr="008A1DB4">
        <w:rPr>
          <w:spacing w:val="-2"/>
          <w:lang w:val="en-US" w:bidi="en-US"/>
        </w:rPr>
        <w:t>in October 2010 f</w:t>
      </w:r>
      <w:r w:rsidR="00221B79" w:rsidRPr="008A1DB4">
        <w:rPr>
          <w:spacing w:val="-2"/>
          <w:lang w:val="en-US" w:bidi="en-US"/>
        </w:rPr>
        <w:t xml:space="preserve">or </w:t>
      </w:r>
      <w:r w:rsidR="00EF13DB">
        <w:rPr>
          <w:spacing w:val="-2"/>
          <w:lang w:val="en-US" w:bidi="en-US"/>
        </w:rPr>
        <w:t>US$</w:t>
      </w:r>
      <w:r w:rsidR="00CB0A77" w:rsidRPr="008A1DB4">
        <w:rPr>
          <w:spacing w:val="-2"/>
          <w:lang w:val="en-US" w:bidi="en-US"/>
        </w:rPr>
        <w:t>482.</w:t>
      </w:r>
      <w:r w:rsidR="00221B79" w:rsidRPr="008A1DB4">
        <w:rPr>
          <w:spacing w:val="-2"/>
          <w:lang w:val="en-US" w:bidi="en-US"/>
        </w:rPr>
        <w:t>90</w:t>
      </w:r>
      <w:r w:rsidR="00CB0A77" w:rsidRPr="008A1DB4">
        <w:rPr>
          <w:spacing w:val="-2"/>
          <w:lang w:val="en-US" w:bidi="en-US"/>
        </w:rPr>
        <w:t>,</w:t>
      </w:r>
      <w:r w:rsidR="00221B79" w:rsidRPr="008A1DB4">
        <w:rPr>
          <w:rStyle w:val="FootnoteReference"/>
          <w:rFonts w:cs="Verdana-Italic"/>
          <w:spacing w:val="-2"/>
          <w:lang w:val="en-US" w:bidi="en-US"/>
        </w:rPr>
        <w:footnoteReference w:id="393"/>
      </w:r>
      <w:r w:rsidR="00CB0A77" w:rsidRPr="008A1DB4">
        <w:rPr>
          <w:spacing w:val="-2"/>
          <w:lang w:val="en-US" w:bidi="en-US"/>
        </w:rPr>
        <w:t xml:space="preserve"> payment of airfare</w:t>
      </w:r>
      <w:r w:rsidR="00EF13DB">
        <w:rPr>
          <w:spacing w:val="-2"/>
          <w:lang w:val="en-US" w:bidi="en-US"/>
        </w:rPr>
        <w:t>s</w:t>
      </w:r>
      <w:r w:rsidR="00CB0A77" w:rsidRPr="008A1DB4">
        <w:rPr>
          <w:spacing w:val="-2"/>
          <w:lang w:val="en-US" w:bidi="en-US"/>
        </w:rPr>
        <w:t xml:space="preserve"> for the family to participate in hearings before </w:t>
      </w:r>
      <w:r w:rsidRPr="008A1DB4">
        <w:rPr>
          <w:spacing w:val="-2"/>
          <w:lang w:val="en-US" w:bidi="en-US"/>
        </w:rPr>
        <w:t>the Inter-American Commission</w:t>
      </w:r>
      <w:r w:rsidR="00221B79" w:rsidRPr="008A1DB4">
        <w:rPr>
          <w:spacing w:val="-2"/>
          <w:lang w:val="en-US" w:bidi="en-US"/>
        </w:rPr>
        <w:t xml:space="preserve"> </w:t>
      </w:r>
      <w:r w:rsidR="00CB0A77" w:rsidRPr="008A1DB4">
        <w:rPr>
          <w:spacing w:val="-2"/>
          <w:lang w:val="en-US" w:bidi="en-US"/>
        </w:rPr>
        <w:t>in October</w:t>
      </w:r>
      <w:r w:rsidR="00221B79" w:rsidRPr="008A1DB4">
        <w:rPr>
          <w:spacing w:val="-2"/>
          <w:lang w:val="en-US" w:bidi="en-US"/>
        </w:rPr>
        <w:t xml:space="preserve"> 2010</w:t>
      </w:r>
      <w:r w:rsidRPr="008A1DB4">
        <w:rPr>
          <w:spacing w:val="-2"/>
          <w:lang w:val="en-US" w:bidi="en-US"/>
        </w:rPr>
        <w:t xml:space="preserve"> and </w:t>
      </w:r>
      <w:r w:rsidR="00CB0A77" w:rsidRPr="008A1DB4">
        <w:rPr>
          <w:spacing w:val="-2"/>
          <w:lang w:val="en-US" w:bidi="en-US"/>
        </w:rPr>
        <w:t>March 2012 f</w:t>
      </w:r>
      <w:r w:rsidR="00221B79" w:rsidRPr="008A1DB4">
        <w:rPr>
          <w:spacing w:val="-2"/>
          <w:lang w:val="en-US" w:bidi="en-US"/>
        </w:rPr>
        <w:t xml:space="preserve">or </w:t>
      </w:r>
      <w:r w:rsidR="00EF13DB">
        <w:rPr>
          <w:spacing w:val="-2"/>
          <w:lang w:val="en-US" w:bidi="en-US"/>
        </w:rPr>
        <w:t>US$</w:t>
      </w:r>
      <w:r w:rsidR="00CB0A77" w:rsidRPr="008A1DB4">
        <w:rPr>
          <w:spacing w:val="-2"/>
          <w:lang w:val="en-US" w:bidi="en-US"/>
        </w:rPr>
        <w:t>1,982.</w:t>
      </w:r>
      <w:r w:rsidR="00221B79" w:rsidRPr="008A1DB4">
        <w:rPr>
          <w:spacing w:val="-2"/>
          <w:lang w:val="en-US" w:bidi="en-US"/>
        </w:rPr>
        <w:t>80</w:t>
      </w:r>
      <w:r w:rsidR="00CB0A77" w:rsidRPr="008A1DB4">
        <w:rPr>
          <w:spacing w:val="-2"/>
          <w:lang w:val="en-US" w:bidi="en-US"/>
        </w:rPr>
        <w:t>,</w:t>
      </w:r>
      <w:r w:rsidR="00221B79" w:rsidRPr="008A1DB4">
        <w:rPr>
          <w:rStyle w:val="FootnoteReference"/>
          <w:rFonts w:cs="Verdana-Italic"/>
          <w:spacing w:val="-2"/>
          <w:lang w:val="en-US" w:bidi="en-US"/>
        </w:rPr>
        <w:footnoteReference w:id="394"/>
      </w:r>
      <w:r w:rsidR="00EF13DB">
        <w:rPr>
          <w:spacing w:val="-2"/>
          <w:lang w:val="en-US" w:bidi="en-US"/>
        </w:rPr>
        <w:t xml:space="preserve"> accommodation for</w:t>
      </w:r>
      <w:r w:rsidR="00CB0A77" w:rsidRPr="008A1DB4">
        <w:rPr>
          <w:spacing w:val="-2"/>
          <w:lang w:val="en-US" w:bidi="en-US"/>
        </w:rPr>
        <w:t xml:space="preserve"> Wong Ho Wing’s brother to take part in a hearing </w:t>
      </w:r>
      <w:r w:rsidR="00CB0A77" w:rsidRPr="008A1DB4">
        <w:rPr>
          <w:spacing w:val="-2"/>
          <w:lang w:val="en-US" w:bidi="en-US"/>
        </w:rPr>
        <w:lastRenderedPageBreak/>
        <w:t xml:space="preserve">before </w:t>
      </w:r>
      <w:r w:rsidRPr="008A1DB4">
        <w:rPr>
          <w:spacing w:val="-2"/>
          <w:lang w:val="en-US" w:bidi="en-US"/>
        </w:rPr>
        <w:t>the Inter-American Commission</w:t>
      </w:r>
      <w:r w:rsidR="00CB0A77" w:rsidRPr="008A1DB4">
        <w:rPr>
          <w:spacing w:val="-2"/>
          <w:lang w:val="en-US" w:bidi="en-US"/>
        </w:rPr>
        <w:t xml:space="preserve"> f</w:t>
      </w:r>
      <w:r w:rsidR="00EF13DB">
        <w:rPr>
          <w:spacing w:val="-2"/>
          <w:lang w:val="en-US" w:bidi="en-US"/>
        </w:rPr>
        <w:t>or US$</w:t>
      </w:r>
      <w:r w:rsidR="002F1744" w:rsidRPr="008A1DB4">
        <w:rPr>
          <w:spacing w:val="-2"/>
          <w:lang w:val="en-US" w:bidi="en-US"/>
        </w:rPr>
        <w:t>429.</w:t>
      </w:r>
      <w:r w:rsidR="00221B79" w:rsidRPr="008A1DB4">
        <w:rPr>
          <w:spacing w:val="-2"/>
          <w:lang w:val="en-US" w:bidi="en-US"/>
        </w:rPr>
        <w:t>60</w:t>
      </w:r>
      <w:r w:rsidR="00CB0A77" w:rsidRPr="008A1DB4">
        <w:rPr>
          <w:spacing w:val="-2"/>
          <w:lang w:val="en-US" w:bidi="en-US"/>
        </w:rPr>
        <w:t>,</w:t>
      </w:r>
      <w:r w:rsidR="00221B79" w:rsidRPr="008A1DB4">
        <w:rPr>
          <w:rStyle w:val="FootnoteReference"/>
          <w:rFonts w:cs="Verdana-Italic"/>
          <w:spacing w:val="-2"/>
          <w:lang w:val="en-US" w:bidi="en-US"/>
        </w:rPr>
        <w:footnoteReference w:id="395"/>
      </w:r>
      <w:r w:rsidRPr="008A1DB4">
        <w:rPr>
          <w:spacing w:val="-2"/>
          <w:lang w:val="en-US" w:bidi="en-US"/>
        </w:rPr>
        <w:t xml:space="preserve"> and </w:t>
      </w:r>
      <w:r w:rsidR="00221B79" w:rsidRPr="008A1DB4">
        <w:rPr>
          <w:spacing w:val="-2"/>
          <w:lang w:val="en-US" w:bidi="en-US"/>
        </w:rPr>
        <w:t>pa</w:t>
      </w:r>
      <w:r w:rsidR="00CB0A77" w:rsidRPr="008A1DB4">
        <w:rPr>
          <w:spacing w:val="-2"/>
          <w:lang w:val="en-US" w:bidi="en-US"/>
        </w:rPr>
        <w:t>yment of airfare</w:t>
      </w:r>
      <w:r w:rsidR="00EF13DB">
        <w:rPr>
          <w:spacing w:val="-2"/>
          <w:lang w:val="en-US" w:bidi="en-US"/>
        </w:rPr>
        <w:t>s</w:t>
      </w:r>
      <w:r w:rsidR="00CB0A77" w:rsidRPr="008A1DB4">
        <w:rPr>
          <w:spacing w:val="-2"/>
          <w:lang w:val="en-US" w:bidi="en-US"/>
        </w:rPr>
        <w:t xml:space="preserve"> for Wong Ho Wing’s family between </w:t>
      </w:r>
      <w:r w:rsidR="00221B79" w:rsidRPr="008A1DB4">
        <w:rPr>
          <w:spacing w:val="-2"/>
          <w:lang w:val="en-US" w:bidi="en-US"/>
        </w:rPr>
        <w:t>Los Angeles</w:t>
      </w:r>
      <w:r w:rsidRPr="008A1DB4">
        <w:rPr>
          <w:spacing w:val="-2"/>
          <w:lang w:val="en-US" w:bidi="en-US"/>
        </w:rPr>
        <w:t xml:space="preserve"> and </w:t>
      </w:r>
      <w:r w:rsidR="00CB0A77" w:rsidRPr="008A1DB4">
        <w:rPr>
          <w:spacing w:val="-2"/>
          <w:lang w:val="en-US" w:bidi="en-US"/>
        </w:rPr>
        <w:t>Lima f</w:t>
      </w:r>
      <w:r w:rsidR="00221B79" w:rsidRPr="008A1DB4">
        <w:rPr>
          <w:spacing w:val="-2"/>
          <w:lang w:val="en-US" w:bidi="en-US"/>
        </w:rPr>
        <w:t xml:space="preserve">or </w:t>
      </w:r>
      <w:r w:rsidR="00EF13DB">
        <w:rPr>
          <w:spacing w:val="-2"/>
          <w:lang w:val="en-US" w:bidi="en-US"/>
        </w:rPr>
        <w:t>US$</w:t>
      </w:r>
      <w:r w:rsidR="002F1744" w:rsidRPr="008A1DB4">
        <w:rPr>
          <w:spacing w:val="-2"/>
          <w:lang w:val="en-US" w:bidi="en-US"/>
        </w:rPr>
        <w:t>4,905.</w:t>
      </w:r>
      <w:r w:rsidR="00221B79" w:rsidRPr="008A1DB4">
        <w:rPr>
          <w:spacing w:val="-2"/>
          <w:lang w:val="en-US" w:bidi="en-US"/>
        </w:rPr>
        <w:t>55</w:t>
      </w:r>
      <w:r w:rsidR="00CB0A77" w:rsidRPr="008A1DB4">
        <w:rPr>
          <w:spacing w:val="-2"/>
          <w:lang w:val="en-US" w:bidi="en-US"/>
        </w:rPr>
        <w:t>.</w:t>
      </w:r>
      <w:r w:rsidR="00221B79" w:rsidRPr="008A1DB4">
        <w:rPr>
          <w:rStyle w:val="FootnoteReference"/>
          <w:rFonts w:cs="Verdana-Italic"/>
          <w:spacing w:val="-2"/>
          <w:lang w:val="en-US" w:bidi="en-US"/>
        </w:rPr>
        <w:footnoteReference w:id="396"/>
      </w:r>
      <w:r w:rsidR="00CB0A77" w:rsidRPr="008A1DB4">
        <w:rPr>
          <w:spacing w:val="-2"/>
          <w:lang w:val="en-US" w:bidi="en-US"/>
        </w:rPr>
        <w:t xml:space="preserve"> Also, with his </w:t>
      </w:r>
      <w:r w:rsidR="00406E3B" w:rsidRPr="008A1DB4">
        <w:rPr>
          <w:spacing w:val="-2"/>
          <w:lang w:val="en-US" w:bidi="en-US"/>
        </w:rPr>
        <w:t xml:space="preserve">final </w:t>
      </w:r>
      <w:r w:rsidR="00CB0A77" w:rsidRPr="008A1DB4">
        <w:rPr>
          <w:spacing w:val="-2"/>
          <w:lang w:val="en-US" w:bidi="en-US"/>
        </w:rPr>
        <w:t xml:space="preserve">written </w:t>
      </w:r>
      <w:r w:rsidR="00406E3B" w:rsidRPr="008A1DB4">
        <w:rPr>
          <w:spacing w:val="-2"/>
          <w:lang w:val="en-US" w:bidi="en-US"/>
        </w:rPr>
        <w:t>argu</w:t>
      </w:r>
      <w:r w:rsidR="00CB0A77" w:rsidRPr="008A1DB4">
        <w:rPr>
          <w:spacing w:val="-2"/>
          <w:lang w:val="en-US" w:bidi="en-US"/>
        </w:rPr>
        <w:t>ments,</w:t>
      </w:r>
      <w:r w:rsidR="00406E3B" w:rsidRPr="008A1DB4">
        <w:rPr>
          <w:spacing w:val="-2"/>
          <w:lang w:val="en-US" w:bidi="en-US"/>
        </w:rPr>
        <w:t xml:space="preserve"> </w:t>
      </w:r>
      <w:r w:rsidR="00C45946" w:rsidRPr="008A1DB4">
        <w:rPr>
          <w:spacing w:val="-2"/>
          <w:lang w:val="en-US" w:bidi="en-US"/>
        </w:rPr>
        <w:t>the representative</w:t>
      </w:r>
      <w:r w:rsidR="00221B79" w:rsidRPr="008A1DB4">
        <w:rPr>
          <w:spacing w:val="-2"/>
          <w:lang w:val="en-US" w:bidi="en-US"/>
        </w:rPr>
        <w:t xml:space="preserve"> </w:t>
      </w:r>
      <w:r w:rsidR="00406E3B" w:rsidRPr="008A1DB4">
        <w:rPr>
          <w:spacing w:val="-2"/>
          <w:lang w:val="en-US" w:bidi="en-US"/>
        </w:rPr>
        <w:t xml:space="preserve">provided evidence corresponding to the payment of legal advisory services </w:t>
      </w:r>
      <w:r w:rsidR="00EF13DB">
        <w:rPr>
          <w:spacing w:val="-2"/>
          <w:lang w:val="en-US" w:bidi="en-US"/>
        </w:rPr>
        <w:t>in the amount</w:t>
      </w:r>
      <w:r w:rsidR="00406E3B" w:rsidRPr="008A1DB4">
        <w:rPr>
          <w:spacing w:val="-2"/>
          <w:lang w:val="en-US" w:bidi="en-US"/>
        </w:rPr>
        <w:t xml:space="preserve"> of S/.</w:t>
      </w:r>
      <w:r w:rsidR="002F1744" w:rsidRPr="008A1DB4">
        <w:rPr>
          <w:spacing w:val="-2"/>
          <w:lang w:val="en-US" w:bidi="en-US"/>
        </w:rPr>
        <w:t>12,500.</w:t>
      </w:r>
      <w:r w:rsidR="00221B79" w:rsidRPr="008A1DB4">
        <w:rPr>
          <w:spacing w:val="-2"/>
          <w:lang w:val="en-US" w:bidi="en-US"/>
        </w:rPr>
        <w:t>00</w:t>
      </w:r>
      <w:r w:rsidR="00CB0A77" w:rsidRPr="008A1DB4">
        <w:rPr>
          <w:spacing w:val="-2"/>
          <w:lang w:val="en-US" w:bidi="en-US"/>
        </w:rPr>
        <w:t>,</w:t>
      </w:r>
      <w:r w:rsidR="00221B79" w:rsidRPr="008A1DB4">
        <w:rPr>
          <w:rStyle w:val="FootnoteReference"/>
          <w:rFonts w:cs="Verdana-Italic"/>
          <w:spacing w:val="-2"/>
          <w:lang w:val="en-US" w:bidi="en-US"/>
        </w:rPr>
        <w:footnoteReference w:id="397"/>
      </w:r>
      <w:r w:rsidR="00CB0A77" w:rsidRPr="008A1DB4">
        <w:rPr>
          <w:spacing w:val="-2"/>
          <w:lang w:val="en-US" w:bidi="en-US"/>
        </w:rPr>
        <w:t xml:space="preserve"> payment </w:t>
      </w:r>
      <w:r w:rsidR="00EF13DB">
        <w:rPr>
          <w:spacing w:val="-2"/>
          <w:lang w:val="en-US" w:bidi="en-US"/>
        </w:rPr>
        <w:t>of</w:t>
      </w:r>
      <w:r w:rsidR="00221B79" w:rsidRPr="008A1DB4">
        <w:rPr>
          <w:spacing w:val="-2"/>
          <w:lang w:val="en-US" w:bidi="en-US"/>
        </w:rPr>
        <w:t xml:space="preserve"> </w:t>
      </w:r>
      <w:r w:rsidR="00406E3B" w:rsidRPr="008A1DB4">
        <w:rPr>
          <w:spacing w:val="-2"/>
          <w:lang w:val="en-US" w:bidi="en-US"/>
        </w:rPr>
        <w:t>US$</w:t>
      </w:r>
      <w:r w:rsidR="002F1744" w:rsidRPr="008A1DB4">
        <w:rPr>
          <w:spacing w:val="-2"/>
          <w:lang w:val="en-US" w:bidi="en-US"/>
        </w:rPr>
        <w:t>2,</w:t>
      </w:r>
      <w:r w:rsidR="00221B79" w:rsidRPr="008A1DB4">
        <w:rPr>
          <w:spacing w:val="-2"/>
          <w:lang w:val="en-US" w:bidi="en-US"/>
        </w:rPr>
        <w:t>000</w:t>
      </w:r>
      <w:r w:rsidR="00406E3B" w:rsidRPr="008A1DB4">
        <w:rPr>
          <w:spacing w:val="-2"/>
          <w:lang w:val="en-US" w:bidi="en-US"/>
        </w:rPr>
        <w:t>.00</w:t>
      </w:r>
      <w:r w:rsidR="00EF13DB">
        <w:rPr>
          <w:spacing w:val="-2"/>
          <w:lang w:val="en-US" w:bidi="en-US"/>
        </w:rPr>
        <w:t xml:space="preserve"> for</w:t>
      </w:r>
      <w:r w:rsidR="00EF13DB" w:rsidRPr="00EF13DB">
        <w:rPr>
          <w:spacing w:val="-2"/>
          <w:lang w:val="en-US" w:bidi="en-US"/>
        </w:rPr>
        <w:t xml:space="preserve"> </w:t>
      </w:r>
      <w:r w:rsidR="00EF13DB" w:rsidRPr="008A1DB4">
        <w:rPr>
          <w:spacing w:val="-2"/>
          <w:lang w:val="en-US" w:bidi="en-US"/>
        </w:rPr>
        <w:t>a psychological opinion</w:t>
      </w:r>
      <w:r w:rsidR="00CB0A77" w:rsidRPr="008A1DB4">
        <w:rPr>
          <w:spacing w:val="-2"/>
          <w:lang w:val="en-US" w:bidi="en-US"/>
        </w:rPr>
        <w:t>,</w:t>
      </w:r>
      <w:r w:rsidR="00221B79" w:rsidRPr="008A1DB4">
        <w:rPr>
          <w:rStyle w:val="FootnoteReference"/>
          <w:rFonts w:cs="Verdana-Italic"/>
          <w:spacing w:val="-2"/>
          <w:lang w:val="en-US" w:bidi="en-US"/>
        </w:rPr>
        <w:footnoteReference w:id="398"/>
      </w:r>
      <w:r w:rsidRPr="008A1DB4">
        <w:rPr>
          <w:spacing w:val="-2"/>
          <w:lang w:val="en-US" w:bidi="en-US"/>
        </w:rPr>
        <w:t xml:space="preserve"> and </w:t>
      </w:r>
      <w:r w:rsidR="00221B79" w:rsidRPr="008A1DB4">
        <w:rPr>
          <w:spacing w:val="-2"/>
          <w:lang w:val="en-US" w:bidi="en-US"/>
        </w:rPr>
        <w:t>pa</w:t>
      </w:r>
      <w:r w:rsidR="00406E3B" w:rsidRPr="008A1DB4">
        <w:rPr>
          <w:spacing w:val="-2"/>
          <w:lang w:val="en-US" w:bidi="en-US"/>
        </w:rPr>
        <w:t xml:space="preserve">yment of </w:t>
      </w:r>
      <w:r w:rsidR="00EF13DB" w:rsidRPr="008A1DB4">
        <w:rPr>
          <w:spacing w:val="-2"/>
          <w:lang w:val="en-US" w:bidi="en-US"/>
        </w:rPr>
        <w:t>S/.1,875.00</w:t>
      </w:r>
      <w:r w:rsidR="00EF13DB">
        <w:rPr>
          <w:spacing w:val="-2"/>
          <w:lang w:val="en-US" w:bidi="en-US"/>
        </w:rPr>
        <w:t xml:space="preserve"> for the </w:t>
      </w:r>
      <w:r w:rsidR="00406E3B" w:rsidRPr="008A1DB4">
        <w:rPr>
          <w:spacing w:val="-2"/>
          <w:lang w:val="en-US" w:bidi="en-US"/>
        </w:rPr>
        <w:t xml:space="preserve">professional </w:t>
      </w:r>
      <w:r w:rsidR="00EF13DB">
        <w:rPr>
          <w:spacing w:val="-2"/>
          <w:lang w:val="en-US" w:bidi="en-US"/>
        </w:rPr>
        <w:t>fees</w:t>
      </w:r>
      <w:r w:rsidR="00406E3B" w:rsidRPr="008A1DB4">
        <w:rPr>
          <w:spacing w:val="-2"/>
          <w:lang w:val="en-US" w:bidi="en-US"/>
        </w:rPr>
        <w:t xml:space="preserve"> of the </w:t>
      </w:r>
      <w:r w:rsidR="00EF13DB">
        <w:rPr>
          <w:spacing w:val="-2"/>
          <w:lang w:val="en-US" w:bidi="en-US"/>
        </w:rPr>
        <w:t xml:space="preserve">lawyer </w:t>
      </w:r>
      <w:proofErr w:type="spellStart"/>
      <w:r w:rsidR="00EF13DB">
        <w:rPr>
          <w:spacing w:val="-2"/>
          <w:lang w:val="en-US" w:bidi="en-US"/>
        </w:rPr>
        <w:t>María</w:t>
      </w:r>
      <w:proofErr w:type="spellEnd"/>
      <w:r w:rsidR="00EF13DB">
        <w:rPr>
          <w:spacing w:val="-2"/>
          <w:lang w:val="en-US" w:bidi="en-US"/>
        </w:rPr>
        <w:t xml:space="preserve"> Eugenia </w:t>
      </w:r>
      <w:proofErr w:type="spellStart"/>
      <w:r w:rsidR="00EF13DB">
        <w:rPr>
          <w:spacing w:val="-2"/>
          <w:lang w:val="en-US" w:bidi="en-US"/>
        </w:rPr>
        <w:t>Zegarra</w:t>
      </w:r>
      <w:proofErr w:type="spellEnd"/>
      <w:r w:rsidR="00406E3B" w:rsidRPr="008A1DB4">
        <w:rPr>
          <w:spacing w:val="-2"/>
          <w:lang w:val="en-US" w:bidi="en-US"/>
        </w:rPr>
        <w:t>.</w:t>
      </w:r>
      <w:r w:rsidR="00221B79" w:rsidRPr="008A1DB4">
        <w:rPr>
          <w:rStyle w:val="FootnoteReference"/>
          <w:rFonts w:cs="Verdana-Italic"/>
          <w:spacing w:val="-2"/>
          <w:lang w:val="en-US" w:bidi="en-US"/>
        </w:rPr>
        <w:footnoteReference w:id="399"/>
      </w:r>
      <w:r w:rsidR="00221B79" w:rsidRPr="008A1DB4">
        <w:rPr>
          <w:b/>
          <w:spacing w:val="-2"/>
          <w:lang w:val="en-US" w:bidi="en-US"/>
        </w:rPr>
        <w:t xml:space="preserve"> </w:t>
      </w:r>
    </w:p>
    <w:p w14:paraId="39AA6A4E"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59BD0FB2" w14:textId="0F397413" w:rsidR="00221B79" w:rsidRPr="008A1DB4" w:rsidRDefault="00CB0A77" w:rsidP="00956E97">
      <w:pPr>
        <w:pStyle w:val="PrrafodeSentencia"/>
        <w:rPr>
          <w:b/>
          <w:spacing w:val="-2"/>
          <w:lang w:val="en-US" w:bidi="en-US"/>
        </w:rPr>
      </w:pPr>
      <w:r w:rsidRPr="008A1DB4">
        <w:rPr>
          <w:spacing w:val="-2"/>
          <w:lang w:val="en-US" w:bidi="en-US"/>
        </w:rPr>
        <w:t xml:space="preserve">In addition, </w:t>
      </w:r>
      <w:r w:rsidR="00C45946" w:rsidRPr="008A1DB4">
        <w:rPr>
          <w:spacing w:val="-2"/>
          <w:lang w:val="en-US" w:bidi="en-US"/>
        </w:rPr>
        <w:t>the representative</w:t>
      </w:r>
      <w:r w:rsidR="00221B79" w:rsidRPr="008A1DB4">
        <w:rPr>
          <w:spacing w:val="-2"/>
          <w:lang w:val="en-US" w:bidi="en-US"/>
        </w:rPr>
        <w:t xml:space="preserve"> </w:t>
      </w:r>
      <w:r w:rsidRPr="008A1DB4">
        <w:rPr>
          <w:spacing w:val="-2"/>
          <w:lang w:val="en-US" w:bidi="en-US"/>
        </w:rPr>
        <w:t xml:space="preserve">submitted the receipt for sending correspondence from </w:t>
      </w:r>
      <w:r w:rsidR="00221B79" w:rsidRPr="008A1DB4">
        <w:rPr>
          <w:spacing w:val="-2"/>
          <w:lang w:val="en-US" w:bidi="en-US"/>
        </w:rPr>
        <w:t xml:space="preserve">Mercedes Wong </w:t>
      </w:r>
      <w:proofErr w:type="spellStart"/>
      <w:r w:rsidR="00221B79" w:rsidRPr="008A1DB4">
        <w:rPr>
          <w:spacing w:val="-2"/>
          <w:lang w:val="en-US" w:bidi="en-US"/>
        </w:rPr>
        <w:t>Alza</w:t>
      </w:r>
      <w:proofErr w:type="spellEnd"/>
      <w:r w:rsidR="00221B79" w:rsidRPr="008A1DB4">
        <w:rPr>
          <w:spacing w:val="-2"/>
          <w:lang w:val="en-US" w:bidi="en-US"/>
        </w:rPr>
        <w:t xml:space="preserve"> </w:t>
      </w:r>
      <w:r w:rsidRPr="008A1DB4">
        <w:rPr>
          <w:spacing w:val="-2"/>
          <w:lang w:val="en-US" w:bidi="en-US"/>
        </w:rPr>
        <w:t xml:space="preserve">to </w:t>
      </w:r>
      <w:r w:rsidR="00B43F84" w:rsidRPr="008A1DB4">
        <w:rPr>
          <w:spacing w:val="-2"/>
          <w:lang w:val="en-US" w:bidi="en-US"/>
        </w:rPr>
        <w:t>Wong</w:t>
      </w:r>
      <w:r w:rsidR="00221B79" w:rsidRPr="008A1DB4">
        <w:rPr>
          <w:spacing w:val="-2"/>
          <w:lang w:val="en-US" w:bidi="en-US"/>
        </w:rPr>
        <w:t xml:space="preserve"> Ho Wing</w:t>
      </w:r>
      <w:r w:rsidR="00EF13DB">
        <w:rPr>
          <w:spacing w:val="-2"/>
          <w:lang w:val="en-US" w:bidi="en-US"/>
        </w:rPr>
        <w:t>’s wife</w:t>
      </w:r>
      <w:r w:rsidR="00F36400" w:rsidRPr="008A1DB4">
        <w:rPr>
          <w:spacing w:val="-2"/>
          <w:lang w:val="en-US" w:bidi="en-US"/>
        </w:rPr>
        <w:t xml:space="preserve"> and </w:t>
      </w:r>
      <w:r w:rsidRPr="008A1DB4">
        <w:rPr>
          <w:spacing w:val="-2"/>
          <w:lang w:val="en-US" w:bidi="en-US"/>
        </w:rPr>
        <w:t xml:space="preserve">a certificate of a </w:t>
      </w:r>
      <w:r w:rsidR="00EF13DB">
        <w:rPr>
          <w:spacing w:val="-2"/>
          <w:lang w:val="en-US" w:bidi="en-US"/>
        </w:rPr>
        <w:t>court surety bond. H</w:t>
      </w:r>
      <w:r w:rsidR="00BD2D89" w:rsidRPr="008A1DB4">
        <w:rPr>
          <w:spacing w:val="-2"/>
          <w:lang w:val="en-US" w:bidi="en-US"/>
        </w:rPr>
        <w:t>owever, he failed to justif</w:t>
      </w:r>
      <w:r w:rsidR="00EF13DB">
        <w:rPr>
          <w:spacing w:val="-2"/>
          <w:lang w:val="en-US" w:bidi="en-US"/>
        </w:rPr>
        <w:t>y what this evidence related to;</w:t>
      </w:r>
      <w:r w:rsidR="00221B79" w:rsidRPr="008A1DB4">
        <w:rPr>
          <w:rStyle w:val="FootnoteReference"/>
          <w:rFonts w:cs="Verdana-Italic"/>
          <w:spacing w:val="-2"/>
          <w:lang w:val="en-US" w:bidi="en-US"/>
        </w:rPr>
        <w:footnoteReference w:id="400"/>
      </w:r>
      <w:r w:rsidR="00BD2D89" w:rsidRPr="008A1DB4">
        <w:rPr>
          <w:spacing w:val="-2"/>
          <w:lang w:val="en-US" w:bidi="en-US"/>
        </w:rPr>
        <w:t xml:space="preserve"> hence the Court has insufficient evidence to determine whether these amount</w:t>
      </w:r>
      <w:r w:rsidR="00EF13DB">
        <w:rPr>
          <w:spacing w:val="-2"/>
          <w:lang w:val="en-US" w:bidi="en-US"/>
        </w:rPr>
        <w:t>s</w:t>
      </w:r>
      <w:r w:rsidR="00BD2D89" w:rsidRPr="008A1DB4">
        <w:rPr>
          <w:spacing w:val="-2"/>
          <w:lang w:val="en-US" w:bidi="en-US"/>
        </w:rPr>
        <w:t xml:space="preserve"> correspond to disbursements related to the proceedings before </w:t>
      </w:r>
      <w:r w:rsidR="004D2183" w:rsidRPr="008A1DB4">
        <w:rPr>
          <w:spacing w:val="-2"/>
          <w:lang w:val="en-US" w:bidi="en-US"/>
        </w:rPr>
        <w:t>the inter-American system</w:t>
      </w:r>
      <w:r w:rsidR="00BD2D89" w:rsidRPr="008A1DB4">
        <w:rPr>
          <w:spacing w:val="-2"/>
          <w:lang w:val="en-US" w:bidi="en-US"/>
        </w:rPr>
        <w:t>.</w:t>
      </w:r>
      <w:r w:rsidR="00221B79" w:rsidRPr="008A1DB4">
        <w:rPr>
          <w:rStyle w:val="FootnoteReference"/>
          <w:rFonts w:cs="Verdana-Italic"/>
          <w:spacing w:val="-2"/>
          <w:lang w:val="en-US" w:bidi="en-US"/>
        </w:rPr>
        <w:footnoteReference w:id="401"/>
      </w:r>
      <w:r w:rsidR="00221B79" w:rsidRPr="008A1DB4">
        <w:rPr>
          <w:spacing w:val="-2"/>
          <w:lang w:val="en-US" w:bidi="en-US"/>
        </w:rPr>
        <w:t xml:space="preserve"> </w:t>
      </w:r>
    </w:p>
    <w:p w14:paraId="451005F1"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12C0C612" w14:textId="6F6964CB" w:rsidR="00221B79" w:rsidRPr="008A1DB4" w:rsidRDefault="00406E3B" w:rsidP="00956E97">
      <w:pPr>
        <w:pStyle w:val="PrrafodeSentencia"/>
        <w:rPr>
          <w:b/>
          <w:spacing w:val="-2"/>
          <w:lang w:val="en-US" w:bidi="en-US"/>
        </w:rPr>
      </w:pPr>
      <w:bookmarkStart w:id="1399" w:name="_Ref419394051"/>
      <w:r w:rsidRPr="008A1DB4">
        <w:rPr>
          <w:spacing w:val="-2"/>
          <w:lang w:val="en-US" w:bidi="en-US"/>
        </w:rPr>
        <w:t>Consequently</w:t>
      </w:r>
      <w:r w:rsidR="00221B79" w:rsidRPr="008A1DB4">
        <w:rPr>
          <w:spacing w:val="-2"/>
          <w:lang w:val="en-US" w:bidi="en-US"/>
        </w:rPr>
        <w:t xml:space="preserve">, </w:t>
      </w:r>
      <w:r w:rsidR="00F36400" w:rsidRPr="008A1DB4">
        <w:rPr>
          <w:spacing w:val="-2"/>
          <w:lang w:val="en-US" w:bidi="en-US"/>
        </w:rPr>
        <w:t>the Court</w:t>
      </w:r>
      <w:r w:rsidR="00221B79" w:rsidRPr="008A1DB4">
        <w:rPr>
          <w:spacing w:val="-2"/>
          <w:lang w:val="en-US" w:bidi="en-US"/>
        </w:rPr>
        <w:t xml:space="preserve"> orde</w:t>
      </w:r>
      <w:r w:rsidRPr="008A1DB4">
        <w:rPr>
          <w:spacing w:val="-2"/>
          <w:lang w:val="en-US" w:bidi="en-US"/>
        </w:rPr>
        <w:t xml:space="preserve">rs the State to pay </w:t>
      </w:r>
      <w:r w:rsidR="00C45946" w:rsidRPr="008A1DB4">
        <w:rPr>
          <w:spacing w:val="-2"/>
          <w:lang w:val="en-US" w:bidi="en-US"/>
        </w:rPr>
        <w:t>the representative</w:t>
      </w:r>
      <w:r w:rsidRPr="008A1DB4">
        <w:rPr>
          <w:spacing w:val="-2"/>
          <w:lang w:val="en-US" w:bidi="en-US"/>
        </w:rPr>
        <w:t>,</w:t>
      </w:r>
      <w:r w:rsidR="00EB4772" w:rsidRPr="008A1DB4">
        <w:rPr>
          <w:spacing w:val="-2"/>
          <w:lang w:val="en-US" w:bidi="en-US"/>
        </w:rPr>
        <w:t xml:space="preserve"> </w:t>
      </w:r>
      <w:r w:rsidR="0050607E" w:rsidRPr="008A1DB4">
        <w:rPr>
          <w:spacing w:val="-2"/>
          <w:lang w:val="en-US" w:bidi="en-US"/>
        </w:rPr>
        <w:t xml:space="preserve">Luis Lamas </w:t>
      </w:r>
      <w:proofErr w:type="spellStart"/>
      <w:r w:rsidR="0050607E" w:rsidRPr="008A1DB4">
        <w:rPr>
          <w:spacing w:val="-2"/>
          <w:lang w:val="en-US" w:bidi="en-US"/>
        </w:rPr>
        <w:t>Puccio</w:t>
      </w:r>
      <w:proofErr w:type="spellEnd"/>
      <w:r w:rsidRPr="008A1DB4">
        <w:rPr>
          <w:spacing w:val="-2"/>
          <w:lang w:val="en-US" w:bidi="en-US"/>
        </w:rPr>
        <w:t xml:space="preserve">, the sum of </w:t>
      </w:r>
      <w:r w:rsidR="002F1744" w:rsidRPr="008A1DB4">
        <w:rPr>
          <w:spacing w:val="-2"/>
          <w:lang w:val="en-US" w:bidi="en-US"/>
        </w:rPr>
        <w:t xml:space="preserve">US$ </w:t>
      </w:r>
      <w:r w:rsidR="009C05FB" w:rsidRPr="008A1DB4">
        <w:rPr>
          <w:spacing w:val="-2"/>
          <w:lang w:val="en-US" w:bidi="en-US"/>
        </w:rPr>
        <w:t>2</w:t>
      </w:r>
      <w:r w:rsidR="000441B2" w:rsidRPr="008A1DB4">
        <w:rPr>
          <w:spacing w:val="-2"/>
          <w:lang w:val="en-US" w:bidi="en-US"/>
        </w:rPr>
        <w:t>8</w:t>
      </w:r>
      <w:r w:rsidR="002F1744" w:rsidRPr="008A1DB4">
        <w:rPr>
          <w:spacing w:val="-2"/>
          <w:lang w:val="en-US" w:bidi="en-US"/>
        </w:rPr>
        <w:t>,</w:t>
      </w:r>
      <w:r w:rsidR="000441B2" w:rsidRPr="008A1DB4">
        <w:rPr>
          <w:spacing w:val="-2"/>
          <w:lang w:val="en-US" w:bidi="en-US"/>
        </w:rPr>
        <w:t>000</w:t>
      </w:r>
      <w:r w:rsidR="002F1744" w:rsidRPr="008A1DB4">
        <w:rPr>
          <w:spacing w:val="-2"/>
          <w:lang w:val="en-US" w:bidi="en-US"/>
        </w:rPr>
        <w:t>.</w:t>
      </w:r>
      <w:r w:rsidR="000441B2" w:rsidRPr="008A1DB4">
        <w:rPr>
          <w:spacing w:val="-2"/>
          <w:lang w:val="en-US" w:bidi="en-US"/>
        </w:rPr>
        <w:t>00</w:t>
      </w:r>
      <w:r w:rsidR="009C05FB" w:rsidRPr="008A1DB4">
        <w:rPr>
          <w:spacing w:val="-2"/>
          <w:lang w:val="en-US" w:bidi="en-US"/>
        </w:rPr>
        <w:t xml:space="preserve"> </w:t>
      </w:r>
      <w:r w:rsidRPr="008A1DB4">
        <w:rPr>
          <w:spacing w:val="-2"/>
          <w:lang w:val="en-US" w:bidi="en-US"/>
        </w:rPr>
        <w:t>(twenty-</w:t>
      </w:r>
      <w:r w:rsidR="0079515C" w:rsidRPr="008A1DB4">
        <w:rPr>
          <w:spacing w:val="-2"/>
          <w:lang w:val="en-US" w:bidi="en-US"/>
        </w:rPr>
        <w:t>eight</w:t>
      </w:r>
      <w:r w:rsidR="000441B2" w:rsidRPr="008A1DB4">
        <w:rPr>
          <w:spacing w:val="-2"/>
          <w:lang w:val="en-US" w:bidi="en-US"/>
        </w:rPr>
        <w:t xml:space="preserve"> </w:t>
      </w:r>
      <w:r w:rsidR="002F1744" w:rsidRPr="008A1DB4">
        <w:rPr>
          <w:spacing w:val="-2"/>
          <w:lang w:val="en-US" w:bidi="en-US"/>
        </w:rPr>
        <w:t>thousand United States dollars</w:t>
      </w:r>
      <w:r w:rsidR="005D0F9C" w:rsidRPr="008A1DB4">
        <w:rPr>
          <w:spacing w:val="-2"/>
          <w:lang w:val="en-US" w:bidi="en-US"/>
        </w:rPr>
        <w:t xml:space="preserve">) </w:t>
      </w:r>
      <w:r w:rsidRPr="008A1DB4">
        <w:rPr>
          <w:spacing w:val="-2"/>
          <w:lang w:val="en-US" w:bidi="en-US"/>
        </w:rPr>
        <w:t xml:space="preserve">for </w:t>
      </w:r>
      <w:r w:rsidR="0027284C" w:rsidRPr="008A1DB4">
        <w:rPr>
          <w:spacing w:val="-2"/>
          <w:lang w:val="en-US" w:bidi="en-US"/>
        </w:rPr>
        <w:t>costs and expenses</w:t>
      </w:r>
      <w:r w:rsidRPr="008A1DB4">
        <w:rPr>
          <w:spacing w:val="-2"/>
          <w:lang w:val="en-US" w:bidi="en-US"/>
        </w:rPr>
        <w:t>.</w:t>
      </w:r>
      <w:r w:rsidR="00221B79" w:rsidRPr="008A1DB4">
        <w:rPr>
          <w:rStyle w:val="FootnoteReference"/>
          <w:rFonts w:cs="Verdana-Italic"/>
          <w:spacing w:val="-2"/>
          <w:lang w:val="en-US" w:bidi="en-US"/>
        </w:rPr>
        <w:footnoteReference w:id="402"/>
      </w:r>
      <w:r w:rsidR="00221B79" w:rsidRPr="008A1DB4">
        <w:rPr>
          <w:spacing w:val="-2"/>
          <w:lang w:val="en-US" w:bidi="en-US"/>
        </w:rPr>
        <w:t xml:space="preserve"> </w:t>
      </w:r>
      <w:r w:rsidR="00BD2D89" w:rsidRPr="008A1DB4">
        <w:rPr>
          <w:spacing w:val="-2"/>
          <w:lang w:val="en-US" w:bidi="en-US"/>
        </w:rPr>
        <w:t xml:space="preserve">This amount shall be paid directly </w:t>
      </w:r>
      <w:r w:rsidR="00C45946" w:rsidRPr="008A1DB4">
        <w:rPr>
          <w:spacing w:val="-2"/>
          <w:lang w:val="en-US" w:bidi="en-US"/>
        </w:rPr>
        <w:t>to the representative</w:t>
      </w:r>
      <w:r w:rsidR="00582F59" w:rsidRPr="008A1DB4">
        <w:rPr>
          <w:spacing w:val="-2"/>
          <w:lang w:val="en-US" w:bidi="en-US"/>
        </w:rPr>
        <w:t xml:space="preserve"> </w:t>
      </w:r>
      <w:r w:rsidR="00BD2D89" w:rsidRPr="008A1DB4">
        <w:rPr>
          <w:spacing w:val="-2"/>
          <w:lang w:val="en-US" w:bidi="en-US"/>
        </w:rPr>
        <w:t>within the re</w:t>
      </w:r>
      <w:r w:rsidR="00EF13DB">
        <w:rPr>
          <w:spacing w:val="-2"/>
          <w:lang w:val="en-US" w:bidi="en-US"/>
        </w:rPr>
        <w:t>spective</w:t>
      </w:r>
      <w:r w:rsidR="00BD2D89" w:rsidRPr="008A1DB4">
        <w:rPr>
          <w:spacing w:val="-2"/>
          <w:lang w:val="en-US" w:bidi="en-US"/>
        </w:rPr>
        <w:t xml:space="preserve"> time frame established by the Court </w:t>
      </w:r>
      <w:r w:rsidR="00582F59" w:rsidRPr="008A1DB4">
        <w:rPr>
          <w:spacing w:val="-2"/>
          <w:lang w:val="en-US" w:bidi="en-US"/>
        </w:rPr>
        <w:t>(</w:t>
      </w:r>
      <w:r w:rsidR="00582F59" w:rsidRPr="008A1DB4">
        <w:rPr>
          <w:i/>
          <w:spacing w:val="-2"/>
          <w:lang w:val="en-US" w:bidi="en-US"/>
        </w:rPr>
        <w:t>infra</w:t>
      </w:r>
      <w:r w:rsidR="00582F59" w:rsidRPr="008A1DB4">
        <w:rPr>
          <w:spacing w:val="-2"/>
          <w:lang w:val="en-US" w:bidi="en-US"/>
        </w:rPr>
        <w:t xml:space="preserve"> </w:t>
      </w:r>
      <w:r w:rsidR="00C45946" w:rsidRPr="008A1DB4">
        <w:rPr>
          <w:spacing w:val="-2"/>
          <w:lang w:val="en-US" w:bidi="en-US"/>
        </w:rPr>
        <w:t xml:space="preserve">para. </w:t>
      </w:r>
      <w:r w:rsidR="00582F59" w:rsidRPr="008A1DB4">
        <w:rPr>
          <w:spacing w:val="-2"/>
          <w:lang w:val="en-US" w:bidi="en-US"/>
        </w:rPr>
        <w:fldChar w:fldCharType="begin"/>
      </w:r>
      <w:r w:rsidR="00582F59" w:rsidRPr="008A1DB4">
        <w:rPr>
          <w:spacing w:val="-2"/>
          <w:lang w:val="en-US" w:bidi="en-US"/>
        </w:rPr>
        <w:instrText xml:space="preserve"> REF _Ref419394072 \r \h </w:instrText>
      </w:r>
      <w:r w:rsidR="00B57308" w:rsidRPr="008A1DB4">
        <w:rPr>
          <w:spacing w:val="-2"/>
          <w:lang w:val="en-US" w:bidi="en-US"/>
        </w:rPr>
        <w:instrText xml:space="preserve"> \* MERGEFORMAT </w:instrText>
      </w:r>
      <w:r w:rsidR="00582F59" w:rsidRPr="008A1DB4">
        <w:rPr>
          <w:spacing w:val="-2"/>
          <w:lang w:val="en-US" w:bidi="en-US"/>
        </w:rPr>
      </w:r>
      <w:r w:rsidR="00582F59" w:rsidRPr="008A1DB4">
        <w:rPr>
          <w:spacing w:val="-2"/>
          <w:lang w:val="en-US" w:bidi="en-US"/>
        </w:rPr>
        <w:fldChar w:fldCharType="separate"/>
      </w:r>
      <w:r w:rsidR="00E961FA" w:rsidRPr="008A1DB4">
        <w:rPr>
          <w:spacing w:val="-2"/>
          <w:lang w:val="en-US" w:bidi="en-US"/>
        </w:rPr>
        <w:t>323</w:t>
      </w:r>
      <w:r w:rsidR="00582F59" w:rsidRPr="008A1DB4">
        <w:rPr>
          <w:spacing w:val="-2"/>
          <w:lang w:val="en-US" w:bidi="en-US"/>
        </w:rPr>
        <w:fldChar w:fldCharType="end"/>
      </w:r>
      <w:r w:rsidR="00582F59" w:rsidRPr="008A1DB4">
        <w:rPr>
          <w:spacing w:val="-2"/>
          <w:lang w:val="en-US" w:bidi="en-US"/>
        </w:rPr>
        <w:t xml:space="preserve">). </w:t>
      </w:r>
      <w:r w:rsidR="00BD2D89" w:rsidRPr="008A1DB4">
        <w:rPr>
          <w:spacing w:val="-2"/>
          <w:lang w:val="en-US" w:bidi="en-US"/>
        </w:rPr>
        <w:t xml:space="preserve">During the stage of monitoring compliance with </w:t>
      </w:r>
      <w:r w:rsidR="0079515C" w:rsidRPr="008A1DB4">
        <w:rPr>
          <w:spacing w:val="-2"/>
          <w:lang w:val="en-US" w:bidi="en-US"/>
        </w:rPr>
        <w:t>this</w:t>
      </w:r>
      <w:r w:rsidR="00BD2D89" w:rsidRPr="008A1DB4">
        <w:rPr>
          <w:spacing w:val="-2"/>
          <w:lang w:val="en-US" w:bidi="en-US"/>
        </w:rPr>
        <w:t xml:space="preserve"> Judgment, the Court may decide that the State should reimburse the victim or</w:t>
      </w:r>
      <w:r w:rsidR="00C45946" w:rsidRPr="008A1DB4">
        <w:rPr>
          <w:spacing w:val="-2"/>
          <w:lang w:val="en-US" w:bidi="en-US"/>
        </w:rPr>
        <w:t xml:space="preserve"> </w:t>
      </w:r>
      <w:r w:rsidR="008601B6" w:rsidRPr="008A1DB4">
        <w:rPr>
          <w:spacing w:val="-2"/>
          <w:lang w:val="en-US" w:bidi="en-US"/>
        </w:rPr>
        <w:t>his representative</w:t>
      </w:r>
      <w:r w:rsidR="00221B79" w:rsidRPr="008A1DB4">
        <w:rPr>
          <w:spacing w:val="-2"/>
          <w:lang w:val="en-US" w:bidi="en-US"/>
        </w:rPr>
        <w:t xml:space="preserve"> </w:t>
      </w:r>
      <w:r w:rsidR="00BD2D89" w:rsidRPr="008A1DB4">
        <w:rPr>
          <w:spacing w:val="-2"/>
          <w:lang w:val="en-US" w:bidi="en-US"/>
        </w:rPr>
        <w:t>any subsequent reasonable and duly authenticated expenses.</w:t>
      </w:r>
      <w:r w:rsidR="00221B79" w:rsidRPr="008A1DB4">
        <w:rPr>
          <w:rStyle w:val="FootnoteReference"/>
          <w:rFonts w:cs="Verdana-Italic"/>
          <w:spacing w:val="-2"/>
          <w:lang w:val="en-US" w:bidi="en-US"/>
        </w:rPr>
        <w:footnoteReference w:id="403"/>
      </w:r>
      <w:bookmarkEnd w:id="1399"/>
    </w:p>
    <w:p w14:paraId="087B5A03" w14:textId="77777777" w:rsidR="00221B79" w:rsidRPr="008A1DB4" w:rsidRDefault="00221B79" w:rsidP="00956E97">
      <w:pPr>
        <w:tabs>
          <w:tab w:val="left" w:pos="567"/>
        </w:tabs>
        <w:rPr>
          <w:b/>
          <w:spacing w:val="-2"/>
          <w:lang w:val="en-US"/>
        </w:rPr>
      </w:pPr>
    </w:p>
    <w:p w14:paraId="7F38E4C6" w14:textId="66341432" w:rsidR="00221B79" w:rsidRPr="008A1DB4" w:rsidRDefault="00E3374A" w:rsidP="00956E97">
      <w:pPr>
        <w:pStyle w:val="Heading1"/>
        <w:rPr>
          <w:spacing w:val="-2"/>
          <w:lang w:val="en-US"/>
        </w:rPr>
      </w:pPr>
      <w:bookmarkStart w:id="1400" w:name="_Toc418074123"/>
      <w:bookmarkStart w:id="1401" w:name="_Toc418503928"/>
      <w:bookmarkStart w:id="1402" w:name="_Toc418912657"/>
      <w:bookmarkStart w:id="1403" w:name="_Toc418912881"/>
      <w:bookmarkStart w:id="1404" w:name="_Toc419394461"/>
      <w:bookmarkStart w:id="1405" w:name="_Toc429490320"/>
      <w:bookmarkStart w:id="1406" w:name="_Toc429503834"/>
      <w:bookmarkStart w:id="1407" w:name="_Toc429504340"/>
      <w:bookmarkStart w:id="1408" w:name="_Toc429678053"/>
      <w:bookmarkStart w:id="1409" w:name="_Toc430017216"/>
      <w:bookmarkStart w:id="1410" w:name="_Toc430017445"/>
      <w:bookmarkStart w:id="1411" w:name="_Toc430018727"/>
      <w:bookmarkStart w:id="1412" w:name="_Toc430125325"/>
      <w:bookmarkStart w:id="1413" w:name="_Toc430125433"/>
      <w:r w:rsidRPr="008A1DB4">
        <w:rPr>
          <w:spacing w:val="-2"/>
          <w:lang w:val="en-US"/>
        </w:rPr>
        <w:t>E</w:t>
      </w:r>
      <w:r w:rsidR="00221B79" w:rsidRPr="008A1DB4">
        <w:rPr>
          <w:spacing w:val="-2"/>
          <w:lang w:val="en-US"/>
        </w:rPr>
        <w:t xml:space="preserve">. </w:t>
      </w:r>
      <w:r w:rsidR="00406E3B" w:rsidRPr="008A1DB4">
        <w:rPr>
          <w:spacing w:val="-2"/>
          <w:lang w:val="en-US"/>
        </w:rPr>
        <w:t>Method of complying with the payments ordered</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p>
    <w:p w14:paraId="44AD8F44"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515E0FF9" w14:textId="5585D290" w:rsidR="00221B79" w:rsidRPr="008A1DB4" w:rsidRDefault="00F36400" w:rsidP="00956E97">
      <w:pPr>
        <w:pStyle w:val="PrrafodeSentencia"/>
        <w:rPr>
          <w:b/>
          <w:spacing w:val="-2"/>
          <w:lang w:val="en-US" w:bidi="en-US"/>
        </w:rPr>
      </w:pPr>
      <w:bookmarkStart w:id="1414" w:name="_Ref419394072"/>
      <w:r w:rsidRPr="008A1DB4">
        <w:rPr>
          <w:spacing w:val="-2"/>
          <w:lang w:val="en-US" w:bidi="en-US"/>
        </w:rPr>
        <w:t>The State</w:t>
      </w:r>
      <w:r w:rsidR="00221B79" w:rsidRPr="008A1DB4">
        <w:rPr>
          <w:spacing w:val="-2"/>
          <w:lang w:val="en-US" w:bidi="en-US"/>
        </w:rPr>
        <w:t xml:space="preserve"> </w:t>
      </w:r>
      <w:r w:rsidR="008C3A55" w:rsidRPr="008A1DB4">
        <w:rPr>
          <w:spacing w:val="-2"/>
          <w:lang w:val="en-US" w:bidi="en-US"/>
        </w:rPr>
        <w:t xml:space="preserve">shall </w:t>
      </w:r>
      <w:r w:rsidR="00EF13DB">
        <w:rPr>
          <w:spacing w:val="-2"/>
          <w:lang w:val="en-US" w:bidi="en-US"/>
        </w:rPr>
        <w:t>make the payments of</w:t>
      </w:r>
      <w:r w:rsidR="008C3A55" w:rsidRPr="008A1DB4">
        <w:rPr>
          <w:spacing w:val="-2"/>
          <w:lang w:val="en-US" w:bidi="en-US"/>
        </w:rPr>
        <w:t xml:space="preserve"> the compensation for </w:t>
      </w:r>
      <w:r w:rsidR="00406E3B" w:rsidRPr="008A1DB4">
        <w:rPr>
          <w:spacing w:val="-2"/>
          <w:lang w:val="en-US" w:bidi="en-US"/>
        </w:rPr>
        <w:t xml:space="preserve">pecuniary </w:t>
      </w:r>
      <w:r w:rsidR="008C3A55" w:rsidRPr="008A1DB4">
        <w:rPr>
          <w:spacing w:val="-2"/>
          <w:lang w:val="en-US" w:bidi="en-US"/>
        </w:rPr>
        <w:t xml:space="preserve">and non-pecuniary </w:t>
      </w:r>
      <w:r w:rsidR="00406E3B" w:rsidRPr="008A1DB4">
        <w:rPr>
          <w:spacing w:val="-2"/>
          <w:lang w:val="en-US" w:bidi="en-US"/>
        </w:rPr>
        <w:t>damage</w:t>
      </w:r>
      <w:r w:rsidR="008C3A55" w:rsidRPr="008A1DB4">
        <w:rPr>
          <w:spacing w:val="-2"/>
          <w:lang w:val="en-US" w:bidi="en-US"/>
        </w:rPr>
        <w:t xml:space="preserve"> and to reimburse </w:t>
      </w:r>
      <w:r w:rsidR="0027284C" w:rsidRPr="008A1DB4">
        <w:rPr>
          <w:spacing w:val="-2"/>
          <w:lang w:val="en-US" w:bidi="en-US"/>
        </w:rPr>
        <w:t>costs and expenses</w:t>
      </w:r>
      <w:r w:rsidR="00221B79" w:rsidRPr="008A1DB4">
        <w:rPr>
          <w:spacing w:val="-2"/>
          <w:lang w:val="en-US" w:bidi="en-US"/>
        </w:rPr>
        <w:t xml:space="preserve"> establ</w:t>
      </w:r>
      <w:r w:rsidR="008C3A55" w:rsidRPr="008A1DB4">
        <w:rPr>
          <w:spacing w:val="-2"/>
          <w:lang w:val="en-US" w:bidi="en-US"/>
        </w:rPr>
        <w:t xml:space="preserve">ished in this Judgment directly to the persons </w:t>
      </w:r>
      <w:r w:rsidR="008C3A55" w:rsidRPr="008A1DB4">
        <w:rPr>
          <w:spacing w:val="-2"/>
          <w:lang w:val="en-US" w:bidi="en-US"/>
        </w:rPr>
        <w:lastRenderedPageBreak/>
        <w:t xml:space="preserve">indicated herein, within one year of notification of this Judgment, without prejudice to making full payment before this. </w:t>
      </w:r>
      <w:bookmarkEnd w:id="1414"/>
    </w:p>
    <w:p w14:paraId="2097AF5B"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762EFF1C" w14:textId="16B64439" w:rsidR="00221B79" w:rsidRPr="008A1DB4" w:rsidRDefault="008C3A55" w:rsidP="00956E97">
      <w:pPr>
        <w:pStyle w:val="PrrafodeSentencia"/>
        <w:rPr>
          <w:b/>
          <w:spacing w:val="-2"/>
          <w:lang w:val="en-US" w:bidi="en-US"/>
        </w:rPr>
      </w:pPr>
      <w:r w:rsidRPr="008A1DB4">
        <w:rPr>
          <w:spacing w:val="-2"/>
          <w:lang w:val="en-US" w:bidi="en-US"/>
        </w:rPr>
        <w:t>If the beneficiaries are deceased or die before they receive the respective amount, this will be delivered directly to their heirs, pursuant to the applicable domestic law</w:t>
      </w:r>
      <w:r w:rsidR="00221B79" w:rsidRPr="008A1DB4">
        <w:rPr>
          <w:spacing w:val="-2"/>
          <w:lang w:val="en-US" w:bidi="en-US"/>
        </w:rPr>
        <w:t xml:space="preserve">. </w:t>
      </w:r>
    </w:p>
    <w:p w14:paraId="03FDD933"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3C822F1A" w14:textId="25A70F85" w:rsidR="00221B79" w:rsidRPr="008A1DB4" w:rsidRDefault="00F36400" w:rsidP="00956E97">
      <w:pPr>
        <w:pStyle w:val="PrrafodeSentencia"/>
        <w:rPr>
          <w:rFonts w:cs="Verdana-Italic"/>
          <w:b/>
          <w:spacing w:val="-2"/>
          <w:lang w:val="en-US" w:bidi="en-US"/>
        </w:rPr>
      </w:pPr>
      <w:r w:rsidRPr="008A1DB4">
        <w:rPr>
          <w:spacing w:val="-2"/>
          <w:lang w:val="en-US"/>
        </w:rPr>
        <w:t>The State</w:t>
      </w:r>
      <w:r w:rsidR="00221B79" w:rsidRPr="008A1DB4">
        <w:rPr>
          <w:spacing w:val="-2"/>
          <w:lang w:val="en-US"/>
        </w:rPr>
        <w:t xml:space="preserve"> </w:t>
      </w:r>
      <w:r w:rsidR="008C3A55" w:rsidRPr="008A1DB4">
        <w:rPr>
          <w:spacing w:val="-2"/>
          <w:lang w:val="en-US"/>
        </w:rPr>
        <w:t xml:space="preserve">must comply with the monetary obligations by payment in </w:t>
      </w:r>
      <w:r w:rsidR="002F1744" w:rsidRPr="008A1DB4">
        <w:rPr>
          <w:spacing w:val="-2"/>
          <w:lang w:val="en-US"/>
        </w:rPr>
        <w:t>United States dollars</w:t>
      </w:r>
      <w:r w:rsidR="00221B79" w:rsidRPr="008A1DB4">
        <w:rPr>
          <w:spacing w:val="-2"/>
          <w:lang w:val="en-US"/>
        </w:rPr>
        <w:t xml:space="preserve"> o</w:t>
      </w:r>
      <w:r w:rsidR="008C3A55" w:rsidRPr="008A1DB4">
        <w:rPr>
          <w:spacing w:val="-2"/>
          <w:lang w:val="en-US"/>
        </w:rPr>
        <w:t>r the equivalent in national currency, using the exchange rate in force on the New York Stock Exchange (United States of America), the day before the payment to make the calculation.</w:t>
      </w:r>
    </w:p>
    <w:p w14:paraId="6955CD69"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1BB6349A" w14:textId="365A3B6E" w:rsidR="00221B79" w:rsidRPr="008A1DB4" w:rsidRDefault="008C3A55" w:rsidP="00956E97">
      <w:pPr>
        <w:pStyle w:val="PrrafodeSentencia"/>
        <w:rPr>
          <w:rFonts w:cs="Verdana-Italic"/>
          <w:b/>
          <w:spacing w:val="-2"/>
          <w:lang w:val="en-US" w:bidi="en-US"/>
        </w:rPr>
      </w:pPr>
      <w:r w:rsidRPr="008A1DB4">
        <w:rPr>
          <w:spacing w:val="-2"/>
          <w:lang w:val="en-US"/>
        </w:rPr>
        <w:t xml:space="preserve">If, for reasons that can be attributed to the beneficiary of the </w:t>
      </w:r>
      <w:r w:rsidR="0079515C" w:rsidRPr="008A1DB4">
        <w:rPr>
          <w:spacing w:val="-2"/>
          <w:lang w:val="en-US"/>
        </w:rPr>
        <w:t>compensation</w:t>
      </w:r>
      <w:r w:rsidRPr="008A1DB4">
        <w:rPr>
          <w:spacing w:val="-2"/>
          <w:lang w:val="en-US"/>
        </w:rPr>
        <w:t xml:space="preserve"> or his heirs, it is not possible to pay the amounts established within the time frame indicated, the State shall deposit these amounts in his favor in an account or certificate of deposit in a solvent Peruvian financial institution, in </w:t>
      </w:r>
      <w:r w:rsidR="002F1744" w:rsidRPr="008A1DB4">
        <w:rPr>
          <w:spacing w:val="-2"/>
          <w:lang w:val="en-US"/>
        </w:rPr>
        <w:t>United States dollars</w:t>
      </w:r>
      <w:r w:rsidR="00221B79" w:rsidRPr="008A1DB4">
        <w:rPr>
          <w:spacing w:val="-2"/>
          <w:lang w:val="en-US"/>
        </w:rPr>
        <w:t>,</w:t>
      </w:r>
      <w:r w:rsidR="00F36400" w:rsidRPr="008A1DB4">
        <w:rPr>
          <w:spacing w:val="-2"/>
          <w:lang w:val="en-US"/>
        </w:rPr>
        <w:t xml:space="preserve"> and </w:t>
      </w:r>
      <w:r w:rsidRPr="008A1DB4">
        <w:rPr>
          <w:spacing w:val="-2"/>
          <w:lang w:val="en-US"/>
        </w:rPr>
        <w:t xml:space="preserve">in the most favorable financial terms </w:t>
      </w:r>
      <w:r w:rsidR="00EF13DB">
        <w:rPr>
          <w:spacing w:val="-2"/>
          <w:lang w:val="en-US"/>
        </w:rPr>
        <w:t>permitted</w:t>
      </w:r>
      <w:r w:rsidRPr="008A1DB4">
        <w:rPr>
          <w:spacing w:val="-2"/>
          <w:lang w:val="en-US"/>
        </w:rPr>
        <w:t xml:space="preserve"> by the State’s banking practice and law. If the corresponding compensation is not claimed, after 10 years the amounts shall be returned to the State with the interest accrued</w:t>
      </w:r>
      <w:r w:rsidR="00221B79" w:rsidRPr="008A1DB4">
        <w:rPr>
          <w:spacing w:val="-2"/>
          <w:lang w:val="en-US"/>
        </w:rPr>
        <w:t>.</w:t>
      </w:r>
    </w:p>
    <w:p w14:paraId="380CAA4C" w14:textId="77777777" w:rsidR="00221B79" w:rsidRPr="008A1DB4" w:rsidRDefault="00221B79" w:rsidP="00956E97">
      <w:pPr>
        <w:pStyle w:val="ListParagraph"/>
        <w:widowControl w:val="0"/>
        <w:tabs>
          <w:tab w:val="left" w:pos="567"/>
        </w:tabs>
        <w:suppressAutoHyphens/>
        <w:autoSpaceDE w:val="0"/>
        <w:ind w:left="0" w:right="72"/>
        <w:contextualSpacing w:val="0"/>
        <w:rPr>
          <w:rFonts w:cs="Verdana-Italic"/>
          <w:b/>
          <w:spacing w:val="-2"/>
          <w:lang w:val="en-US" w:bidi="en-US"/>
        </w:rPr>
      </w:pPr>
    </w:p>
    <w:p w14:paraId="58EE01D8" w14:textId="04D7AC87" w:rsidR="00221B79" w:rsidRPr="008A1DB4" w:rsidRDefault="008C3A55" w:rsidP="00956E97">
      <w:pPr>
        <w:pStyle w:val="PrrafodeSentencia"/>
        <w:rPr>
          <w:rFonts w:cs="Verdana-Italic"/>
          <w:b/>
          <w:spacing w:val="-2"/>
          <w:lang w:val="en-US" w:bidi="en-US"/>
        </w:rPr>
      </w:pPr>
      <w:r w:rsidRPr="008A1DB4">
        <w:rPr>
          <w:spacing w:val="-2"/>
          <w:lang w:val="en-US"/>
        </w:rPr>
        <w:t>The amounts allocated in this Judgment as compensation for</w:t>
      </w:r>
      <w:r w:rsidR="004824DE" w:rsidRPr="008A1DB4">
        <w:rPr>
          <w:spacing w:val="-2"/>
          <w:lang w:val="en-US"/>
        </w:rPr>
        <w:t xml:space="preserve"> </w:t>
      </w:r>
      <w:r w:rsidR="00406E3B" w:rsidRPr="008A1DB4">
        <w:rPr>
          <w:spacing w:val="-2"/>
          <w:lang w:val="en-US"/>
        </w:rPr>
        <w:t xml:space="preserve">pecuniary </w:t>
      </w:r>
      <w:r w:rsidRPr="008A1DB4">
        <w:rPr>
          <w:spacing w:val="-2"/>
          <w:lang w:val="en-US"/>
        </w:rPr>
        <w:t xml:space="preserve">and non-pecuniary </w:t>
      </w:r>
      <w:r w:rsidR="00406E3B" w:rsidRPr="008A1DB4">
        <w:rPr>
          <w:spacing w:val="-2"/>
          <w:lang w:val="en-US"/>
        </w:rPr>
        <w:t>damage</w:t>
      </w:r>
      <w:r w:rsidR="004824DE" w:rsidRPr="008A1DB4">
        <w:rPr>
          <w:spacing w:val="-2"/>
          <w:lang w:val="en-US"/>
        </w:rPr>
        <w:t xml:space="preserve"> </w:t>
      </w:r>
      <w:r w:rsidRPr="008A1DB4">
        <w:rPr>
          <w:spacing w:val="-2"/>
          <w:lang w:val="en-US"/>
        </w:rPr>
        <w:t xml:space="preserve">and to reimburse </w:t>
      </w:r>
      <w:r w:rsidR="0027284C" w:rsidRPr="008A1DB4">
        <w:rPr>
          <w:spacing w:val="-2"/>
          <w:lang w:val="en-US"/>
        </w:rPr>
        <w:t>costs and expenses</w:t>
      </w:r>
      <w:r w:rsidR="00221B79" w:rsidRPr="008A1DB4">
        <w:rPr>
          <w:spacing w:val="-2"/>
          <w:lang w:val="en-US"/>
        </w:rPr>
        <w:t xml:space="preserve"> </w:t>
      </w:r>
      <w:r w:rsidRPr="008A1DB4">
        <w:rPr>
          <w:spacing w:val="-2"/>
          <w:lang w:val="en-US"/>
        </w:rPr>
        <w:t xml:space="preserve">shall be delivered to the persons indicated integrally, in accordance with this Judgment, without any </w:t>
      </w:r>
      <w:r w:rsidR="0079515C">
        <w:rPr>
          <w:spacing w:val="-2"/>
          <w:lang w:val="en-US"/>
        </w:rPr>
        <w:t>deduc</w:t>
      </w:r>
      <w:r w:rsidR="0079515C" w:rsidRPr="008A1DB4">
        <w:rPr>
          <w:spacing w:val="-2"/>
          <w:lang w:val="en-US"/>
        </w:rPr>
        <w:t>tions</w:t>
      </w:r>
      <w:r w:rsidRPr="008A1DB4">
        <w:rPr>
          <w:spacing w:val="-2"/>
          <w:lang w:val="en-US"/>
        </w:rPr>
        <w:t xml:space="preserve"> arising from possible taxes or charges.</w:t>
      </w:r>
    </w:p>
    <w:p w14:paraId="3DC9AC50" w14:textId="77777777" w:rsidR="00221B79" w:rsidRPr="008A1DB4" w:rsidRDefault="00221B79" w:rsidP="00956E97">
      <w:pPr>
        <w:pStyle w:val="Prrafodelista2"/>
        <w:tabs>
          <w:tab w:val="left" w:pos="567"/>
          <w:tab w:val="num" w:pos="15467"/>
        </w:tabs>
        <w:ind w:left="0"/>
        <w:jc w:val="both"/>
        <w:rPr>
          <w:spacing w:val="-2"/>
          <w:lang w:val="en-US"/>
        </w:rPr>
      </w:pPr>
    </w:p>
    <w:p w14:paraId="7CE441AA" w14:textId="364C38F1" w:rsidR="00221B79" w:rsidRPr="008A1DB4" w:rsidRDefault="009E5939" w:rsidP="00956E97">
      <w:pPr>
        <w:pStyle w:val="PrrafodeSentencia"/>
        <w:rPr>
          <w:rFonts w:cs="Verdana-Italic"/>
          <w:b/>
          <w:spacing w:val="-2"/>
          <w:lang w:val="en-US" w:bidi="en-US"/>
        </w:rPr>
      </w:pPr>
      <w:bookmarkStart w:id="1415" w:name="_Ref419394076"/>
      <w:r w:rsidRPr="008A1DB4">
        <w:rPr>
          <w:spacing w:val="-2"/>
          <w:lang w:val="en-US"/>
        </w:rPr>
        <w:t>If the State shall incur in arrea</w:t>
      </w:r>
      <w:r w:rsidR="0079515C">
        <w:rPr>
          <w:spacing w:val="-2"/>
          <w:lang w:val="en-US"/>
        </w:rPr>
        <w:t>r</w:t>
      </w:r>
      <w:r w:rsidRPr="008A1DB4">
        <w:rPr>
          <w:spacing w:val="-2"/>
          <w:lang w:val="en-US"/>
        </w:rPr>
        <w:t xml:space="preserve">s, it shall pay </w:t>
      </w:r>
      <w:r w:rsidR="0079515C" w:rsidRPr="008A1DB4">
        <w:rPr>
          <w:spacing w:val="-2"/>
          <w:lang w:val="en-US"/>
        </w:rPr>
        <w:t>interest</w:t>
      </w:r>
      <w:r w:rsidRPr="008A1DB4">
        <w:rPr>
          <w:spacing w:val="-2"/>
          <w:lang w:val="en-US"/>
        </w:rPr>
        <w:t xml:space="preserve"> on the amount owed corresponding to bank </w:t>
      </w:r>
      <w:r w:rsidR="0079515C" w:rsidRPr="008A1DB4">
        <w:rPr>
          <w:spacing w:val="-2"/>
          <w:lang w:val="en-US"/>
        </w:rPr>
        <w:t>interest</w:t>
      </w:r>
      <w:r w:rsidRPr="008A1DB4">
        <w:rPr>
          <w:spacing w:val="-2"/>
          <w:lang w:val="en-US"/>
        </w:rPr>
        <w:t xml:space="preserve"> on </w:t>
      </w:r>
      <w:r w:rsidR="0079515C" w:rsidRPr="008A1DB4">
        <w:rPr>
          <w:spacing w:val="-2"/>
          <w:lang w:val="en-US"/>
        </w:rPr>
        <w:t>arrears</w:t>
      </w:r>
      <w:r w:rsidRPr="008A1DB4">
        <w:rPr>
          <w:spacing w:val="-2"/>
          <w:lang w:val="en-US"/>
        </w:rPr>
        <w:t xml:space="preserve"> in </w:t>
      </w:r>
      <w:r w:rsidR="00FC5891" w:rsidRPr="008A1DB4">
        <w:rPr>
          <w:spacing w:val="-2"/>
          <w:lang w:val="en-US"/>
        </w:rPr>
        <w:t>the Republic of Peru</w:t>
      </w:r>
      <w:r w:rsidR="00221B79" w:rsidRPr="008A1DB4">
        <w:rPr>
          <w:spacing w:val="-2"/>
          <w:lang w:val="en-US"/>
        </w:rPr>
        <w:t>.</w:t>
      </w:r>
      <w:bookmarkEnd w:id="1415"/>
    </w:p>
    <w:p w14:paraId="5BB81755" w14:textId="77777777" w:rsidR="00FE3322" w:rsidRPr="008A1DB4" w:rsidRDefault="00FE3322" w:rsidP="00464235">
      <w:pPr>
        <w:pStyle w:val="PrrafodeSentencia"/>
        <w:numPr>
          <w:ilvl w:val="0"/>
          <w:numId w:val="0"/>
        </w:numPr>
        <w:rPr>
          <w:spacing w:val="-2"/>
          <w:lang w:val="en-US" w:bidi="en-US"/>
        </w:rPr>
      </w:pPr>
    </w:p>
    <w:p w14:paraId="40640C65" w14:textId="17443CB5" w:rsidR="00FE3322" w:rsidRPr="008A1DB4" w:rsidRDefault="00FE3322" w:rsidP="008B1792">
      <w:pPr>
        <w:pStyle w:val="Title"/>
        <w:spacing w:before="40" w:after="40"/>
        <w:rPr>
          <w:spacing w:val="-2"/>
          <w:lang w:val="en-US"/>
        </w:rPr>
      </w:pPr>
      <w:bookmarkStart w:id="1416" w:name="_Toc419394462"/>
      <w:bookmarkStart w:id="1417" w:name="_Toc429490321"/>
      <w:bookmarkStart w:id="1418" w:name="_Toc429503835"/>
      <w:bookmarkStart w:id="1419" w:name="_Toc429504341"/>
      <w:bookmarkStart w:id="1420" w:name="_Toc429678054"/>
      <w:bookmarkStart w:id="1421" w:name="_Toc430017217"/>
      <w:bookmarkStart w:id="1422" w:name="_Toc430017446"/>
      <w:bookmarkStart w:id="1423" w:name="_Toc430018728"/>
      <w:bookmarkStart w:id="1424" w:name="_Toc430125326"/>
      <w:bookmarkStart w:id="1425" w:name="_Toc430125434"/>
      <w:bookmarkStart w:id="1426" w:name="_Toc402039529"/>
      <w:bookmarkStart w:id="1427" w:name="_Toc403670809"/>
      <w:bookmarkStart w:id="1428" w:name="_Toc403671546"/>
      <w:bookmarkStart w:id="1429" w:name="_Toc405774739"/>
      <w:bookmarkStart w:id="1430" w:name="_Toc405857942"/>
      <w:r w:rsidRPr="008A1DB4">
        <w:rPr>
          <w:spacing w:val="-2"/>
          <w:lang w:val="en-US"/>
        </w:rPr>
        <w:t>XII</w:t>
      </w:r>
      <w:bookmarkEnd w:id="1416"/>
      <w:bookmarkEnd w:id="1417"/>
      <w:bookmarkEnd w:id="1418"/>
      <w:bookmarkEnd w:id="1419"/>
      <w:bookmarkEnd w:id="1420"/>
      <w:r w:rsidR="00BD7786" w:rsidRPr="008A1DB4">
        <w:rPr>
          <w:spacing w:val="-2"/>
          <w:lang w:val="en-US"/>
        </w:rPr>
        <w:t>I</w:t>
      </w:r>
      <w:bookmarkEnd w:id="1421"/>
      <w:bookmarkEnd w:id="1422"/>
      <w:bookmarkEnd w:id="1423"/>
      <w:bookmarkEnd w:id="1424"/>
      <w:bookmarkEnd w:id="1425"/>
    </w:p>
    <w:p w14:paraId="593C4379" w14:textId="79C5194B" w:rsidR="00FE3322" w:rsidRPr="008A1DB4" w:rsidRDefault="00B43F84" w:rsidP="008B1792">
      <w:pPr>
        <w:pStyle w:val="Title"/>
        <w:spacing w:before="40" w:after="40"/>
        <w:rPr>
          <w:spacing w:val="-2"/>
          <w:lang w:val="en-US"/>
        </w:rPr>
      </w:pPr>
      <w:r w:rsidRPr="008A1DB4">
        <w:rPr>
          <w:spacing w:val="-2"/>
          <w:lang w:val="en-US"/>
        </w:rPr>
        <w:t>OPERATIVE PARAGRAPHS</w:t>
      </w:r>
      <w:bookmarkEnd w:id="1426"/>
      <w:bookmarkEnd w:id="1427"/>
      <w:bookmarkEnd w:id="1428"/>
      <w:bookmarkEnd w:id="1429"/>
      <w:bookmarkEnd w:id="1430"/>
      <w:r w:rsidR="00FE3322" w:rsidRPr="008A1DB4">
        <w:rPr>
          <w:spacing w:val="-2"/>
          <w:lang w:val="en-US"/>
        </w:rPr>
        <w:t xml:space="preserve"> </w:t>
      </w:r>
    </w:p>
    <w:p w14:paraId="77F56F6A" w14:textId="77777777" w:rsidR="00FE3322" w:rsidRPr="008A1DB4" w:rsidRDefault="00FE3322" w:rsidP="008B1792">
      <w:pPr>
        <w:pStyle w:val="PrrafodeSentencia"/>
        <w:numPr>
          <w:ilvl w:val="0"/>
          <w:numId w:val="0"/>
        </w:numPr>
        <w:spacing w:before="40" w:after="40"/>
        <w:rPr>
          <w:spacing w:val="-2"/>
          <w:lang w:val="en-US" w:bidi="en-US"/>
        </w:rPr>
      </w:pPr>
    </w:p>
    <w:p w14:paraId="1DC03C62" w14:textId="7A2573C3" w:rsidR="00FE3322" w:rsidRPr="002F702F" w:rsidRDefault="002F1744" w:rsidP="008B1792">
      <w:pPr>
        <w:pStyle w:val="PrrafodeSentencia"/>
        <w:spacing w:before="40" w:after="40"/>
        <w:rPr>
          <w:rFonts w:cs="Verdana-Italic"/>
          <w:b/>
          <w:spacing w:val="-2"/>
          <w:lang w:val="en-US" w:bidi="en-US"/>
        </w:rPr>
      </w:pPr>
      <w:r w:rsidRPr="002F702F">
        <w:rPr>
          <w:spacing w:val="-2"/>
          <w:lang w:val="en-US"/>
        </w:rPr>
        <w:t>Therefore</w:t>
      </w:r>
      <w:r w:rsidR="00FE3322" w:rsidRPr="002F702F">
        <w:rPr>
          <w:spacing w:val="-2"/>
          <w:lang w:val="en-US"/>
        </w:rPr>
        <w:t xml:space="preserve">, </w:t>
      </w:r>
    </w:p>
    <w:p w14:paraId="72D92D47" w14:textId="77777777" w:rsidR="00FE3322" w:rsidRPr="008A1DB4" w:rsidRDefault="00FE3322" w:rsidP="008B1792">
      <w:pPr>
        <w:tabs>
          <w:tab w:val="left" w:pos="567"/>
        </w:tabs>
        <w:autoSpaceDE w:val="0"/>
        <w:autoSpaceDN w:val="0"/>
        <w:adjustRightInd w:val="0"/>
        <w:spacing w:before="40" w:after="40"/>
        <w:contextualSpacing/>
        <w:rPr>
          <w:rFonts w:cs="Verdana"/>
          <w:spacing w:val="-2"/>
          <w:szCs w:val="20"/>
          <w:lang w:val="en-US"/>
        </w:rPr>
      </w:pPr>
    </w:p>
    <w:p w14:paraId="10AAE70B" w14:textId="470A482D" w:rsidR="00FE3322" w:rsidRPr="008A1DB4" w:rsidRDefault="00F36400" w:rsidP="008B1792">
      <w:pPr>
        <w:tabs>
          <w:tab w:val="left" w:pos="567"/>
          <w:tab w:val="left" w:pos="720"/>
        </w:tabs>
        <w:spacing w:before="40" w:after="40"/>
        <w:rPr>
          <w:rFonts w:cs="Verdana"/>
          <w:b/>
          <w:spacing w:val="-2"/>
          <w:szCs w:val="20"/>
          <w:lang w:val="en-US"/>
        </w:rPr>
      </w:pPr>
      <w:r w:rsidRPr="008A1DB4">
        <w:rPr>
          <w:rFonts w:cs="Verdana"/>
          <w:b/>
          <w:spacing w:val="-2"/>
          <w:szCs w:val="20"/>
          <w:lang w:val="en-US"/>
        </w:rPr>
        <w:t>THE COURT</w:t>
      </w:r>
      <w:r w:rsidR="00FE3322" w:rsidRPr="008A1DB4">
        <w:rPr>
          <w:rFonts w:cs="Verdana"/>
          <w:b/>
          <w:spacing w:val="-2"/>
          <w:szCs w:val="20"/>
          <w:lang w:val="en-US"/>
        </w:rPr>
        <w:t xml:space="preserve"> </w:t>
      </w:r>
    </w:p>
    <w:p w14:paraId="076E5A5B" w14:textId="77777777" w:rsidR="00FE3322" w:rsidRPr="008A1DB4" w:rsidRDefault="00FE3322" w:rsidP="008B1792">
      <w:pPr>
        <w:tabs>
          <w:tab w:val="left" w:pos="567"/>
          <w:tab w:val="left" w:pos="720"/>
        </w:tabs>
        <w:spacing w:before="40" w:after="40"/>
        <w:rPr>
          <w:rFonts w:cs="Verdana"/>
          <w:b/>
          <w:spacing w:val="-2"/>
          <w:szCs w:val="20"/>
          <w:lang w:val="en-US"/>
        </w:rPr>
      </w:pPr>
    </w:p>
    <w:p w14:paraId="2F8D01DE" w14:textId="09D6F2B5" w:rsidR="00FE3322" w:rsidRPr="008A1DB4" w:rsidRDefault="00FE3322" w:rsidP="008B1792">
      <w:pPr>
        <w:tabs>
          <w:tab w:val="left" w:pos="567"/>
          <w:tab w:val="left" w:pos="720"/>
        </w:tabs>
        <w:spacing w:before="40" w:after="40"/>
        <w:rPr>
          <w:rFonts w:cs="Verdana"/>
          <w:b/>
          <w:spacing w:val="-2"/>
          <w:szCs w:val="20"/>
          <w:lang w:val="en-US"/>
        </w:rPr>
      </w:pPr>
      <w:r w:rsidRPr="008A1DB4">
        <w:rPr>
          <w:rFonts w:cs="Verdana"/>
          <w:b/>
          <w:spacing w:val="-2"/>
          <w:szCs w:val="20"/>
          <w:lang w:val="en-US"/>
        </w:rPr>
        <w:t>DECIDE</w:t>
      </w:r>
      <w:r w:rsidR="002F1744" w:rsidRPr="008A1DB4">
        <w:rPr>
          <w:rFonts w:cs="Verdana"/>
          <w:b/>
          <w:spacing w:val="-2"/>
          <w:szCs w:val="20"/>
          <w:lang w:val="en-US"/>
        </w:rPr>
        <w:t>S</w:t>
      </w:r>
      <w:r w:rsidRPr="008A1DB4">
        <w:rPr>
          <w:rFonts w:cs="Verdana"/>
          <w:b/>
          <w:spacing w:val="-2"/>
          <w:szCs w:val="20"/>
          <w:lang w:val="en-US"/>
        </w:rPr>
        <w:t xml:space="preserve">, </w:t>
      </w:r>
    </w:p>
    <w:p w14:paraId="4F8D6CF3" w14:textId="77777777" w:rsidR="00FE3322" w:rsidRPr="008A1DB4" w:rsidRDefault="00FE3322" w:rsidP="008B1792">
      <w:pPr>
        <w:tabs>
          <w:tab w:val="left" w:pos="567"/>
          <w:tab w:val="left" w:pos="720"/>
        </w:tabs>
        <w:spacing w:before="40" w:after="40"/>
        <w:rPr>
          <w:rFonts w:cs="Verdana"/>
          <w:spacing w:val="-2"/>
          <w:szCs w:val="20"/>
          <w:lang w:val="en-US"/>
        </w:rPr>
      </w:pPr>
    </w:p>
    <w:p w14:paraId="7F99952B" w14:textId="299AD3A4" w:rsidR="00FE3322"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w:t>
      </w:r>
    </w:p>
    <w:p w14:paraId="41FC8C3B" w14:textId="77777777" w:rsidR="00FE3322" w:rsidRPr="008A1DB4" w:rsidRDefault="00FE3322" w:rsidP="008B1792">
      <w:pPr>
        <w:tabs>
          <w:tab w:val="left" w:pos="567"/>
        </w:tabs>
        <w:autoSpaceDE w:val="0"/>
        <w:autoSpaceDN w:val="0"/>
        <w:spacing w:before="40" w:after="40"/>
        <w:rPr>
          <w:rFonts w:eastAsia="Times" w:cs="Arial"/>
          <w:color w:val="000000"/>
          <w:spacing w:val="-2"/>
          <w:szCs w:val="20"/>
          <w:lang w:val="en-US"/>
        </w:rPr>
      </w:pPr>
    </w:p>
    <w:p w14:paraId="109C85C8" w14:textId="574664EA" w:rsidR="0084644C" w:rsidRPr="008A1DB4" w:rsidRDefault="009E5939" w:rsidP="008B1792">
      <w:pPr>
        <w:numPr>
          <w:ilvl w:val="0"/>
          <w:numId w:val="13"/>
        </w:numPr>
        <w:tabs>
          <w:tab w:val="left" w:pos="567"/>
        </w:tabs>
        <w:autoSpaceDE w:val="0"/>
        <w:autoSpaceDN w:val="0"/>
        <w:spacing w:before="40" w:after="40"/>
        <w:ind w:left="0" w:firstLine="0"/>
        <w:rPr>
          <w:rFonts w:eastAsia="Calibri" w:cs="Arial"/>
          <w:color w:val="000000"/>
          <w:spacing w:val="-2"/>
          <w:szCs w:val="20"/>
          <w:lang w:val="en-US"/>
        </w:rPr>
      </w:pPr>
      <w:r w:rsidRPr="008A1DB4">
        <w:rPr>
          <w:rFonts w:eastAsia="Times" w:cs="Arial"/>
          <w:color w:val="000000"/>
          <w:spacing w:val="-2"/>
          <w:szCs w:val="20"/>
          <w:lang w:val="en-US"/>
        </w:rPr>
        <w:t xml:space="preserve">To reject the </w:t>
      </w:r>
      <w:r w:rsidR="00C45946" w:rsidRPr="008A1DB4">
        <w:rPr>
          <w:rFonts w:eastAsia="Times" w:cs="Arial"/>
          <w:color w:val="000000"/>
          <w:spacing w:val="-2"/>
          <w:szCs w:val="20"/>
          <w:lang w:val="en-US"/>
        </w:rPr>
        <w:t>preliminary objection</w:t>
      </w:r>
      <w:r w:rsidR="00FE3322" w:rsidRPr="008A1DB4">
        <w:rPr>
          <w:rFonts w:eastAsia="Times" w:cs="Arial"/>
          <w:color w:val="000000"/>
          <w:spacing w:val="-2"/>
          <w:szCs w:val="20"/>
          <w:lang w:val="en-US"/>
        </w:rPr>
        <w:t xml:space="preserve"> </w:t>
      </w:r>
      <w:r w:rsidRPr="008A1DB4">
        <w:rPr>
          <w:rFonts w:eastAsia="Times" w:cs="Arial"/>
          <w:color w:val="000000"/>
          <w:spacing w:val="-2"/>
          <w:szCs w:val="20"/>
          <w:lang w:val="en-US"/>
        </w:rPr>
        <w:t>filed by</w:t>
      </w:r>
      <w:r w:rsidR="00FE3322" w:rsidRPr="008A1DB4">
        <w:rPr>
          <w:rFonts w:eastAsia="Times" w:cs="Arial"/>
          <w:color w:val="000000"/>
          <w:spacing w:val="-2"/>
          <w:szCs w:val="20"/>
          <w:lang w:val="en-US"/>
        </w:rPr>
        <w:t xml:space="preserve"> </w:t>
      </w:r>
      <w:r w:rsidR="00F36400" w:rsidRPr="008A1DB4">
        <w:rPr>
          <w:rFonts w:eastAsia="Times" w:cs="Arial"/>
          <w:color w:val="000000"/>
          <w:spacing w:val="-2"/>
          <w:szCs w:val="20"/>
          <w:lang w:val="en-US"/>
        </w:rPr>
        <w:t>the State</w:t>
      </w:r>
      <w:r w:rsidR="00FE3322" w:rsidRPr="008A1DB4">
        <w:rPr>
          <w:rFonts w:eastAsia="Times" w:cs="Arial"/>
          <w:color w:val="000000"/>
          <w:spacing w:val="-2"/>
          <w:szCs w:val="20"/>
          <w:lang w:val="en-US"/>
        </w:rPr>
        <w:t xml:space="preserve"> </w:t>
      </w:r>
      <w:r w:rsidRPr="008A1DB4">
        <w:rPr>
          <w:rFonts w:eastAsia="Times" w:cs="Arial"/>
          <w:color w:val="000000"/>
          <w:spacing w:val="-2"/>
          <w:szCs w:val="20"/>
          <w:lang w:val="en-US"/>
        </w:rPr>
        <w:t xml:space="preserve">concerning the exhaustion of domestic remedies, </w:t>
      </w:r>
      <w:r w:rsidRPr="008A1DB4">
        <w:rPr>
          <w:rFonts w:eastAsia="Calibri" w:cs="Arial"/>
          <w:color w:val="000000"/>
          <w:spacing w:val="-2"/>
          <w:szCs w:val="20"/>
          <w:lang w:val="en-US"/>
        </w:rPr>
        <w:t>in the terms of</w:t>
      </w:r>
      <w:r w:rsidR="00FE3322" w:rsidRPr="008A1DB4">
        <w:rPr>
          <w:rFonts w:eastAsia="Calibri" w:cs="Arial"/>
          <w:color w:val="000000"/>
          <w:spacing w:val="-2"/>
          <w:szCs w:val="20"/>
          <w:lang w:val="en-US"/>
        </w:rPr>
        <w:t xml:space="preserve"> </w:t>
      </w:r>
      <w:r w:rsidR="00776D24" w:rsidRPr="008A1DB4">
        <w:rPr>
          <w:rFonts w:eastAsia="Calibri" w:cs="Arial"/>
          <w:color w:val="000000"/>
          <w:spacing w:val="-2"/>
          <w:szCs w:val="20"/>
          <w:lang w:val="en-US"/>
        </w:rPr>
        <w:t>paragraph</w:t>
      </w:r>
      <w:r w:rsidR="00FE3322" w:rsidRPr="008A1DB4">
        <w:rPr>
          <w:rFonts w:eastAsia="Calibri" w:cs="Arial"/>
          <w:color w:val="000000"/>
          <w:spacing w:val="-2"/>
          <w:szCs w:val="20"/>
          <w:lang w:val="en-US"/>
        </w:rPr>
        <w:t xml:space="preserve">s </w:t>
      </w:r>
      <w:r w:rsidR="00803862" w:rsidRPr="008A1DB4">
        <w:rPr>
          <w:spacing w:val="-2"/>
          <w:szCs w:val="20"/>
          <w:lang w:val="en-US"/>
        </w:rPr>
        <w:fldChar w:fldCharType="begin"/>
      </w:r>
      <w:r w:rsidR="003D5BA8" w:rsidRPr="008A1DB4">
        <w:rPr>
          <w:rFonts w:eastAsia="Calibri" w:cs="Arial"/>
          <w:color w:val="000000"/>
          <w:spacing w:val="-2"/>
          <w:szCs w:val="20"/>
          <w:lang w:val="en-US"/>
        </w:rPr>
        <w:instrText xml:space="preserve"> REF _Ref419395286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rFonts w:eastAsia="Calibri" w:cs="Arial"/>
          <w:color w:val="000000"/>
          <w:spacing w:val="-2"/>
          <w:szCs w:val="20"/>
          <w:lang w:val="en-US"/>
        </w:rPr>
        <w:t>21</w:t>
      </w:r>
      <w:r w:rsidR="00803862" w:rsidRPr="008A1DB4">
        <w:rPr>
          <w:spacing w:val="-2"/>
          <w:szCs w:val="20"/>
          <w:lang w:val="en-US"/>
        </w:rPr>
        <w:fldChar w:fldCharType="end"/>
      </w:r>
      <w:r w:rsidRPr="008A1DB4">
        <w:rPr>
          <w:spacing w:val="-2"/>
          <w:szCs w:val="20"/>
          <w:lang w:val="en-US"/>
        </w:rPr>
        <w:t xml:space="preserve"> to</w:t>
      </w:r>
      <w:r w:rsidR="003D5BA8" w:rsidRPr="008A1DB4">
        <w:rPr>
          <w:spacing w:val="-2"/>
          <w:szCs w:val="20"/>
          <w:lang w:val="en-US"/>
        </w:rPr>
        <w:t xml:space="preserve"> </w:t>
      </w:r>
      <w:r w:rsidR="00803862" w:rsidRPr="008A1DB4">
        <w:rPr>
          <w:spacing w:val="-2"/>
          <w:szCs w:val="20"/>
          <w:lang w:val="en-US"/>
        </w:rPr>
        <w:fldChar w:fldCharType="begin"/>
      </w:r>
      <w:r w:rsidR="003D5BA8" w:rsidRPr="008A1DB4">
        <w:rPr>
          <w:spacing w:val="-2"/>
          <w:szCs w:val="20"/>
          <w:lang w:val="en-US"/>
        </w:rPr>
        <w:instrText xml:space="preserve"> REF _Ref419395302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30</w:t>
      </w:r>
      <w:r w:rsidR="00803862" w:rsidRPr="008A1DB4">
        <w:rPr>
          <w:spacing w:val="-2"/>
          <w:szCs w:val="20"/>
          <w:lang w:val="en-US"/>
        </w:rPr>
        <w:fldChar w:fldCharType="end"/>
      </w:r>
      <w:r w:rsidR="003D5BA8" w:rsidRPr="008A1DB4">
        <w:rPr>
          <w:spacing w:val="-2"/>
          <w:szCs w:val="20"/>
          <w:lang w:val="en-US"/>
        </w:rPr>
        <w:t xml:space="preserve"> </w:t>
      </w:r>
      <w:r w:rsidRPr="008A1DB4">
        <w:rPr>
          <w:rFonts w:cs="Verdana"/>
          <w:spacing w:val="-2"/>
          <w:szCs w:val="20"/>
          <w:lang w:val="en-US"/>
        </w:rPr>
        <w:t>of this Judgment.</w:t>
      </w:r>
    </w:p>
    <w:p w14:paraId="5FC51508" w14:textId="77777777" w:rsidR="0084644C" w:rsidRPr="008A1DB4" w:rsidRDefault="0084644C" w:rsidP="008B1792">
      <w:pPr>
        <w:tabs>
          <w:tab w:val="left" w:pos="567"/>
        </w:tabs>
        <w:autoSpaceDE w:val="0"/>
        <w:autoSpaceDN w:val="0"/>
        <w:spacing w:before="40" w:after="40"/>
        <w:rPr>
          <w:rFonts w:eastAsia="Calibri" w:cs="Arial"/>
          <w:color w:val="000000"/>
          <w:spacing w:val="-2"/>
          <w:szCs w:val="20"/>
          <w:lang w:val="en-US"/>
        </w:rPr>
      </w:pPr>
    </w:p>
    <w:p w14:paraId="26C4C9C5" w14:textId="58D994A7" w:rsidR="004C0403"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667D59B0" w14:textId="77777777" w:rsidR="004C0403" w:rsidRPr="008A1DB4" w:rsidRDefault="004C0403" w:rsidP="008B1792">
      <w:pPr>
        <w:tabs>
          <w:tab w:val="left" w:pos="567"/>
        </w:tabs>
        <w:autoSpaceDE w:val="0"/>
        <w:autoSpaceDN w:val="0"/>
        <w:spacing w:before="40" w:after="40"/>
        <w:rPr>
          <w:rFonts w:eastAsia="Calibri" w:cs="Arial"/>
          <w:color w:val="000000"/>
          <w:spacing w:val="-2"/>
          <w:szCs w:val="20"/>
          <w:lang w:val="en-US"/>
        </w:rPr>
      </w:pPr>
    </w:p>
    <w:p w14:paraId="71E6ADF2" w14:textId="1ED242B3" w:rsidR="0084644C" w:rsidRPr="008A1DB4" w:rsidRDefault="009E5939" w:rsidP="008B1792">
      <w:pPr>
        <w:tabs>
          <w:tab w:val="left" w:pos="567"/>
          <w:tab w:val="num" w:pos="630"/>
          <w:tab w:val="left" w:pos="720"/>
        </w:tabs>
        <w:spacing w:before="40" w:after="40"/>
        <w:rPr>
          <w:rFonts w:cs="Verdana"/>
          <w:b/>
          <w:spacing w:val="-2"/>
          <w:szCs w:val="20"/>
          <w:lang w:val="en-US"/>
        </w:rPr>
      </w:pPr>
      <w:r w:rsidRPr="008A1DB4">
        <w:rPr>
          <w:rFonts w:cs="Verdana"/>
          <w:b/>
          <w:spacing w:val="-2"/>
          <w:szCs w:val="20"/>
          <w:lang w:val="en-US"/>
        </w:rPr>
        <w:t>DECLARES</w:t>
      </w:r>
      <w:r w:rsidR="0084644C" w:rsidRPr="008A1DB4">
        <w:rPr>
          <w:rFonts w:cs="Verdana"/>
          <w:b/>
          <w:spacing w:val="-2"/>
          <w:szCs w:val="20"/>
          <w:lang w:val="en-US"/>
        </w:rPr>
        <w:t>,</w:t>
      </w:r>
    </w:p>
    <w:p w14:paraId="39AC042A" w14:textId="77777777" w:rsidR="0084644C" w:rsidRPr="008A1DB4" w:rsidRDefault="0084644C" w:rsidP="008B1792">
      <w:pPr>
        <w:tabs>
          <w:tab w:val="left" w:pos="567"/>
          <w:tab w:val="num" w:pos="630"/>
          <w:tab w:val="left" w:pos="720"/>
        </w:tabs>
        <w:spacing w:before="40" w:after="40"/>
        <w:rPr>
          <w:rFonts w:cs="Verdana"/>
          <w:b/>
          <w:spacing w:val="-2"/>
          <w:szCs w:val="20"/>
          <w:lang w:val="en-US"/>
        </w:rPr>
      </w:pPr>
    </w:p>
    <w:p w14:paraId="1728A4CA" w14:textId="5AEAD478" w:rsidR="0084644C"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4C0403" w:rsidRPr="008A1DB4">
        <w:rPr>
          <w:rFonts w:cs="Verdana"/>
          <w:spacing w:val="-2"/>
          <w:szCs w:val="20"/>
          <w:lang w:val="en-US"/>
        </w:rPr>
        <w:t>:</w:t>
      </w:r>
    </w:p>
    <w:p w14:paraId="0D469195" w14:textId="77777777" w:rsidR="00DC5B26" w:rsidRPr="008A1DB4" w:rsidRDefault="00DC5B26" w:rsidP="008B1792">
      <w:pPr>
        <w:tabs>
          <w:tab w:val="left" w:pos="567"/>
        </w:tabs>
        <w:autoSpaceDE w:val="0"/>
        <w:autoSpaceDN w:val="0"/>
        <w:spacing w:before="40" w:after="40"/>
        <w:rPr>
          <w:rFonts w:eastAsia="Calibri" w:cs="Arial"/>
          <w:color w:val="000000"/>
          <w:spacing w:val="-2"/>
          <w:szCs w:val="20"/>
          <w:lang w:val="en-US"/>
        </w:rPr>
      </w:pPr>
    </w:p>
    <w:p w14:paraId="674BBD72" w14:textId="6EE28118" w:rsidR="00DC5B26" w:rsidRPr="008A1DB4" w:rsidRDefault="009E5939" w:rsidP="008B1792">
      <w:pPr>
        <w:pStyle w:val="PrrafodeSentencia"/>
        <w:numPr>
          <w:ilvl w:val="0"/>
          <w:numId w:val="13"/>
        </w:numPr>
        <w:tabs>
          <w:tab w:val="left" w:pos="567"/>
        </w:tabs>
        <w:spacing w:before="40" w:after="40"/>
        <w:ind w:left="0" w:firstLine="0"/>
        <w:rPr>
          <w:rFonts w:cs="ArialNarrow"/>
          <w:b/>
          <w:spacing w:val="-2"/>
          <w:lang w:val="en-US"/>
        </w:rPr>
      </w:pPr>
      <w:r w:rsidRPr="008A1DB4">
        <w:rPr>
          <w:spacing w:val="-2"/>
          <w:lang w:val="en-US"/>
        </w:rPr>
        <w:t>As described in</w:t>
      </w:r>
      <w:r w:rsidR="00DC5B26" w:rsidRPr="008A1DB4">
        <w:rPr>
          <w:spacing w:val="-2"/>
          <w:lang w:val="en-US"/>
        </w:rPr>
        <w:t xml:space="preserve"> </w:t>
      </w:r>
      <w:r w:rsidR="00776D24" w:rsidRPr="008A1DB4">
        <w:rPr>
          <w:spacing w:val="-2"/>
          <w:lang w:val="en-US"/>
        </w:rPr>
        <w:t>paragraph</w:t>
      </w:r>
      <w:r w:rsidR="00DC5B26" w:rsidRPr="008A1DB4">
        <w:rPr>
          <w:spacing w:val="-2"/>
          <w:lang w:val="en-US"/>
        </w:rPr>
        <w:t xml:space="preserve">s </w:t>
      </w:r>
      <w:r w:rsidR="00C01CDC" w:rsidRPr="008A1DB4">
        <w:rPr>
          <w:spacing w:val="-2"/>
          <w:lang w:val="en-US"/>
        </w:rPr>
        <w:fldChar w:fldCharType="begin"/>
      </w:r>
      <w:r w:rsidR="00C01CDC" w:rsidRPr="008A1DB4">
        <w:rPr>
          <w:spacing w:val="-2"/>
          <w:lang w:val="en-US"/>
        </w:rPr>
        <w:instrText xml:space="preserve"> REF _Ref419393388 \r \h </w:instrText>
      </w:r>
      <w:r w:rsidR="00043B7E" w:rsidRPr="008A1DB4">
        <w:rPr>
          <w:spacing w:val="-2"/>
          <w:lang w:val="en-US"/>
        </w:rPr>
        <w:instrText xml:space="preserve"> \* MERGEFORMAT </w:instrText>
      </w:r>
      <w:r w:rsidR="00C01CDC" w:rsidRPr="008A1DB4">
        <w:rPr>
          <w:spacing w:val="-2"/>
          <w:lang w:val="en-US"/>
        </w:rPr>
      </w:r>
      <w:r w:rsidR="00C01CDC" w:rsidRPr="008A1DB4">
        <w:rPr>
          <w:spacing w:val="-2"/>
          <w:lang w:val="en-US"/>
        </w:rPr>
        <w:fldChar w:fldCharType="separate"/>
      </w:r>
      <w:r w:rsidR="00E961FA" w:rsidRPr="008A1DB4">
        <w:rPr>
          <w:spacing w:val="-2"/>
          <w:lang w:val="en-US"/>
        </w:rPr>
        <w:t>124</w:t>
      </w:r>
      <w:r w:rsidR="00C01CDC" w:rsidRPr="008A1DB4">
        <w:rPr>
          <w:spacing w:val="-2"/>
          <w:lang w:val="en-US"/>
        </w:rPr>
        <w:fldChar w:fldCharType="end"/>
      </w:r>
      <w:r w:rsidR="00C01CDC" w:rsidRPr="008A1DB4">
        <w:rPr>
          <w:spacing w:val="-2"/>
          <w:lang w:val="en-US"/>
        </w:rPr>
        <w:t xml:space="preserve"> </w:t>
      </w:r>
      <w:r w:rsidR="002F1744" w:rsidRPr="008A1DB4">
        <w:rPr>
          <w:spacing w:val="-2"/>
          <w:lang w:val="en-US"/>
        </w:rPr>
        <w:t>to</w:t>
      </w:r>
      <w:r w:rsidR="00DC5B26" w:rsidRPr="008A1DB4">
        <w:rPr>
          <w:spacing w:val="-2"/>
          <w:lang w:val="en-US"/>
        </w:rPr>
        <w:t xml:space="preserve"> </w:t>
      </w:r>
      <w:r w:rsidR="00BE2225" w:rsidRPr="008A1DB4">
        <w:rPr>
          <w:spacing w:val="-2"/>
          <w:lang w:val="en-US"/>
        </w:rPr>
        <w:fldChar w:fldCharType="begin"/>
      </w:r>
      <w:r w:rsidR="00BE2225" w:rsidRPr="008A1DB4">
        <w:rPr>
          <w:spacing w:val="-2"/>
          <w:lang w:val="en-US"/>
        </w:rPr>
        <w:instrText xml:space="preserve"> REF _Ref419391696 \r \h  \* MERGEFORMAT </w:instrText>
      </w:r>
      <w:r w:rsidR="00BE2225" w:rsidRPr="008A1DB4">
        <w:rPr>
          <w:spacing w:val="-2"/>
          <w:lang w:val="en-US"/>
        </w:rPr>
      </w:r>
      <w:r w:rsidR="00BE2225" w:rsidRPr="008A1DB4">
        <w:rPr>
          <w:spacing w:val="-2"/>
          <w:lang w:val="en-US"/>
        </w:rPr>
        <w:fldChar w:fldCharType="separate"/>
      </w:r>
      <w:r w:rsidR="00E961FA" w:rsidRPr="008A1DB4">
        <w:rPr>
          <w:spacing w:val="-2"/>
          <w:lang w:val="en-US"/>
        </w:rPr>
        <w:t>188</w:t>
      </w:r>
      <w:r w:rsidR="00BE2225" w:rsidRPr="008A1DB4">
        <w:rPr>
          <w:spacing w:val="-2"/>
          <w:lang w:val="en-US"/>
        </w:rPr>
        <w:fldChar w:fldCharType="end"/>
      </w:r>
      <w:r w:rsidR="00DC5B26" w:rsidRPr="008A1DB4">
        <w:rPr>
          <w:spacing w:val="-2"/>
          <w:lang w:val="en-US"/>
        </w:rPr>
        <w:t xml:space="preserve">, </w:t>
      </w:r>
      <w:r w:rsidRPr="008A1DB4">
        <w:rPr>
          <w:spacing w:val="-2"/>
          <w:lang w:val="en-US"/>
        </w:rPr>
        <w:t xml:space="preserve">it would not be legally </w:t>
      </w:r>
      <w:r w:rsidR="00947926" w:rsidRPr="008A1DB4">
        <w:rPr>
          <w:spacing w:val="-2"/>
          <w:lang w:val="en-US"/>
        </w:rPr>
        <w:t>possible</w:t>
      </w:r>
      <w:r w:rsidR="002F702F" w:rsidRPr="002F702F">
        <w:rPr>
          <w:spacing w:val="-2"/>
          <w:lang w:val="en-US"/>
        </w:rPr>
        <w:t xml:space="preserve"> </w:t>
      </w:r>
      <w:r w:rsidR="002F702F">
        <w:rPr>
          <w:spacing w:val="-2"/>
          <w:lang w:val="en-US"/>
        </w:rPr>
        <w:t>at this time</w:t>
      </w:r>
      <w:r w:rsidRPr="008A1DB4">
        <w:rPr>
          <w:spacing w:val="-2"/>
          <w:lang w:val="en-US"/>
        </w:rPr>
        <w:t xml:space="preserve"> to impose </w:t>
      </w:r>
      <w:r w:rsidR="00BB44A4" w:rsidRPr="008A1DB4">
        <w:rPr>
          <w:spacing w:val="-2"/>
          <w:lang w:val="en-US"/>
        </w:rPr>
        <w:t xml:space="preserve">the </w:t>
      </w:r>
      <w:r w:rsidR="00A3310A" w:rsidRPr="008A1DB4">
        <w:rPr>
          <w:spacing w:val="-2"/>
          <w:lang w:val="en-US"/>
        </w:rPr>
        <w:t>death penalty</w:t>
      </w:r>
      <w:r w:rsidR="00DC5B26" w:rsidRPr="008A1DB4">
        <w:rPr>
          <w:spacing w:val="-2"/>
          <w:lang w:val="en-US"/>
        </w:rPr>
        <w:t>, a</w:t>
      </w:r>
      <w:r w:rsidRPr="008A1DB4">
        <w:rPr>
          <w:spacing w:val="-2"/>
          <w:lang w:val="en-US"/>
        </w:rPr>
        <w:t xml:space="preserve">nd it has not been proved that the </w:t>
      </w:r>
      <w:r w:rsidR="002D1CFC" w:rsidRPr="008A1DB4">
        <w:rPr>
          <w:spacing w:val="-2"/>
          <w:lang w:val="en-US"/>
        </w:rPr>
        <w:t>extradition</w:t>
      </w:r>
      <w:r w:rsidR="00DC5B26" w:rsidRPr="008A1DB4">
        <w:rPr>
          <w:spacing w:val="-2"/>
          <w:lang w:val="en-US"/>
        </w:rPr>
        <w:t xml:space="preserve"> </w:t>
      </w:r>
      <w:r w:rsidR="002F702F">
        <w:rPr>
          <w:spacing w:val="-2"/>
          <w:lang w:val="en-US"/>
        </w:rPr>
        <w:t>would expose Wong Ho Wing</w:t>
      </w:r>
      <w:r w:rsidRPr="008A1DB4">
        <w:rPr>
          <w:spacing w:val="-2"/>
          <w:lang w:val="en-US"/>
        </w:rPr>
        <w:t xml:space="preserve"> to a </w:t>
      </w:r>
      <w:r w:rsidR="00030FA9" w:rsidRPr="008A1DB4">
        <w:rPr>
          <w:spacing w:val="-2"/>
          <w:lang w:val="en-US"/>
        </w:rPr>
        <w:t>real, foreseeable and personal risk</w:t>
      </w:r>
      <w:r w:rsidR="00DC5B26" w:rsidRPr="008A1DB4">
        <w:rPr>
          <w:spacing w:val="-2"/>
          <w:lang w:val="en-US"/>
        </w:rPr>
        <w:t xml:space="preserve"> </w:t>
      </w:r>
      <w:r w:rsidR="00196CB7">
        <w:rPr>
          <w:spacing w:val="-2"/>
          <w:lang w:val="en-US"/>
        </w:rPr>
        <w:t>of being subject</w:t>
      </w:r>
      <w:r w:rsidRPr="008A1DB4">
        <w:rPr>
          <w:spacing w:val="-2"/>
          <w:lang w:val="en-US"/>
        </w:rPr>
        <w:t xml:space="preserve"> to treatment contrary to his</w:t>
      </w:r>
      <w:r w:rsidR="00DC5B26" w:rsidRPr="008A1DB4">
        <w:rPr>
          <w:spacing w:val="-2"/>
          <w:lang w:val="en-US"/>
        </w:rPr>
        <w:t xml:space="preserve"> </w:t>
      </w:r>
      <w:r w:rsidR="00776D24" w:rsidRPr="008A1DB4">
        <w:rPr>
          <w:spacing w:val="-2"/>
          <w:lang w:val="en-US"/>
        </w:rPr>
        <w:t>personal integrity</w:t>
      </w:r>
      <w:r w:rsidRPr="008A1DB4">
        <w:rPr>
          <w:spacing w:val="-2"/>
          <w:lang w:val="en-US"/>
        </w:rPr>
        <w:t xml:space="preserve">; thus, if </w:t>
      </w:r>
      <w:r w:rsidR="00DC5B26" w:rsidRPr="008A1DB4">
        <w:rPr>
          <w:spacing w:val="-2"/>
          <w:lang w:val="en-US"/>
        </w:rPr>
        <w:t xml:space="preserve"> </w:t>
      </w:r>
      <w:r w:rsidR="002F702F">
        <w:rPr>
          <w:spacing w:val="-2"/>
          <w:lang w:val="en-US"/>
        </w:rPr>
        <w:t>he</w:t>
      </w:r>
      <w:r w:rsidRPr="008A1DB4">
        <w:rPr>
          <w:spacing w:val="-2"/>
          <w:lang w:val="en-US"/>
        </w:rPr>
        <w:t xml:space="preserve"> is extradited</w:t>
      </w:r>
      <w:r w:rsidR="00DC5B26" w:rsidRPr="008A1DB4">
        <w:rPr>
          <w:spacing w:val="-2"/>
          <w:lang w:val="en-US"/>
        </w:rPr>
        <w:t xml:space="preserve">, </w:t>
      </w:r>
      <w:r w:rsidR="00F36400" w:rsidRPr="008A1DB4">
        <w:rPr>
          <w:spacing w:val="-2"/>
          <w:lang w:val="en-US"/>
        </w:rPr>
        <w:t>the State</w:t>
      </w:r>
      <w:r w:rsidR="00DC5B26" w:rsidRPr="008A1DB4">
        <w:rPr>
          <w:spacing w:val="-2"/>
          <w:lang w:val="en-US"/>
        </w:rPr>
        <w:t xml:space="preserve"> </w:t>
      </w:r>
      <w:r w:rsidRPr="008A1DB4">
        <w:rPr>
          <w:spacing w:val="-2"/>
          <w:lang w:val="en-US"/>
        </w:rPr>
        <w:t xml:space="preserve">would not be responsible for </w:t>
      </w:r>
      <w:r w:rsidR="0079515C" w:rsidRPr="008A1DB4">
        <w:rPr>
          <w:spacing w:val="-2"/>
          <w:lang w:val="en-US"/>
        </w:rPr>
        <w:t>violating</w:t>
      </w:r>
      <w:r w:rsidRPr="008A1DB4">
        <w:rPr>
          <w:spacing w:val="-2"/>
          <w:lang w:val="en-US"/>
        </w:rPr>
        <w:t xml:space="preserve"> its obligation to ensure his right</w:t>
      </w:r>
      <w:r w:rsidR="002F702F">
        <w:rPr>
          <w:spacing w:val="-2"/>
          <w:lang w:val="en-US"/>
        </w:rPr>
        <w:t>s</w:t>
      </w:r>
      <w:r w:rsidRPr="008A1DB4">
        <w:rPr>
          <w:spacing w:val="-2"/>
          <w:lang w:val="en-US"/>
        </w:rPr>
        <w:t xml:space="preserve"> to life and to </w:t>
      </w:r>
      <w:r w:rsidR="002F702F">
        <w:rPr>
          <w:spacing w:val="-2"/>
          <w:lang w:val="en-US"/>
        </w:rPr>
        <w:t>personal integrity</w:t>
      </w:r>
      <w:r w:rsidR="00DC5B26" w:rsidRPr="008A1DB4">
        <w:rPr>
          <w:spacing w:val="-2"/>
          <w:lang w:val="en-US"/>
        </w:rPr>
        <w:t xml:space="preserve"> </w:t>
      </w:r>
      <w:r w:rsidRPr="008A1DB4">
        <w:rPr>
          <w:spacing w:val="-2"/>
          <w:lang w:val="en-US"/>
        </w:rPr>
        <w:t>recognized in</w:t>
      </w:r>
      <w:r w:rsidR="00DC5B26" w:rsidRPr="008A1DB4">
        <w:rPr>
          <w:spacing w:val="-2"/>
          <w:lang w:val="en-US"/>
        </w:rPr>
        <w:t xml:space="preserve"> </w:t>
      </w:r>
      <w:r w:rsidR="00F36400" w:rsidRPr="008A1DB4">
        <w:rPr>
          <w:spacing w:val="-2"/>
          <w:lang w:val="en-US"/>
        </w:rPr>
        <w:t>Article</w:t>
      </w:r>
      <w:r w:rsidR="00DC5B26" w:rsidRPr="008A1DB4">
        <w:rPr>
          <w:spacing w:val="-2"/>
          <w:lang w:val="en-US"/>
        </w:rPr>
        <w:t>s 4</w:t>
      </w:r>
      <w:r w:rsidR="00F36400" w:rsidRPr="008A1DB4">
        <w:rPr>
          <w:spacing w:val="-2"/>
          <w:lang w:val="en-US"/>
        </w:rPr>
        <w:t xml:space="preserve"> and </w:t>
      </w:r>
      <w:r w:rsidR="00DC5B26" w:rsidRPr="008A1DB4">
        <w:rPr>
          <w:spacing w:val="-2"/>
          <w:lang w:val="en-US"/>
        </w:rPr>
        <w:t>5</w:t>
      </w:r>
      <w:r w:rsidR="00F36400" w:rsidRPr="008A1DB4">
        <w:rPr>
          <w:spacing w:val="-2"/>
          <w:lang w:val="en-US"/>
        </w:rPr>
        <w:t xml:space="preserve"> of the Convention</w:t>
      </w:r>
      <w:r w:rsidR="00DC5B26" w:rsidRPr="008A1DB4">
        <w:rPr>
          <w:spacing w:val="-2"/>
          <w:lang w:val="en-US"/>
        </w:rPr>
        <w:t xml:space="preserve">, </w:t>
      </w:r>
      <w:r w:rsidRPr="008A1DB4">
        <w:rPr>
          <w:spacing w:val="-2"/>
          <w:lang w:val="en-US"/>
        </w:rPr>
        <w:lastRenderedPageBreak/>
        <w:t>in relation to</w:t>
      </w:r>
      <w:r w:rsidR="00DC5B26" w:rsidRPr="008A1DB4">
        <w:rPr>
          <w:spacing w:val="-2"/>
          <w:lang w:val="en-US"/>
        </w:rPr>
        <w:t xml:space="preserve"> </w:t>
      </w:r>
      <w:r w:rsidR="00F36400" w:rsidRPr="008A1DB4">
        <w:rPr>
          <w:spacing w:val="-2"/>
          <w:lang w:val="en-US"/>
        </w:rPr>
        <w:t>Article 1(1)</w:t>
      </w:r>
      <w:r w:rsidR="00DC5B26" w:rsidRPr="008A1DB4">
        <w:rPr>
          <w:spacing w:val="-2"/>
          <w:lang w:val="en-US"/>
        </w:rPr>
        <w:t xml:space="preserve"> </w:t>
      </w:r>
      <w:r w:rsidRPr="008A1DB4">
        <w:rPr>
          <w:spacing w:val="-2"/>
          <w:lang w:val="en-US"/>
        </w:rPr>
        <w:t xml:space="preserve">of this instrument, or the obligation </w:t>
      </w:r>
      <w:r w:rsidR="00071662" w:rsidRPr="008A1DB4">
        <w:rPr>
          <w:spacing w:val="-2"/>
          <w:lang w:val="en-US"/>
        </w:rPr>
        <w:t>of non-</w:t>
      </w:r>
      <w:proofErr w:type="spellStart"/>
      <w:r w:rsidR="00071662" w:rsidRPr="008A1DB4">
        <w:rPr>
          <w:spacing w:val="-2"/>
          <w:lang w:val="en-US"/>
        </w:rPr>
        <w:t>refoulement</w:t>
      </w:r>
      <w:proofErr w:type="spellEnd"/>
      <w:r w:rsidR="00DC5B26" w:rsidRPr="008A1DB4">
        <w:rPr>
          <w:spacing w:val="-2"/>
          <w:lang w:val="en-US"/>
        </w:rPr>
        <w:t xml:space="preserve"> </w:t>
      </w:r>
      <w:r w:rsidRPr="008A1DB4">
        <w:rPr>
          <w:spacing w:val="-2"/>
          <w:lang w:val="en-US"/>
        </w:rPr>
        <w:t>established in</w:t>
      </w:r>
      <w:r w:rsidR="00DC5B26" w:rsidRPr="008A1DB4">
        <w:rPr>
          <w:spacing w:val="-2"/>
          <w:lang w:val="en-US"/>
        </w:rPr>
        <w:t xml:space="preserve"> </w:t>
      </w:r>
      <w:r w:rsidR="00F36400" w:rsidRPr="008A1DB4">
        <w:rPr>
          <w:spacing w:val="-2"/>
          <w:lang w:val="en-US"/>
        </w:rPr>
        <w:t>Article</w:t>
      </w:r>
      <w:r w:rsidRPr="008A1DB4">
        <w:rPr>
          <w:spacing w:val="-2"/>
          <w:lang w:val="en-US"/>
        </w:rPr>
        <w:t xml:space="preserve"> 13</w:t>
      </w:r>
      <w:r w:rsidR="00DC5B26" w:rsidRPr="008A1DB4">
        <w:rPr>
          <w:spacing w:val="-2"/>
          <w:lang w:val="en-US"/>
        </w:rPr>
        <w:t>(4)</w:t>
      </w:r>
      <w:r w:rsidR="00F36400" w:rsidRPr="008A1DB4">
        <w:rPr>
          <w:spacing w:val="-2"/>
          <w:lang w:val="en-US"/>
        </w:rPr>
        <w:t xml:space="preserve"> of the </w:t>
      </w:r>
      <w:r w:rsidR="00071662" w:rsidRPr="008A1DB4">
        <w:rPr>
          <w:spacing w:val="-2"/>
          <w:lang w:val="en-US"/>
        </w:rPr>
        <w:t>Inter-American Convention to Prevent and Punish Torture</w:t>
      </w:r>
      <w:r w:rsidR="00DC5B26" w:rsidRPr="008A1DB4">
        <w:rPr>
          <w:spacing w:val="-2"/>
          <w:lang w:val="en-US"/>
        </w:rPr>
        <w:t>.</w:t>
      </w:r>
    </w:p>
    <w:p w14:paraId="5FAFA0B8" w14:textId="77777777" w:rsidR="00551195" w:rsidRPr="008A1DB4" w:rsidRDefault="00551195" w:rsidP="008B1792">
      <w:pPr>
        <w:tabs>
          <w:tab w:val="left" w:pos="567"/>
        </w:tabs>
        <w:autoSpaceDE w:val="0"/>
        <w:autoSpaceDN w:val="0"/>
        <w:spacing w:before="40" w:after="40"/>
        <w:rPr>
          <w:rFonts w:eastAsia="Calibri" w:cs="Arial"/>
          <w:color w:val="000000"/>
          <w:spacing w:val="-2"/>
          <w:szCs w:val="20"/>
          <w:lang w:val="en-US"/>
        </w:rPr>
      </w:pPr>
    </w:p>
    <w:p w14:paraId="6FB598AB" w14:textId="671F4DB3" w:rsidR="004C0403"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24AED28E" w14:textId="77777777" w:rsidR="004C0403" w:rsidRPr="008A1DB4" w:rsidRDefault="004C0403" w:rsidP="008B1792">
      <w:pPr>
        <w:tabs>
          <w:tab w:val="left" w:pos="567"/>
        </w:tabs>
        <w:spacing w:before="40" w:after="40"/>
        <w:rPr>
          <w:rFonts w:eastAsia="Batang" w:cs="Times"/>
          <w:spacing w:val="-2"/>
          <w:szCs w:val="20"/>
          <w:lang w:val="en-US"/>
        </w:rPr>
      </w:pPr>
    </w:p>
    <w:p w14:paraId="61D063EE" w14:textId="58F388B5" w:rsidR="004C0403"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three votes in favor and three against, and the deciding vote of the President, that:</w:t>
      </w:r>
    </w:p>
    <w:p w14:paraId="12969335" w14:textId="77777777" w:rsidR="004C0403" w:rsidRPr="008A1DB4" w:rsidRDefault="004C0403" w:rsidP="008B1792">
      <w:pPr>
        <w:tabs>
          <w:tab w:val="left" w:pos="567"/>
        </w:tabs>
        <w:autoSpaceDE w:val="0"/>
        <w:autoSpaceDN w:val="0"/>
        <w:spacing w:before="40" w:after="40"/>
        <w:rPr>
          <w:rFonts w:eastAsia="Calibri" w:cs="Arial"/>
          <w:color w:val="000000"/>
          <w:spacing w:val="-2"/>
          <w:szCs w:val="20"/>
          <w:lang w:val="en-US"/>
        </w:rPr>
      </w:pPr>
    </w:p>
    <w:p w14:paraId="359A0164" w14:textId="40BD1E4A" w:rsidR="009106C7" w:rsidRPr="008A1DB4" w:rsidRDefault="00F36400" w:rsidP="008B1792">
      <w:pPr>
        <w:numPr>
          <w:ilvl w:val="0"/>
          <w:numId w:val="13"/>
        </w:numPr>
        <w:tabs>
          <w:tab w:val="left" w:pos="567"/>
        </w:tabs>
        <w:autoSpaceDE w:val="0"/>
        <w:autoSpaceDN w:val="0"/>
        <w:spacing w:before="40" w:after="40"/>
        <w:ind w:left="0" w:firstLine="0"/>
        <w:rPr>
          <w:rFonts w:eastAsia="Calibri" w:cs="Arial"/>
          <w:color w:val="000000"/>
          <w:spacing w:val="-2"/>
          <w:szCs w:val="20"/>
          <w:lang w:val="en-US"/>
        </w:rPr>
      </w:pPr>
      <w:r w:rsidRPr="008A1DB4">
        <w:rPr>
          <w:spacing w:val="-2"/>
          <w:lang w:val="en-US"/>
        </w:rPr>
        <w:t>The State</w:t>
      </w:r>
      <w:r w:rsidR="009106C7" w:rsidRPr="008A1DB4">
        <w:rPr>
          <w:spacing w:val="-2"/>
          <w:lang w:val="en-US"/>
        </w:rPr>
        <w:t xml:space="preserve"> </w:t>
      </w:r>
      <w:r w:rsidR="009E5939" w:rsidRPr="008A1DB4">
        <w:rPr>
          <w:spacing w:val="-2"/>
          <w:lang w:val="en-US"/>
        </w:rPr>
        <w:t>is responsible for the violation</w:t>
      </w:r>
      <w:r w:rsidR="009106C7" w:rsidRPr="008A1DB4">
        <w:rPr>
          <w:spacing w:val="-2"/>
          <w:lang w:val="en-US"/>
        </w:rPr>
        <w:t xml:space="preserve"> </w:t>
      </w:r>
      <w:r w:rsidR="009E5939" w:rsidRPr="008A1DB4">
        <w:rPr>
          <w:spacing w:val="-2"/>
          <w:lang w:val="en-US"/>
        </w:rPr>
        <w:t xml:space="preserve">of the guarantee of </w:t>
      </w:r>
      <w:r w:rsidR="002F702F">
        <w:rPr>
          <w:spacing w:val="-2"/>
          <w:lang w:val="en-US"/>
        </w:rPr>
        <w:t xml:space="preserve">a </w:t>
      </w:r>
      <w:r w:rsidR="00A33F97" w:rsidRPr="008A1DB4">
        <w:rPr>
          <w:spacing w:val="-2"/>
          <w:lang w:val="en-US"/>
        </w:rPr>
        <w:t>reasonable time</w:t>
      </w:r>
      <w:r w:rsidR="002F702F">
        <w:rPr>
          <w:spacing w:val="-2"/>
          <w:lang w:val="en-US"/>
        </w:rPr>
        <w:t>,</w:t>
      </w:r>
      <w:r w:rsidR="009106C7" w:rsidRPr="008A1DB4">
        <w:rPr>
          <w:spacing w:val="-2"/>
          <w:lang w:val="en-US"/>
        </w:rPr>
        <w:t xml:space="preserve"> </w:t>
      </w:r>
      <w:r w:rsidR="009E5939" w:rsidRPr="008A1DB4">
        <w:rPr>
          <w:spacing w:val="-2"/>
          <w:lang w:val="en-US"/>
        </w:rPr>
        <w:t xml:space="preserve">established in </w:t>
      </w:r>
      <w:r w:rsidRPr="008A1DB4">
        <w:rPr>
          <w:spacing w:val="-2"/>
          <w:lang w:val="en-US"/>
        </w:rPr>
        <w:t>Article</w:t>
      </w:r>
      <w:r w:rsidR="00A33F97" w:rsidRPr="008A1DB4">
        <w:rPr>
          <w:spacing w:val="-2"/>
          <w:lang w:val="en-US"/>
        </w:rPr>
        <w:t xml:space="preserve"> 8(1)</w:t>
      </w:r>
      <w:r w:rsidRPr="008A1DB4">
        <w:rPr>
          <w:spacing w:val="-2"/>
          <w:lang w:val="en-US"/>
        </w:rPr>
        <w:t xml:space="preserve"> of the American Convention</w:t>
      </w:r>
      <w:r w:rsidR="009106C7" w:rsidRPr="008A1DB4">
        <w:rPr>
          <w:spacing w:val="-2"/>
          <w:lang w:val="en-US"/>
        </w:rPr>
        <w:t xml:space="preserve"> </w:t>
      </w:r>
      <w:r w:rsidR="009E5939" w:rsidRPr="008A1DB4">
        <w:rPr>
          <w:spacing w:val="-2"/>
          <w:lang w:val="en-US"/>
        </w:rPr>
        <w:t>in relation to</w:t>
      </w:r>
      <w:r w:rsidR="009106C7" w:rsidRPr="008A1DB4">
        <w:rPr>
          <w:spacing w:val="-2"/>
          <w:lang w:val="en-US"/>
        </w:rPr>
        <w:t xml:space="preserve"> </w:t>
      </w:r>
      <w:r w:rsidRPr="008A1DB4">
        <w:rPr>
          <w:spacing w:val="-2"/>
          <w:lang w:val="en-US"/>
        </w:rPr>
        <w:t>Article 1(1)</w:t>
      </w:r>
      <w:r w:rsidR="009106C7" w:rsidRPr="008A1DB4">
        <w:rPr>
          <w:spacing w:val="-2"/>
          <w:lang w:val="en-US"/>
        </w:rPr>
        <w:t xml:space="preserve"> </w:t>
      </w:r>
      <w:r w:rsidR="009E5939" w:rsidRPr="008A1DB4">
        <w:rPr>
          <w:spacing w:val="-2"/>
          <w:lang w:val="en-US"/>
        </w:rPr>
        <w:t>thereof</w:t>
      </w:r>
      <w:r w:rsidR="009106C7" w:rsidRPr="008A1DB4">
        <w:rPr>
          <w:spacing w:val="-2"/>
          <w:lang w:val="en-US"/>
        </w:rPr>
        <w:t xml:space="preserve">, </w:t>
      </w:r>
      <w:r w:rsidRPr="008A1DB4">
        <w:rPr>
          <w:spacing w:val="-2"/>
          <w:lang w:val="en-US"/>
        </w:rPr>
        <w:t>to the detriment of</w:t>
      </w:r>
      <w:r w:rsidR="00840A83" w:rsidRPr="008A1DB4">
        <w:rPr>
          <w:spacing w:val="-2"/>
          <w:lang w:val="en-US"/>
        </w:rPr>
        <w:t xml:space="preserve"> Wong Ho Wing, </w:t>
      </w:r>
      <w:r w:rsidR="009E5939" w:rsidRPr="008A1DB4">
        <w:rPr>
          <w:spacing w:val="-2"/>
          <w:lang w:val="en-US"/>
        </w:rPr>
        <w:t>in the terms of</w:t>
      </w:r>
      <w:r w:rsidR="009106C7" w:rsidRPr="008A1DB4">
        <w:rPr>
          <w:spacing w:val="-2"/>
          <w:lang w:val="en-US"/>
        </w:rPr>
        <w:t xml:space="preserve"> </w:t>
      </w:r>
      <w:r w:rsidR="00776D24" w:rsidRPr="008A1DB4">
        <w:rPr>
          <w:spacing w:val="-2"/>
          <w:lang w:val="en-US"/>
        </w:rPr>
        <w:t>paragraph</w:t>
      </w:r>
      <w:r w:rsidR="009106C7" w:rsidRPr="008A1DB4">
        <w:rPr>
          <w:spacing w:val="-2"/>
          <w:lang w:val="en-US"/>
        </w:rPr>
        <w:t xml:space="preserve">s </w:t>
      </w:r>
      <w:r w:rsidR="006F49D3" w:rsidRPr="008A1DB4">
        <w:rPr>
          <w:spacing w:val="-2"/>
          <w:lang w:val="en-US"/>
        </w:rPr>
        <w:fldChar w:fldCharType="begin"/>
      </w:r>
      <w:r w:rsidR="006F49D3" w:rsidRPr="008A1DB4">
        <w:rPr>
          <w:spacing w:val="-2"/>
          <w:lang w:val="en-US"/>
        </w:rPr>
        <w:instrText xml:space="preserve"> REF _Ref423345456 \r \h </w:instrText>
      </w:r>
      <w:r w:rsidR="00E12631" w:rsidRPr="008A1DB4">
        <w:rPr>
          <w:spacing w:val="-2"/>
          <w:lang w:val="en-US"/>
        </w:rPr>
        <w:instrText xml:space="preserve"> \* MERGEFORMAT </w:instrText>
      </w:r>
      <w:r w:rsidR="006F49D3" w:rsidRPr="008A1DB4">
        <w:rPr>
          <w:spacing w:val="-2"/>
          <w:lang w:val="en-US"/>
        </w:rPr>
      </w:r>
      <w:r w:rsidR="006F49D3" w:rsidRPr="008A1DB4">
        <w:rPr>
          <w:spacing w:val="-2"/>
          <w:lang w:val="en-US"/>
        </w:rPr>
        <w:fldChar w:fldCharType="separate"/>
      </w:r>
      <w:r w:rsidR="00E961FA" w:rsidRPr="008A1DB4">
        <w:rPr>
          <w:spacing w:val="-2"/>
          <w:lang w:val="en-US"/>
        </w:rPr>
        <w:t>207</w:t>
      </w:r>
      <w:r w:rsidR="006F49D3" w:rsidRPr="008A1DB4">
        <w:rPr>
          <w:spacing w:val="-2"/>
          <w:lang w:val="en-US"/>
        </w:rPr>
        <w:fldChar w:fldCharType="end"/>
      </w:r>
      <w:r w:rsidR="002F1744" w:rsidRPr="008A1DB4">
        <w:rPr>
          <w:spacing w:val="-2"/>
          <w:lang w:val="en-US"/>
        </w:rPr>
        <w:t xml:space="preserve"> to</w:t>
      </w:r>
      <w:r w:rsidR="006F49D3" w:rsidRPr="008A1DB4">
        <w:rPr>
          <w:spacing w:val="-2"/>
          <w:lang w:val="en-US"/>
        </w:rPr>
        <w:t xml:space="preserve"> </w:t>
      </w:r>
      <w:r w:rsidR="006F49D3" w:rsidRPr="008A1DB4">
        <w:rPr>
          <w:spacing w:val="-2"/>
          <w:lang w:val="en-US"/>
        </w:rPr>
        <w:fldChar w:fldCharType="begin"/>
      </w:r>
      <w:r w:rsidR="006F49D3" w:rsidRPr="008A1DB4">
        <w:rPr>
          <w:spacing w:val="-2"/>
          <w:lang w:val="en-US"/>
        </w:rPr>
        <w:instrText xml:space="preserve"> REF _Ref417307041 \r \h </w:instrText>
      </w:r>
      <w:r w:rsidR="00E12631" w:rsidRPr="008A1DB4">
        <w:rPr>
          <w:spacing w:val="-2"/>
          <w:lang w:val="en-US"/>
        </w:rPr>
        <w:instrText xml:space="preserve"> \* MERGEFORMAT </w:instrText>
      </w:r>
      <w:r w:rsidR="006F49D3" w:rsidRPr="008A1DB4">
        <w:rPr>
          <w:spacing w:val="-2"/>
          <w:lang w:val="en-US"/>
        </w:rPr>
      </w:r>
      <w:r w:rsidR="006F49D3" w:rsidRPr="008A1DB4">
        <w:rPr>
          <w:spacing w:val="-2"/>
          <w:lang w:val="en-US"/>
        </w:rPr>
        <w:fldChar w:fldCharType="separate"/>
      </w:r>
      <w:r w:rsidR="00E961FA" w:rsidRPr="008A1DB4">
        <w:rPr>
          <w:spacing w:val="-2"/>
          <w:lang w:val="en-US"/>
        </w:rPr>
        <w:t>223</w:t>
      </w:r>
      <w:r w:rsidR="006F49D3" w:rsidRPr="008A1DB4">
        <w:rPr>
          <w:spacing w:val="-2"/>
          <w:lang w:val="en-US"/>
        </w:rPr>
        <w:fldChar w:fldCharType="end"/>
      </w:r>
      <w:r w:rsidR="009106C7" w:rsidRPr="008A1DB4">
        <w:rPr>
          <w:spacing w:val="-2"/>
          <w:lang w:val="en-US"/>
        </w:rPr>
        <w:t xml:space="preserve">. </w:t>
      </w:r>
    </w:p>
    <w:p w14:paraId="70342873" w14:textId="77777777" w:rsidR="00FE3322" w:rsidRPr="008A1DB4" w:rsidRDefault="00FE3322" w:rsidP="008B1792">
      <w:pPr>
        <w:pStyle w:val="ListParagraph"/>
        <w:tabs>
          <w:tab w:val="left" w:pos="567"/>
          <w:tab w:val="left" w:pos="630"/>
        </w:tabs>
        <w:spacing w:before="40" w:after="40"/>
        <w:ind w:left="0"/>
        <w:contextualSpacing w:val="0"/>
        <w:rPr>
          <w:spacing w:val="-2"/>
          <w:szCs w:val="20"/>
          <w:lang w:val="en-US"/>
        </w:rPr>
      </w:pPr>
    </w:p>
    <w:p w14:paraId="1C00BCCA" w14:textId="7DF47688"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Judges</w:t>
      </w:r>
      <w:r w:rsidR="004B0210" w:rsidRPr="008A1DB4">
        <w:rPr>
          <w:rFonts w:eastAsia="Calibri" w:cs="Arial"/>
          <w:color w:val="000000"/>
          <w:spacing w:val="-2"/>
          <w:szCs w:val="20"/>
          <w:lang w:val="en-US"/>
        </w:rPr>
        <w:t xml:space="preserve"> F. Caldas, Pérez </w:t>
      </w:r>
      <w:proofErr w:type="spellStart"/>
      <w:r w:rsidR="004B0210" w:rsidRPr="008A1DB4">
        <w:rPr>
          <w:rFonts w:eastAsia="Calibri" w:cs="Arial"/>
          <w:color w:val="000000"/>
          <w:spacing w:val="-2"/>
          <w:szCs w:val="20"/>
          <w:lang w:val="en-US"/>
        </w:rPr>
        <w:t>Pérez</w:t>
      </w:r>
      <w:proofErr w:type="spellEnd"/>
      <w:r w:rsidR="00F36400" w:rsidRPr="008A1DB4">
        <w:rPr>
          <w:rFonts w:eastAsia="Calibri" w:cs="Arial"/>
          <w:color w:val="000000"/>
          <w:spacing w:val="-2"/>
          <w:szCs w:val="20"/>
          <w:lang w:val="en-US"/>
        </w:rPr>
        <w:t xml:space="preserve"> and </w:t>
      </w:r>
      <w:proofErr w:type="spellStart"/>
      <w:r w:rsidR="004B0210" w:rsidRPr="008A1DB4">
        <w:rPr>
          <w:rFonts w:eastAsia="Calibri" w:cs="Arial"/>
          <w:color w:val="000000"/>
          <w:spacing w:val="-2"/>
          <w:szCs w:val="20"/>
          <w:lang w:val="en-US"/>
        </w:rPr>
        <w:t>Vio</w:t>
      </w:r>
      <w:proofErr w:type="spellEnd"/>
      <w:r w:rsidR="004B0210" w:rsidRPr="008A1DB4">
        <w:rPr>
          <w:rFonts w:eastAsia="Calibri" w:cs="Arial"/>
          <w:color w:val="000000"/>
          <w:spacing w:val="-2"/>
          <w:szCs w:val="20"/>
          <w:lang w:val="en-US"/>
        </w:rPr>
        <w:t xml:space="preserve"> </w:t>
      </w:r>
      <w:proofErr w:type="spellStart"/>
      <w:r w:rsidR="004B0210"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r w:rsidR="004B0210" w:rsidRPr="008A1DB4">
        <w:rPr>
          <w:rFonts w:eastAsia="Calibri" w:cs="Arial"/>
          <w:color w:val="000000"/>
          <w:spacing w:val="-2"/>
          <w:szCs w:val="20"/>
          <w:lang w:val="en-US"/>
        </w:rPr>
        <w:t>.</w:t>
      </w:r>
      <w:proofErr w:type="gramEnd"/>
      <w:r w:rsidR="004B0210" w:rsidRPr="008A1DB4">
        <w:rPr>
          <w:rFonts w:eastAsia="Calibri" w:cs="Arial"/>
          <w:color w:val="000000"/>
          <w:spacing w:val="-2"/>
          <w:szCs w:val="20"/>
          <w:lang w:val="en-US"/>
        </w:rPr>
        <w:t xml:space="preserve"> </w:t>
      </w:r>
    </w:p>
    <w:p w14:paraId="63575258" w14:textId="77777777" w:rsidR="004B0210" w:rsidRPr="008A1DB4" w:rsidRDefault="004B0210" w:rsidP="008B1792">
      <w:pPr>
        <w:tabs>
          <w:tab w:val="left" w:pos="567"/>
          <w:tab w:val="left" w:pos="720"/>
        </w:tabs>
        <w:spacing w:before="40" w:after="40"/>
        <w:rPr>
          <w:rFonts w:cs="Verdana"/>
          <w:spacing w:val="-2"/>
          <w:szCs w:val="20"/>
          <w:lang w:val="en-US"/>
        </w:rPr>
      </w:pPr>
    </w:p>
    <w:p w14:paraId="27FEE651" w14:textId="781DAE9C"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4B0210" w:rsidRPr="008A1DB4">
        <w:rPr>
          <w:rFonts w:cs="Verdana"/>
          <w:spacing w:val="-2"/>
          <w:szCs w:val="20"/>
          <w:lang w:val="en-US"/>
        </w:rPr>
        <w:t>:</w:t>
      </w:r>
    </w:p>
    <w:p w14:paraId="78D67DED" w14:textId="77777777" w:rsidR="004B0210" w:rsidRPr="008A1DB4" w:rsidRDefault="004B0210" w:rsidP="008B1792">
      <w:pPr>
        <w:pStyle w:val="ListParagraph"/>
        <w:tabs>
          <w:tab w:val="left" w:pos="567"/>
          <w:tab w:val="left" w:pos="630"/>
        </w:tabs>
        <w:spacing w:before="40" w:after="40"/>
        <w:ind w:left="0"/>
        <w:contextualSpacing w:val="0"/>
        <w:rPr>
          <w:spacing w:val="-2"/>
          <w:szCs w:val="20"/>
          <w:lang w:val="en-US"/>
        </w:rPr>
      </w:pPr>
    </w:p>
    <w:p w14:paraId="57A9D865" w14:textId="323FD81C" w:rsidR="0084644C" w:rsidRPr="008A1DB4" w:rsidRDefault="00F36400" w:rsidP="008B1792">
      <w:pPr>
        <w:numPr>
          <w:ilvl w:val="0"/>
          <w:numId w:val="13"/>
        </w:numPr>
        <w:tabs>
          <w:tab w:val="left" w:pos="567"/>
        </w:tabs>
        <w:spacing w:before="40" w:after="40"/>
        <w:ind w:left="0" w:firstLine="0"/>
        <w:rPr>
          <w:rFonts w:eastAsia="Batang" w:cs="Times"/>
          <w:spacing w:val="-2"/>
          <w:szCs w:val="20"/>
          <w:lang w:val="en-US"/>
        </w:rPr>
      </w:pPr>
      <w:r w:rsidRPr="008A1DB4">
        <w:rPr>
          <w:rFonts w:eastAsia="Batang" w:cs="Times"/>
          <w:spacing w:val="-2"/>
          <w:szCs w:val="20"/>
          <w:lang w:val="en-US"/>
        </w:rPr>
        <w:t>The State</w:t>
      </w:r>
      <w:r w:rsidR="00FE3322" w:rsidRPr="008A1DB4">
        <w:rPr>
          <w:rFonts w:eastAsia="Batang" w:cs="Times"/>
          <w:spacing w:val="-2"/>
          <w:szCs w:val="20"/>
          <w:lang w:val="en-US"/>
        </w:rPr>
        <w:t xml:space="preserve"> </w:t>
      </w:r>
      <w:r w:rsidR="009E5939" w:rsidRPr="008A1DB4">
        <w:rPr>
          <w:rFonts w:eastAsia="Batang" w:cs="Times"/>
          <w:spacing w:val="-2"/>
          <w:szCs w:val="20"/>
          <w:lang w:val="en-US"/>
        </w:rPr>
        <w:t>is responsible for the violation</w:t>
      </w:r>
      <w:r w:rsidR="00FE3322" w:rsidRPr="008A1DB4">
        <w:rPr>
          <w:rFonts w:eastAsia="Batang" w:cs="Times"/>
          <w:spacing w:val="-2"/>
          <w:szCs w:val="20"/>
          <w:lang w:val="en-US"/>
        </w:rPr>
        <w:t xml:space="preserve"> </w:t>
      </w:r>
      <w:r w:rsidR="009E5939" w:rsidRPr="008A1DB4">
        <w:rPr>
          <w:rFonts w:eastAsia="Batang" w:cs="Times"/>
          <w:spacing w:val="-2"/>
          <w:szCs w:val="20"/>
          <w:lang w:val="en-US"/>
        </w:rPr>
        <w:t>of the right to</w:t>
      </w:r>
      <w:r w:rsidR="00FE3322" w:rsidRPr="008A1DB4">
        <w:rPr>
          <w:rFonts w:eastAsia="Batang" w:cs="Times"/>
          <w:spacing w:val="-2"/>
          <w:szCs w:val="20"/>
          <w:lang w:val="en-US"/>
        </w:rPr>
        <w:t xml:space="preserve"> </w:t>
      </w:r>
      <w:r w:rsidR="00776D24" w:rsidRPr="008A1DB4">
        <w:rPr>
          <w:rFonts w:eastAsia="Batang" w:cs="Times"/>
          <w:spacing w:val="-2"/>
          <w:szCs w:val="20"/>
          <w:lang w:val="en-US"/>
        </w:rPr>
        <w:t>personal liberty</w:t>
      </w:r>
      <w:r w:rsidR="00FE3322" w:rsidRPr="008A1DB4">
        <w:rPr>
          <w:rFonts w:eastAsia="Batang" w:cs="Times"/>
          <w:spacing w:val="-2"/>
          <w:szCs w:val="20"/>
          <w:lang w:val="en-US"/>
        </w:rPr>
        <w:t xml:space="preserve">, </w:t>
      </w:r>
      <w:r w:rsidR="009E5939" w:rsidRPr="008A1DB4">
        <w:rPr>
          <w:rFonts w:eastAsia="Batang" w:cs="Times"/>
          <w:spacing w:val="-2"/>
          <w:szCs w:val="20"/>
          <w:lang w:val="en-US"/>
        </w:rPr>
        <w:t>recognized in</w:t>
      </w:r>
      <w:r w:rsidR="00FE3322" w:rsidRPr="008A1DB4">
        <w:rPr>
          <w:rFonts w:eastAsia="Batang" w:cs="Times"/>
          <w:spacing w:val="-2"/>
          <w:szCs w:val="20"/>
          <w:lang w:val="en-US"/>
        </w:rPr>
        <w:t xml:space="preserve"> </w:t>
      </w:r>
      <w:r w:rsidR="00851076" w:rsidRPr="008A1DB4">
        <w:rPr>
          <w:rFonts w:eastAsia="Batang" w:cs="Times"/>
          <w:spacing w:val="-2"/>
          <w:szCs w:val="20"/>
          <w:lang w:val="en-US"/>
        </w:rPr>
        <w:t>Article 7(1)</w:t>
      </w:r>
      <w:r w:rsidR="009E5939" w:rsidRPr="008A1DB4">
        <w:rPr>
          <w:rFonts w:eastAsia="Batang" w:cs="Times"/>
          <w:spacing w:val="-2"/>
          <w:szCs w:val="20"/>
          <w:lang w:val="en-US"/>
        </w:rPr>
        <w:t>, 7(</w:t>
      </w:r>
      <w:r w:rsidR="00532479" w:rsidRPr="008A1DB4">
        <w:rPr>
          <w:rFonts w:eastAsia="Batang" w:cs="Times"/>
          <w:spacing w:val="-2"/>
          <w:szCs w:val="20"/>
          <w:lang w:val="en-US"/>
        </w:rPr>
        <w:t>3</w:t>
      </w:r>
      <w:r w:rsidR="009E5939" w:rsidRPr="008A1DB4">
        <w:rPr>
          <w:rFonts w:eastAsia="Batang" w:cs="Times"/>
          <w:spacing w:val="-2"/>
          <w:szCs w:val="20"/>
          <w:lang w:val="en-US"/>
        </w:rPr>
        <w:t>), 7(</w:t>
      </w:r>
      <w:r w:rsidR="00532479" w:rsidRPr="008A1DB4">
        <w:rPr>
          <w:rFonts w:eastAsia="Batang" w:cs="Times"/>
          <w:spacing w:val="-2"/>
          <w:szCs w:val="20"/>
          <w:lang w:val="en-US"/>
        </w:rPr>
        <w:t>5</w:t>
      </w:r>
      <w:r w:rsidR="009E5939" w:rsidRPr="008A1DB4">
        <w:rPr>
          <w:rFonts w:eastAsia="Batang" w:cs="Times"/>
          <w:spacing w:val="-2"/>
          <w:szCs w:val="20"/>
          <w:lang w:val="en-US"/>
        </w:rPr>
        <w:t>)</w:t>
      </w:r>
      <w:r w:rsidRPr="008A1DB4">
        <w:rPr>
          <w:rFonts w:eastAsia="Batang" w:cs="Times"/>
          <w:spacing w:val="-2"/>
          <w:szCs w:val="20"/>
          <w:lang w:val="en-US"/>
        </w:rPr>
        <w:t xml:space="preserve"> and </w:t>
      </w:r>
      <w:r w:rsidR="009E5939" w:rsidRPr="008A1DB4">
        <w:rPr>
          <w:rFonts w:eastAsia="Batang" w:cs="Times"/>
          <w:spacing w:val="-2"/>
          <w:szCs w:val="20"/>
          <w:lang w:val="en-US"/>
        </w:rPr>
        <w:t>7(</w:t>
      </w:r>
      <w:r w:rsidR="00532479" w:rsidRPr="008A1DB4">
        <w:rPr>
          <w:rFonts w:eastAsia="Batang" w:cs="Times"/>
          <w:spacing w:val="-2"/>
          <w:szCs w:val="20"/>
          <w:lang w:val="en-US"/>
        </w:rPr>
        <w:t>6</w:t>
      </w:r>
      <w:r w:rsidR="009E5939" w:rsidRPr="008A1DB4">
        <w:rPr>
          <w:rFonts w:eastAsia="Batang" w:cs="Times"/>
          <w:spacing w:val="-2"/>
          <w:szCs w:val="20"/>
          <w:lang w:val="en-US"/>
        </w:rPr>
        <w:t>)</w:t>
      </w:r>
      <w:r w:rsidRPr="008A1DB4">
        <w:rPr>
          <w:rFonts w:eastAsia="Batang" w:cs="Times"/>
          <w:spacing w:val="-2"/>
          <w:szCs w:val="20"/>
          <w:lang w:val="en-US"/>
        </w:rPr>
        <w:t xml:space="preserve"> of the American Convention</w:t>
      </w:r>
      <w:r w:rsidR="00FE3322" w:rsidRPr="008A1DB4">
        <w:rPr>
          <w:rFonts w:eastAsia="Batang" w:cs="Times"/>
          <w:spacing w:val="-2"/>
          <w:szCs w:val="20"/>
          <w:lang w:val="en-US"/>
        </w:rPr>
        <w:t xml:space="preserve"> </w:t>
      </w:r>
      <w:r w:rsidR="009E5939" w:rsidRPr="008A1DB4">
        <w:rPr>
          <w:rFonts w:eastAsia="Batang" w:cs="Times"/>
          <w:spacing w:val="-2"/>
          <w:szCs w:val="20"/>
          <w:lang w:val="en-US"/>
        </w:rPr>
        <w:t>in relation to</w:t>
      </w:r>
      <w:r w:rsidR="00FE3322" w:rsidRPr="008A1DB4">
        <w:rPr>
          <w:rFonts w:eastAsia="Batang" w:cs="Times"/>
          <w:spacing w:val="-2"/>
          <w:szCs w:val="20"/>
          <w:lang w:val="en-US"/>
        </w:rPr>
        <w:t xml:space="preserve"> </w:t>
      </w:r>
      <w:r w:rsidRPr="008A1DB4">
        <w:rPr>
          <w:rFonts w:eastAsia="Batang" w:cs="Times"/>
          <w:spacing w:val="-2"/>
          <w:szCs w:val="20"/>
          <w:lang w:val="en-US"/>
        </w:rPr>
        <w:t>Article 1(1)</w:t>
      </w:r>
      <w:r w:rsidR="00FE3322" w:rsidRPr="008A1DB4">
        <w:rPr>
          <w:rFonts w:eastAsia="Batang" w:cs="Times"/>
          <w:spacing w:val="-2"/>
          <w:szCs w:val="20"/>
          <w:lang w:val="en-US"/>
        </w:rPr>
        <w:t xml:space="preserve"> </w:t>
      </w:r>
      <w:r w:rsidR="009E5939" w:rsidRPr="008A1DB4">
        <w:rPr>
          <w:rFonts w:eastAsia="Batang" w:cs="Times"/>
          <w:spacing w:val="-2"/>
          <w:szCs w:val="20"/>
          <w:lang w:val="en-US"/>
        </w:rPr>
        <w:t>thereof</w:t>
      </w:r>
      <w:r w:rsidR="00FE3322" w:rsidRPr="008A1DB4">
        <w:rPr>
          <w:rFonts w:eastAsia="Batang" w:cs="Times"/>
          <w:spacing w:val="-2"/>
          <w:szCs w:val="20"/>
          <w:lang w:val="en-US"/>
        </w:rPr>
        <w:t xml:space="preserve">, </w:t>
      </w:r>
      <w:r w:rsidRPr="008A1DB4">
        <w:rPr>
          <w:rFonts w:eastAsia="Batang" w:cs="Times"/>
          <w:spacing w:val="-2"/>
          <w:szCs w:val="20"/>
          <w:lang w:val="en-US"/>
        </w:rPr>
        <w:t>to the detriment of</w:t>
      </w:r>
      <w:r w:rsidR="00465C15" w:rsidRPr="008A1DB4">
        <w:rPr>
          <w:rFonts w:eastAsia="Batang" w:cs="Times"/>
          <w:spacing w:val="-2"/>
          <w:szCs w:val="20"/>
          <w:lang w:val="en-US"/>
        </w:rPr>
        <w:t xml:space="preserve"> Wong Ho Wing</w:t>
      </w:r>
      <w:r w:rsidR="00FE3322" w:rsidRPr="008A1DB4">
        <w:rPr>
          <w:rFonts w:eastAsia="Batang" w:cs="Times"/>
          <w:spacing w:val="-2"/>
          <w:szCs w:val="20"/>
          <w:lang w:val="en-US"/>
        </w:rPr>
        <w:t xml:space="preserve">, </w:t>
      </w:r>
      <w:r w:rsidR="009E5939" w:rsidRPr="008A1DB4">
        <w:rPr>
          <w:rFonts w:eastAsia="Batang" w:cs="Times"/>
          <w:spacing w:val="-2"/>
          <w:szCs w:val="20"/>
          <w:lang w:val="en-US"/>
        </w:rPr>
        <w:t>in the terms of</w:t>
      </w:r>
      <w:r w:rsidR="00FE3322" w:rsidRPr="008A1DB4">
        <w:rPr>
          <w:rFonts w:eastAsia="Batang" w:cs="Times"/>
          <w:spacing w:val="-2"/>
          <w:szCs w:val="20"/>
          <w:lang w:val="en-US"/>
        </w:rPr>
        <w:t xml:space="preserve"> </w:t>
      </w:r>
      <w:r w:rsidR="00776D24" w:rsidRPr="008A1DB4">
        <w:rPr>
          <w:rFonts w:eastAsia="Batang" w:cs="Times"/>
          <w:spacing w:val="-2"/>
          <w:szCs w:val="20"/>
          <w:lang w:val="en-US"/>
        </w:rPr>
        <w:t>paragraph</w:t>
      </w:r>
      <w:r w:rsidR="00FE3322" w:rsidRPr="008A1DB4">
        <w:rPr>
          <w:rFonts w:eastAsia="Batang" w:cs="Times"/>
          <w:spacing w:val="-2"/>
          <w:szCs w:val="20"/>
          <w:lang w:val="en-US"/>
        </w:rPr>
        <w:t>s</w:t>
      </w:r>
      <w:r w:rsidR="00407902" w:rsidRPr="008A1DB4">
        <w:rPr>
          <w:spacing w:val="-2"/>
          <w:szCs w:val="20"/>
          <w:lang w:val="en-US"/>
        </w:rPr>
        <w:t xml:space="preserve"> </w:t>
      </w:r>
      <w:r w:rsidR="00803862" w:rsidRPr="008A1DB4">
        <w:rPr>
          <w:spacing w:val="-2"/>
          <w:szCs w:val="20"/>
          <w:lang w:val="en-US"/>
        </w:rPr>
        <w:fldChar w:fldCharType="begin"/>
      </w:r>
      <w:r w:rsidR="00407902" w:rsidRPr="008A1DB4">
        <w:rPr>
          <w:spacing w:val="-2"/>
          <w:szCs w:val="20"/>
          <w:lang w:val="en-US"/>
        </w:rPr>
        <w:instrText xml:space="preserve"> REF _Ref419392527 \r \h </w:instrText>
      </w:r>
      <w:r w:rsidR="008D4D8F"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247</w:t>
      </w:r>
      <w:r w:rsidR="00803862" w:rsidRPr="008A1DB4">
        <w:rPr>
          <w:spacing w:val="-2"/>
          <w:szCs w:val="20"/>
          <w:lang w:val="en-US"/>
        </w:rPr>
        <w:fldChar w:fldCharType="end"/>
      </w:r>
      <w:r w:rsidR="002F1744" w:rsidRPr="008A1DB4">
        <w:rPr>
          <w:spacing w:val="-2"/>
          <w:szCs w:val="20"/>
          <w:lang w:val="en-US"/>
        </w:rPr>
        <w:t xml:space="preserve"> to</w:t>
      </w:r>
      <w:r w:rsidR="00407902" w:rsidRPr="008A1DB4">
        <w:rPr>
          <w:spacing w:val="-2"/>
          <w:szCs w:val="20"/>
          <w:lang w:val="en-US"/>
        </w:rPr>
        <w:t xml:space="preserve"> </w:t>
      </w:r>
      <w:r w:rsidR="00803862" w:rsidRPr="008A1DB4">
        <w:rPr>
          <w:spacing w:val="-2"/>
          <w:szCs w:val="20"/>
          <w:lang w:val="en-US"/>
        </w:rPr>
        <w:fldChar w:fldCharType="begin"/>
      </w:r>
      <w:r w:rsidR="00407902" w:rsidRPr="008A1DB4">
        <w:rPr>
          <w:spacing w:val="-2"/>
          <w:szCs w:val="20"/>
          <w:lang w:val="en-US"/>
        </w:rPr>
        <w:instrText xml:space="preserve"> REF _Ref419392670 \r \h </w:instrText>
      </w:r>
      <w:r w:rsidR="008D4D8F"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255</w:t>
      </w:r>
      <w:r w:rsidR="00803862" w:rsidRPr="008A1DB4">
        <w:rPr>
          <w:spacing w:val="-2"/>
          <w:szCs w:val="20"/>
          <w:lang w:val="en-US"/>
        </w:rPr>
        <w:fldChar w:fldCharType="end"/>
      </w:r>
      <w:r w:rsidR="0023346A" w:rsidRPr="008A1DB4">
        <w:rPr>
          <w:rFonts w:eastAsia="Batang" w:cs="Times"/>
          <w:spacing w:val="-2"/>
          <w:szCs w:val="20"/>
          <w:lang w:val="en-US"/>
        </w:rPr>
        <w:t xml:space="preserve">, </w:t>
      </w:r>
      <w:r w:rsidR="00803862" w:rsidRPr="008A1DB4">
        <w:rPr>
          <w:rFonts w:eastAsia="Batang" w:cs="Times"/>
          <w:spacing w:val="-2"/>
          <w:szCs w:val="20"/>
          <w:lang w:val="en-US"/>
        </w:rPr>
        <w:fldChar w:fldCharType="begin"/>
      </w:r>
      <w:r w:rsidR="0023346A" w:rsidRPr="008A1DB4">
        <w:rPr>
          <w:rFonts w:eastAsia="Batang" w:cs="Times"/>
          <w:spacing w:val="-2"/>
          <w:szCs w:val="20"/>
          <w:lang w:val="en-US"/>
        </w:rPr>
        <w:instrText xml:space="preserve"> REF _Ref419393019 \r \h </w:instrText>
      </w:r>
      <w:r w:rsidR="008D4D8F"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267</w:t>
      </w:r>
      <w:r w:rsidR="00803862" w:rsidRPr="008A1DB4">
        <w:rPr>
          <w:rFonts w:eastAsia="Batang" w:cs="Times"/>
          <w:spacing w:val="-2"/>
          <w:szCs w:val="20"/>
          <w:lang w:val="en-US"/>
        </w:rPr>
        <w:fldChar w:fldCharType="end"/>
      </w:r>
      <w:r w:rsidR="009E5939" w:rsidRPr="008A1DB4">
        <w:rPr>
          <w:rFonts w:eastAsia="Batang" w:cs="Times"/>
          <w:spacing w:val="-2"/>
          <w:szCs w:val="20"/>
          <w:lang w:val="en-US"/>
        </w:rPr>
        <w:t xml:space="preserve"> to</w:t>
      </w:r>
      <w:r w:rsidR="0023346A" w:rsidRPr="008A1DB4">
        <w:rPr>
          <w:rFonts w:eastAsia="Batang" w:cs="Times"/>
          <w:spacing w:val="-2"/>
          <w:szCs w:val="20"/>
          <w:lang w:val="en-US"/>
        </w:rPr>
        <w:t xml:space="preserve"> </w:t>
      </w:r>
      <w:r w:rsidR="00803862" w:rsidRPr="008A1DB4">
        <w:rPr>
          <w:rFonts w:eastAsia="Batang" w:cs="Times"/>
          <w:spacing w:val="-2"/>
          <w:szCs w:val="20"/>
          <w:lang w:val="en-US"/>
        </w:rPr>
        <w:fldChar w:fldCharType="begin"/>
      </w:r>
      <w:r w:rsidR="0023346A" w:rsidRPr="008A1DB4">
        <w:rPr>
          <w:rFonts w:eastAsia="Batang" w:cs="Times"/>
          <w:spacing w:val="-2"/>
          <w:szCs w:val="20"/>
          <w:lang w:val="en-US"/>
        </w:rPr>
        <w:instrText xml:space="preserve"> REF _Ref419393036 \r \h </w:instrText>
      </w:r>
      <w:r w:rsidR="008D4D8F"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275</w:t>
      </w:r>
      <w:r w:rsidR="00803862" w:rsidRPr="008A1DB4">
        <w:rPr>
          <w:rFonts w:eastAsia="Batang" w:cs="Times"/>
          <w:spacing w:val="-2"/>
          <w:szCs w:val="20"/>
          <w:lang w:val="en-US"/>
        </w:rPr>
        <w:fldChar w:fldCharType="end"/>
      </w:r>
      <w:r w:rsidRPr="008A1DB4">
        <w:rPr>
          <w:rFonts w:eastAsia="Batang" w:cs="Times"/>
          <w:spacing w:val="-2"/>
          <w:szCs w:val="20"/>
          <w:lang w:val="en-US"/>
        </w:rPr>
        <w:t xml:space="preserve"> and </w:t>
      </w:r>
      <w:r w:rsidR="00803862" w:rsidRPr="008A1DB4">
        <w:rPr>
          <w:rFonts w:eastAsia="Batang" w:cs="Times"/>
          <w:spacing w:val="-2"/>
          <w:szCs w:val="20"/>
          <w:lang w:val="en-US"/>
        </w:rPr>
        <w:fldChar w:fldCharType="begin"/>
      </w:r>
      <w:r w:rsidR="0023346A" w:rsidRPr="008A1DB4">
        <w:rPr>
          <w:rFonts w:eastAsia="Batang" w:cs="Times"/>
          <w:spacing w:val="-2"/>
          <w:szCs w:val="20"/>
          <w:lang w:val="en-US"/>
        </w:rPr>
        <w:instrText xml:space="preserve"> REF _Ref419393058 \r \h </w:instrText>
      </w:r>
      <w:r w:rsidR="008D4D8F"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279</w:t>
      </w:r>
      <w:r w:rsidR="00803862" w:rsidRPr="008A1DB4">
        <w:rPr>
          <w:rFonts w:eastAsia="Batang" w:cs="Times"/>
          <w:spacing w:val="-2"/>
          <w:szCs w:val="20"/>
          <w:lang w:val="en-US"/>
        </w:rPr>
        <w:fldChar w:fldCharType="end"/>
      </w:r>
      <w:r w:rsidR="009E5939" w:rsidRPr="008A1DB4">
        <w:rPr>
          <w:rFonts w:eastAsia="Batang" w:cs="Times"/>
          <w:spacing w:val="-2"/>
          <w:szCs w:val="20"/>
          <w:lang w:val="en-US"/>
        </w:rPr>
        <w:t xml:space="preserve"> to</w:t>
      </w:r>
      <w:r w:rsidR="0023346A" w:rsidRPr="008A1DB4">
        <w:rPr>
          <w:rFonts w:eastAsia="Batang" w:cs="Times"/>
          <w:spacing w:val="-2"/>
          <w:szCs w:val="20"/>
          <w:lang w:val="en-US"/>
        </w:rPr>
        <w:t xml:space="preserve"> </w:t>
      </w:r>
      <w:r w:rsidR="00803862" w:rsidRPr="008A1DB4">
        <w:rPr>
          <w:rFonts w:eastAsia="Batang" w:cs="Times"/>
          <w:spacing w:val="-2"/>
          <w:szCs w:val="20"/>
          <w:lang w:val="en-US"/>
        </w:rPr>
        <w:fldChar w:fldCharType="begin"/>
      </w:r>
      <w:r w:rsidR="0023346A" w:rsidRPr="008A1DB4">
        <w:rPr>
          <w:rFonts w:eastAsia="Batang" w:cs="Times"/>
          <w:spacing w:val="-2"/>
          <w:szCs w:val="20"/>
          <w:lang w:val="en-US"/>
        </w:rPr>
        <w:instrText xml:space="preserve"> REF _Ref419392333 \r \h </w:instrText>
      </w:r>
      <w:r w:rsidR="008D4D8F"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292</w:t>
      </w:r>
      <w:r w:rsidR="00803862" w:rsidRPr="008A1DB4">
        <w:rPr>
          <w:rFonts w:eastAsia="Batang" w:cs="Times"/>
          <w:spacing w:val="-2"/>
          <w:szCs w:val="20"/>
          <w:lang w:val="en-US"/>
        </w:rPr>
        <w:fldChar w:fldCharType="end"/>
      </w:r>
      <w:r w:rsidR="0023346A" w:rsidRPr="008A1DB4">
        <w:rPr>
          <w:rFonts w:eastAsia="Batang" w:cs="Times"/>
          <w:spacing w:val="-2"/>
          <w:szCs w:val="20"/>
          <w:lang w:val="en-US"/>
        </w:rPr>
        <w:t xml:space="preserve">. </w:t>
      </w:r>
    </w:p>
    <w:p w14:paraId="29DF78BA" w14:textId="77777777" w:rsidR="0084644C" w:rsidRPr="008A1DB4" w:rsidRDefault="0084644C" w:rsidP="008B1792">
      <w:pPr>
        <w:tabs>
          <w:tab w:val="left" w:pos="567"/>
        </w:tabs>
        <w:spacing w:before="40" w:after="40"/>
        <w:rPr>
          <w:rFonts w:eastAsia="Batang" w:cs="Times"/>
          <w:spacing w:val="-2"/>
          <w:szCs w:val="20"/>
          <w:lang w:val="en-US"/>
        </w:rPr>
      </w:pPr>
    </w:p>
    <w:p w14:paraId="7D274FD5" w14:textId="6620FE10"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682E9D88" w14:textId="77777777" w:rsidR="004B0210" w:rsidRPr="008A1DB4" w:rsidRDefault="004B0210" w:rsidP="008B1792">
      <w:pPr>
        <w:tabs>
          <w:tab w:val="left" w:pos="567"/>
        </w:tabs>
        <w:spacing w:before="40" w:after="40"/>
        <w:rPr>
          <w:rFonts w:eastAsia="Batang" w:cs="Times"/>
          <w:spacing w:val="-2"/>
          <w:szCs w:val="20"/>
          <w:lang w:val="en-US"/>
        </w:rPr>
      </w:pPr>
    </w:p>
    <w:p w14:paraId="5F5E4DAF" w14:textId="68DBDBF2"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4B0210" w:rsidRPr="008A1DB4">
        <w:rPr>
          <w:rFonts w:cs="Verdana"/>
          <w:spacing w:val="-2"/>
          <w:szCs w:val="20"/>
          <w:lang w:val="en-US"/>
        </w:rPr>
        <w:t>:</w:t>
      </w:r>
    </w:p>
    <w:p w14:paraId="3FD72644" w14:textId="77777777" w:rsidR="004B0210" w:rsidRPr="008A1DB4" w:rsidRDefault="004B0210" w:rsidP="008B1792">
      <w:pPr>
        <w:pStyle w:val="PrrafodeSentencia"/>
        <w:numPr>
          <w:ilvl w:val="0"/>
          <w:numId w:val="0"/>
        </w:numPr>
        <w:spacing w:before="40" w:after="40"/>
        <w:rPr>
          <w:spacing w:val="-2"/>
          <w:lang w:val="en-US"/>
        </w:rPr>
      </w:pPr>
    </w:p>
    <w:p w14:paraId="3BE3C390" w14:textId="0100F9C8" w:rsidR="00465C15" w:rsidRPr="008A1DB4" w:rsidRDefault="00F36400" w:rsidP="008B1792">
      <w:pPr>
        <w:pStyle w:val="ListParagraph"/>
        <w:numPr>
          <w:ilvl w:val="0"/>
          <w:numId w:val="13"/>
        </w:numPr>
        <w:tabs>
          <w:tab w:val="left" w:pos="567"/>
        </w:tabs>
        <w:spacing w:before="40" w:after="40"/>
        <w:ind w:left="0" w:firstLine="0"/>
        <w:contextualSpacing w:val="0"/>
        <w:rPr>
          <w:spacing w:val="-2"/>
          <w:szCs w:val="20"/>
          <w:lang w:val="en-US"/>
        </w:rPr>
      </w:pPr>
      <w:r w:rsidRPr="008A1DB4">
        <w:rPr>
          <w:spacing w:val="-2"/>
          <w:szCs w:val="20"/>
          <w:lang w:val="en-US"/>
        </w:rPr>
        <w:t>The State</w:t>
      </w:r>
      <w:r w:rsidR="00465C15" w:rsidRPr="008A1DB4">
        <w:rPr>
          <w:spacing w:val="-2"/>
          <w:szCs w:val="20"/>
          <w:lang w:val="en-US"/>
        </w:rPr>
        <w:t xml:space="preserve"> </w:t>
      </w:r>
      <w:r w:rsidR="009E5939" w:rsidRPr="008A1DB4">
        <w:rPr>
          <w:spacing w:val="-2"/>
          <w:szCs w:val="20"/>
          <w:lang w:val="en-US"/>
        </w:rPr>
        <w:t>is not responsible for the violation</w:t>
      </w:r>
      <w:r w:rsidR="00465C15" w:rsidRPr="008A1DB4">
        <w:rPr>
          <w:spacing w:val="-2"/>
          <w:szCs w:val="20"/>
          <w:lang w:val="en-US"/>
        </w:rPr>
        <w:t xml:space="preserve"> </w:t>
      </w:r>
      <w:r w:rsidR="009E5939" w:rsidRPr="008A1DB4">
        <w:rPr>
          <w:spacing w:val="-2"/>
          <w:szCs w:val="20"/>
          <w:lang w:val="en-US"/>
        </w:rPr>
        <w:t xml:space="preserve">of the right to be heard and of the right of defense, established in </w:t>
      </w:r>
      <w:r w:rsidRPr="008A1DB4">
        <w:rPr>
          <w:rFonts w:eastAsia="Batang" w:cs="Times"/>
          <w:spacing w:val="-2"/>
          <w:szCs w:val="20"/>
          <w:lang w:val="en-US"/>
        </w:rPr>
        <w:t>Article</w:t>
      </w:r>
      <w:r w:rsidR="00A33F97" w:rsidRPr="008A1DB4">
        <w:rPr>
          <w:rFonts w:eastAsia="Batang" w:cs="Times"/>
          <w:spacing w:val="-2"/>
          <w:szCs w:val="20"/>
          <w:lang w:val="en-US"/>
        </w:rPr>
        <w:t xml:space="preserve"> 8(1)</w:t>
      </w:r>
      <w:r w:rsidRPr="008A1DB4">
        <w:rPr>
          <w:rFonts w:eastAsia="Batang" w:cs="Times"/>
          <w:spacing w:val="-2"/>
          <w:szCs w:val="20"/>
          <w:lang w:val="en-US"/>
        </w:rPr>
        <w:t xml:space="preserve"> of the </w:t>
      </w:r>
      <w:r w:rsidRPr="008A1DB4">
        <w:rPr>
          <w:spacing w:val="-2"/>
          <w:szCs w:val="20"/>
          <w:lang w:val="en-US"/>
        </w:rPr>
        <w:t>American Convention</w:t>
      </w:r>
      <w:r w:rsidR="00465C15" w:rsidRPr="008A1DB4">
        <w:rPr>
          <w:spacing w:val="-2"/>
          <w:szCs w:val="20"/>
          <w:lang w:val="en-US"/>
        </w:rPr>
        <w:t xml:space="preserve">, </w:t>
      </w:r>
      <w:r w:rsidR="009E5939" w:rsidRPr="008A1DB4">
        <w:rPr>
          <w:spacing w:val="-2"/>
          <w:szCs w:val="20"/>
          <w:lang w:val="en-US"/>
        </w:rPr>
        <w:t>in relation to</w:t>
      </w:r>
      <w:r w:rsidR="00465C15" w:rsidRPr="008A1DB4">
        <w:rPr>
          <w:spacing w:val="-2"/>
          <w:szCs w:val="20"/>
          <w:lang w:val="en-US"/>
        </w:rPr>
        <w:t xml:space="preserve"> </w:t>
      </w:r>
      <w:r w:rsidRPr="008A1DB4">
        <w:rPr>
          <w:spacing w:val="-2"/>
          <w:szCs w:val="20"/>
          <w:lang w:val="en-US"/>
        </w:rPr>
        <w:t>Article 1(1)</w:t>
      </w:r>
      <w:r w:rsidR="00465C15" w:rsidRPr="008A1DB4">
        <w:rPr>
          <w:spacing w:val="-2"/>
          <w:szCs w:val="20"/>
          <w:lang w:val="en-US"/>
        </w:rPr>
        <w:t xml:space="preserve"> </w:t>
      </w:r>
      <w:r w:rsidR="009E5939" w:rsidRPr="008A1DB4">
        <w:rPr>
          <w:spacing w:val="-2"/>
          <w:szCs w:val="20"/>
          <w:lang w:val="en-US"/>
        </w:rPr>
        <w:t>thereof</w:t>
      </w:r>
      <w:r w:rsidR="00465C15" w:rsidRPr="008A1DB4">
        <w:rPr>
          <w:spacing w:val="-2"/>
          <w:szCs w:val="20"/>
          <w:lang w:val="en-US"/>
        </w:rPr>
        <w:t xml:space="preserve">, </w:t>
      </w:r>
      <w:r w:rsidRPr="008A1DB4">
        <w:rPr>
          <w:spacing w:val="-2"/>
          <w:szCs w:val="20"/>
          <w:lang w:val="en-US"/>
        </w:rPr>
        <w:t>to the detriment of</w:t>
      </w:r>
      <w:r w:rsidR="00465C15" w:rsidRPr="008A1DB4">
        <w:rPr>
          <w:spacing w:val="-2"/>
          <w:szCs w:val="20"/>
          <w:lang w:val="en-US"/>
        </w:rPr>
        <w:t xml:space="preserve"> Wong Ho Wing, </w:t>
      </w:r>
      <w:r w:rsidR="009E5939" w:rsidRPr="008A1DB4">
        <w:rPr>
          <w:spacing w:val="-2"/>
          <w:szCs w:val="20"/>
          <w:lang w:val="en-US"/>
        </w:rPr>
        <w:t>in accordance with</w:t>
      </w:r>
      <w:r w:rsidR="00465C15" w:rsidRPr="008A1DB4">
        <w:rPr>
          <w:spacing w:val="-2"/>
          <w:szCs w:val="20"/>
          <w:lang w:val="en-US"/>
        </w:rPr>
        <w:t xml:space="preserve"> </w:t>
      </w:r>
      <w:r w:rsidR="00776D24" w:rsidRPr="008A1DB4">
        <w:rPr>
          <w:spacing w:val="-2"/>
          <w:szCs w:val="20"/>
          <w:lang w:val="en-US"/>
        </w:rPr>
        <w:t>paragraph</w:t>
      </w:r>
      <w:r w:rsidR="00465C15" w:rsidRPr="008A1DB4">
        <w:rPr>
          <w:spacing w:val="-2"/>
          <w:szCs w:val="20"/>
          <w:lang w:val="en-US"/>
        </w:rPr>
        <w:t xml:space="preserve">s </w:t>
      </w:r>
      <w:r w:rsidR="00803862" w:rsidRPr="008A1DB4">
        <w:rPr>
          <w:spacing w:val="-2"/>
          <w:szCs w:val="20"/>
          <w:lang w:val="en-US"/>
        </w:rPr>
        <w:fldChar w:fldCharType="begin"/>
      </w:r>
      <w:r w:rsidR="00465C15" w:rsidRPr="008A1DB4">
        <w:rPr>
          <w:spacing w:val="-2"/>
          <w:szCs w:val="20"/>
          <w:lang w:val="en-US"/>
        </w:rPr>
        <w:instrText xml:space="preserve"> REF _Ref419392067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227</w:t>
      </w:r>
      <w:r w:rsidR="00803862" w:rsidRPr="008A1DB4">
        <w:rPr>
          <w:spacing w:val="-2"/>
          <w:szCs w:val="20"/>
          <w:lang w:val="en-US"/>
        </w:rPr>
        <w:fldChar w:fldCharType="end"/>
      </w:r>
      <w:r w:rsidR="009E5939" w:rsidRPr="008A1DB4">
        <w:rPr>
          <w:spacing w:val="-2"/>
          <w:szCs w:val="20"/>
          <w:lang w:val="en-US"/>
        </w:rPr>
        <w:t xml:space="preserve"> to</w:t>
      </w:r>
      <w:r w:rsidR="00465C15" w:rsidRPr="008A1DB4">
        <w:rPr>
          <w:spacing w:val="-2"/>
          <w:szCs w:val="20"/>
          <w:lang w:val="en-US"/>
        </w:rPr>
        <w:t xml:space="preserve"> </w:t>
      </w:r>
      <w:r w:rsidR="00803862" w:rsidRPr="008A1DB4">
        <w:rPr>
          <w:spacing w:val="-2"/>
          <w:szCs w:val="20"/>
          <w:lang w:val="en-US"/>
        </w:rPr>
        <w:fldChar w:fldCharType="begin"/>
      </w:r>
      <w:r w:rsidR="00465C15" w:rsidRPr="008A1DB4">
        <w:rPr>
          <w:spacing w:val="-2"/>
          <w:szCs w:val="20"/>
          <w:lang w:val="en-US"/>
        </w:rPr>
        <w:instrText xml:space="preserve"> REF _Ref419392084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234</w:t>
      </w:r>
      <w:r w:rsidR="00803862" w:rsidRPr="008A1DB4">
        <w:rPr>
          <w:spacing w:val="-2"/>
          <w:szCs w:val="20"/>
          <w:lang w:val="en-US"/>
        </w:rPr>
        <w:fldChar w:fldCharType="end"/>
      </w:r>
      <w:r w:rsidR="00465C15" w:rsidRPr="008A1DB4">
        <w:rPr>
          <w:spacing w:val="-2"/>
          <w:szCs w:val="20"/>
          <w:lang w:val="en-US"/>
        </w:rPr>
        <w:t>.</w:t>
      </w:r>
    </w:p>
    <w:p w14:paraId="2BD24261" w14:textId="77777777" w:rsidR="00BE0171" w:rsidRPr="008A1DB4" w:rsidRDefault="00BE0171" w:rsidP="008B1792">
      <w:pPr>
        <w:tabs>
          <w:tab w:val="left" w:pos="567"/>
        </w:tabs>
        <w:spacing w:before="40" w:after="40"/>
        <w:rPr>
          <w:rFonts w:eastAsia="Batang" w:cs="Times"/>
          <w:spacing w:val="-2"/>
          <w:szCs w:val="20"/>
          <w:u w:val="single"/>
          <w:lang w:val="en-US"/>
        </w:rPr>
      </w:pPr>
    </w:p>
    <w:p w14:paraId="3C495FA0" w14:textId="449BD99E" w:rsidR="00633B9F"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65E6558A" w14:textId="77777777" w:rsidR="00633B9F" w:rsidRPr="008A1DB4" w:rsidRDefault="00633B9F" w:rsidP="008B1792">
      <w:pPr>
        <w:tabs>
          <w:tab w:val="left" w:pos="567"/>
        </w:tabs>
        <w:spacing w:before="40" w:after="40"/>
        <w:rPr>
          <w:rFonts w:eastAsia="Batang" w:cs="Times"/>
          <w:spacing w:val="-2"/>
          <w:szCs w:val="20"/>
          <w:u w:val="single"/>
          <w:lang w:val="en-US"/>
        </w:rPr>
      </w:pPr>
    </w:p>
    <w:p w14:paraId="506C75DC" w14:textId="53F14656"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that</w:t>
      </w:r>
      <w:r w:rsidR="004B0210" w:rsidRPr="008A1DB4">
        <w:rPr>
          <w:rFonts w:cs="Verdana"/>
          <w:spacing w:val="-2"/>
          <w:szCs w:val="20"/>
          <w:lang w:val="en-US"/>
        </w:rPr>
        <w:t>:</w:t>
      </w:r>
    </w:p>
    <w:p w14:paraId="6BF253E2" w14:textId="77777777" w:rsidR="004B0210" w:rsidRPr="008A1DB4" w:rsidRDefault="004B0210" w:rsidP="008B1792">
      <w:pPr>
        <w:tabs>
          <w:tab w:val="left" w:pos="567"/>
        </w:tabs>
        <w:spacing w:before="40" w:after="40"/>
        <w:rPr>
          <w:rFonts w:eastAsia="Batang" w:cs="Times"/>
          <w:spacing w:val="-2"/>
          <w:szCs w:val="20"/>
          <w:u w:val="single"/>
          <w:lang w:val="en-US"/>
        </w:rPr>
      </w:pPr>
    </w:p>
    <w:p w14:paraId="4A88F292" w14:textId="7B73CBFA" w:rsidR="0022251B" w:rsidRPr="008A1DB4" w:rsidRDefault="00F36400" w:rsidP="008B1792">
      <w:pPr>
        <w:numPr>
          <w:ilvl w:val="0"/>
          <w:numId w:val="13"/>
        </w:numPr>
        <w:tabs>
          <w:tab w:val="left" w:pos="567"/>
        </w:tabs>
        <w:spacing w:before="40" w:after="40"/>
        <w:ind w:left="0" w:firstLine="0"/>
        <w:rPr>
          <w:rFonts w:eastAsia="Batang" w:cs="Times"/>
          <w:spacing w:val="-2"/>
          <w:szCs w:val="20"/>
          <w:lang w:val="en-US"/>
        </w:rPr>
      </w:pPr>
      <w:r w:rsidRPr="008A1DB4">
        <w:rPr>
          <w:rFonts w:eastAsia="Batang" w:cs="Verdana"/>
          <w:spacing w:val="-2"/>
          <w:szCs w:val="20"/>
          <w:lang w:val="en-US"/>
        </w:rPr>
        <w:t>The State</w:t>
      </w:r>
      <w:r w:rsidR="0022251B" w:rsidRPr="008A1DB4">
        <w:rPr>
          <w:rFonts w:eastAsia="Batang" w:cs="Verdana"/>
          <w:spacing w:val="-2"/>
          <w:szCs w:val="20"/>
          <w:lang w:val="en-US"/>
        </w:rPr>
        <w:t xml:space="preserve"> </w:t>
      </w:r>
      <w:r w:rsidR="009E5939" w:rsidRPr="008A1DB4">
        <w:rPr>
          <w:rFonts w:eastAsia="Batang" w:cs="Verdana"/>
          <w:spacing w:val="-2"/>
          <w:szCs w:val="20"/>
          <w:lang w:val="en-US"/>
        </w:rPr>
        <w:t>is not responsible for the violation</w:t>
      </w:r>
      <w:r w:rsidR="0022251B" w:rsidRPr="008A1DB4">
        <w:rPr>
          <w:rFonts w:eastAsia="Batang" w:cs="Verdana"/>
          <w:spacing w:val="-2"/>
          <w:szCs w:val="20"/>
          <w:lang w:val="en-US"/>
        </w:rPr>
        <w:t xml:space="preserve"> </w:t>
      </w:r>
      <w:r w:rsidR="0058668C" w:rsidRPr="008A1DB4">
        <w:rPr>
          <w:rFonts w:eastAsia="Batang" w:cs="Verdana"/>
          <w:spacing w:val="-2"/>
          <w:szCs w:val="20"/>
          <w:lang w:val="en-US"/>
        </w:rPr>
        <w:t xml:space="preserve">of </w:t>
      </w:r>
      <w:r w:rsidR="00851076" w:rsidRPr="008A1DB4">
        <w:rPr>
          <w:rFonts w:eastAsia="Batang" w:cs="Verdana"/>
          <w:spacing w:val="-2"/>
          <w:szCs w:val="20"/>
          <w:lang w:val="en-US"/>
        </w:rPr>
        <w:t>Article 7(2)</w:t>
      </w:r>
      <w:r w:rsidRPr="008A1DB4">
        <w:rPr>
          <w:rFonts w:eastAsia="Batang" w:cs="Verdana"/>
          <w:spacing w:val="-2"/>
          <w:szCs w:val="20"/>
          <w:lang w:val="en-US"/>
        </w:rPr>
        <w:t xml:space="preserve"> of the Convention</w:t>
      </w:r>
      <w:r w:rsidR="0019771D" w:rsidRPr="008A1DB4">
        <w:rPr>
          <w:rFonts w:eastAsia="Batang" w:cs="Verdana"/>
          <w:spacing w:val="-2"/>
          <w:szCs w:val="20"/>
          <w:lang w:val="en-US"/>
        </w:rPr>
        <w:t xml:space="preserve">, </w:t>
      </w:r>
      <w:r w:rsidR="009E5939" w:rsidRPr="008A1DB4">
        <w:rPr>
          <w:rFonts w:eastAsia="Batang" w:cs="Verdana"/>
          <w:spacing w:val="-2"/>
          <w:szCs w:val="20"/>
          <w:lang w:val="en-US"/>
        </w:rPr>
        <w:t>in relation to</w:t>
      </w:r>
      <w:r w:rsidR="0022251B" w:rsidRPr="008A1DB4">
        <w:rPr>
          <w:rFonts w:eastAsia="Batang" w:cs="Verdana"/>
          <w:spacing w:val="-2"/>
          <w:szCs w:val="20"/>
          <w:lang w:val="en-US"/>
        </w:rPr>
        <w:t xml:space="preserve"> </w:t>
      </w:r>
      <w:r w:rsidRPr="008A1DB4">
        <w:rPr>
          <w:rFonts w:eastAsia="Batang" w:cs="Verdana"/>
          <w:spacing w:val="-2"/>
          <w:szCs w:val="20"/>
          <w:lang w:val="en-US"/>
        </w:rPr>
        <w:t>Article 1(1)</w:t>
      </w:r>
      <w:r w:rsidR="0022251B" w:rsidRPr="008A1DB4">
        <w:rPr>
          <w:rFonts w:eastAsia="Batang" w:cs="Verdana"/>
          <w:spacing w:val="-2"/>
          <w:szCs w:val="20"/>
          <w:lang w:val="en-US"/>
        </w:rPr>
        <w:t xml:space="preserve"> </w:t>
      </w:r>
      <w:r w:rsidR="009E5939" w:rsidRPr="008A1DB4">
        <w:rPr>
          <w:rFonts w:eastAsia="Batang" w:cs="Verdana"/>
          <w:spacing w:val="-2"/>
          <w:szCs w:val="20"/>
          <w:lang w:val="en-US"/>
        </w:rPr>
        <w:t>of this instrument</w:t>
      </w:r>
      <w:r w:rsidR="0022251B" w:rsidRPr="008A1DB4">
        <w:rPr>
          <w:rFonts w:eastAsia="Batang" w:cs="Verdana"/>
          <w:spacing w:val="-2"/>
          <w:szCs w:val="20"/>
          <w:lang w:val="en-US"/>
        </w:rPr>
        <w:t xml:space="preserve">, </w:t>
      </w:r>
      <w:r w:rsidRPr="008A1DB4">
        <w:rPr>
          <w:rFonts w:eastAsia="Batang" w:cs="Verdana"/>
          <w:spacing w:val="-2"/>
          <w:szCs w:val="20"/>
          <w:lang w:val="en-US"/>
        </w:rPr>
        <w:t>to the detriment of</w:t>
      </w:r>
      <w:r w:rsidR="0022251B" w:rsidRPr="008A1DB4">
        <w:rPr>
          <w:rFonts w:eastAsia="Batang" w:cs="Verdana"/>
          <w:spacing w:val="-2"/>
          <w:szCs w:val="20"/>
          <w:lang w:val="en-US"/>
        </w:rPr>
        <w:t xml:space="preserve"> Wong Ho Wing, </w:t>
      </w:r>
      <w:r w:rsidR="009E5939" w:rsidRPr="008A1DB4">
        <w:rPr>
          <w:rFonts w:eastAsia="Batang" w:cs="Times"/>
          <w:spacing w:val="-2"/>
          <w:szCs w:val="20"/>
          <w:lang w:val="en-US"/>
        </w:rPr>
        <w:t>in the terms of</w:t>
      </w:r>
      <w:r w:rsidR="0022251B" w:rsidRPr="008A1DB4">
        <w:rPr>
          <w:rFonts w:eastAsia="Batang" w:cs="Times"/>
          <w:spacing w:val="-2"/>
          <w:szCs w:val="20"/>
          <w:lang w:val="en-US"/>
        </w:rPr>
        <w:t xml:space="preserve"> </w:t>
      </w:r>
      <w:r w:rsidR="00776D24" w:rsidRPr="008A1DB4">
        <w:rPr>
          <w:rFonts w:eastAsia="Batang" w:cs="Times"/>
          <w:spacing w:val="-2"/>
          <w:szCs w:val="20"/>
          <w:lang w:val="en-US"/>
        </w:rPr>
        <w:t>paragraph</w:t>
      </w:r>
      <w:r w:rsidR="0022251B" w:rsidRPr="008A1DB4">
        <w:rPr>
          <w:rFonts w:eastAsia="Batang" w:cs="Times"/>
          <w:spacing w:val="-2"/>
          <w:szCs w:val="20"/>
          <w:lang w:val="en-US"/>
        </w:rPr>
        <w:t xml:space="preserve">s </w:t>
      </w:r>
      <w:r w:rsidR="00BE2225" w:rsidRPr="008A1DB4">
        <w:rPr>
          <w:spacing w:val="-2"/>
          <w:lang w:val="en-US"/>
        </w:rPr>
        <w:fldChar w:fldCharType="begin"/>
      </w:r>
      <w:r w:rsidR="00BE2225" w:rsidRPr="008A1DB4">
        <w:rPr>
          <w:spacing w:val="-2"/>
          <w:lang w:val="en-US"/>
        </w:rPr>
        <w:instrText xml:space="preserve"> REF _Ref419392895 \r \h  \* MERGEFORMAT </w:instrText>
      </w:r>
      <w:r w:rsidR="00BE2225" w:rsidRPr="008A1DB4">
        <w:rPr>
          <w:spacing w:val="-2"/>
          <w:lang w:val="en-US"/>
        </w:rPr>
      </w:r>
      <w:r w:rsidR="00BE2225" w:rsidRPr="008A1DB4">
        <w:rPr>
          <w:spacing w:val="-2"/>
          <w:lang w:val="en-US"/>
        </w:rPr>
        <w:fldChar w:fldCharType="separate"/>
      </w:r>
      <w:r w:rsidR="00E961FA" w:rsidRPr="008A1DB4">
        <w:rPr>
          <w:rFonts w:eastAsia="Batang" w:cs="Times"/>
          <w:spacing w:val="-2"/>
          <w:szCs w:val="20"/>
          <w:lang w:val="en-US"/>
        </w:rPr>
        <w:t>259</w:t>
      </w:r>
      <w:r w:rsidR="00BE2225" w:rsidRPr="008A1DB4">
        <w:rPr>
          <w:spacing w:val="-2"/>
          <w:lang w:val="en-US"/>
        </w:rPr>
        <w:fldChar w:fldCharType="end"/>
      </w:r>
      <w:r w:rsidR="009E5939" w:rsidRPr="008A1DB4">
        <w:rPr>
          <w:rFonts w:eastAsia="Batang" w:cs="Times"/>
          <w:spacing w:val="-2"/>
          <w:szCs w:val="20"/>
          <w:lang w:val="en-US"/>
        </w:rPr>
        <w:t xml:space="preserve"> to</w:t>
      </w:r>
      <w:r w:rsidR="0022251B" w:rsidRPr="008A1DB4">
        <w:rPr>
          <w:rFonts w:eastAsia="Batang" w:cs="Times"/>
          <w:spacing w:val="-2"/>
          <w:szCs w:val="20"/>
          <w:lang w:val="en-US"/>
        </w:rPr>
        <w:t xml:space="preserve"> </w:t>
      </w:r>
      <w:r w:rsidR="00BE2225" w:rsidRPr="008A1DB4">
        <w:rPr>
          <w:spacing w:val="-2"/>
          <w:lang w:val="en-US"/>
        </w:rPr>
        <w:fldChar w:fldCharType="begin"/>
      </w:r>
      <w:r w:rsidR="00BE2225" w:rsidRPr="008A1DB4">
        <w:rPr>
          <w:spacing w:val="-2"/>
          <w:lang w:val="en-US"/>
        </w:rPr>
        <w:instrText xml:space="preserve"> REF _Ref419392901 \r \h  \* MERGEFORMAT </w:instrText>
      </w:r>
      <w:r w:rsidR="00BE2225" w:rsidRPr="008A1DB4">
        <w:rPr>
          <w:spacing w:val="-2"/>
          <w:lang w:val="en-US"/>
        </w:rPr>
      </w:r>
      <w:r w:rsidR="00BE2225" w:rsidRPr="008A1DB4">
        <w:rPr>
          <w:spacing w:val="-2"/>
          <w:lang w:val="en-US"/>
        </w:rPr>
        <w:fldChar w:fldCharType="separate"/>
      </w:r>
      <w:r w:rsidR="00E961FA" w:rsidRPr="008A1DB4">
        <w:rPr>
          <w:rFonts w:eastAsia="Batang" w:cs="Times"/>
          <w:spacing w:val="-2"/>
          <w:szCs w:val="20"/>
          <w:lang w:val="en-US"/>
        </w:rPr>
        <w:t>262</w:t>
      </w:r>
      <w:r w:rsidR="00BE2225" w:rsidRPr="008A1DB4">
        <w:rPr>
          <w:spacing w:val="-2"/>
          <w:lang w:val="en-US"/>
        </w:rPr>
        <w:fldChar w:fldCharType="end"/>
      </w:r>
      <w:r w:rsidR="0022251B" w:rsidRPr="008A1DB4">
        <w:rPr>
          <w:rFonts w:eastAsia="Batang" w:cs="Times"/>
          <w:spacing w:val="-2"/>
          <w:szCs w:val="20"/>
          <w:lang w:val="en-US"/>
        </w:rPr>
        <w:t>.</w:t>
      </w:r>
    </w:p>
    <w:p w14:paraId="02CEB36B" w14:textId="77777777" w:rsidR="0022251B" w:rsidRPr="008A1DB4" w:rsidRDefault="0022251B" w:rsidP="008B1792">
      <w:pPr>
        <w:tabs>
          <w:tab w:val="left" w:pos="567"/>
        </w:tabs>
        <w:spacing w:before="40" w:after="40"/>
        <w:rPr>
          <w:rFonts w:eastAsia="Batang" w:cs="Times"/>
          <w:spacing w:val="-2"/>
          <w:szCs w:val="20"/>
          <w:lang w:val="en-US"/>
        </w:rPr>
      </w:pPr>
    </w:p>
    <w:p w14:paraId="4EC5C452" w14:textId="4531F9AD"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Judges</w:t>
      </w:r>
      <w:r w:rsidR="004B0210" w:rsidRPr="008A1DB4">
        <w:rPr>
          <w:rFonts w:eastAsia="Calibri" w:cs="Arial"/>
          <w:color w:val="000000"/>
          <w:spacing w:val="-2"/>
          <w:szCs w:val="20"/>
          <w:lang w:val="en-US"/>
        </w:rPr>
        <w:t xml:space="preserve"> Pérez </w:t>
      </w:r>
      <w:proofErr w:type="spellStart"/>
      <w:r w:rsidR="004B0210" w:rsidRPr="008A1DB4">
        <w:rPr>
          <w:rFonts w:eastAsia="Calibri" w:cs="Arial"/>
          <w:color w:val="000000"/>
          <w:spacing w:val="-2"/>
          <w:szCs w:val="20"/>
          <w:lang w:val="en-US"/>
        </w:rPr>
        <w:t>Pérez</w:t>
      </w:r>
      <w:proofErr w:type="spellEnd"/>
      <w:r w:rsidR="00F36400" w:rsidRPr="008A1DB4">
        <w:rPr>
          <w:rFonts w:eastAsia="Calibri" w:cs="Arial"/>
          <w:color w:val="000000"/>
          <w:spacing w:val="-2"/>
          <w:szCs w:val="20"/>
          <w:lang w:val="en-US"/>
        </w:rPr>
        <w:t xml:space="preserve"> and </w:t>
      </w:r>
      <w:proofErr w:type="spellStart"/>
      <w:r w:rsidR="004B0210" w:rsidRPr="008A1DB4">
        <w:rPr>
          <w:rFonts w:eastAsia="Calibri" w:cs="Arial"/>
          <w:color w:val="000000"/>
          <w:spacing w:val="-2"/>
          <w:szCs w:val="20"/>
          <w:lang w:val="en-US"/>
        </w:rPr>
        <w:t>Vio</w:t>
      </w:r>
      <w:proofErr w:type="spellEnd"/>
      <w:r w:rsidR="004B0210" w:rsidRPr="008A1DB4">
        <w:rPr>
          <w:rFonts w:eastAsia="Calibri" w:cs="Arial"/>
          <w:color w:val="000000"/>
          <w:spacing w:val="-2"/>
          <w:szCs w:val="20"/>
          <w:lang w:val="en-US"/>
        </w:rPr>
        <w:t xml:space="preserve"> </w:t>
      </w:r>
      <w:proofErr w:type="spellStart"/>
      <w:r w:rsidR="004B0210"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r w:rsidR="004B0210" w:rsidRPr="008A1DB4">
        <w:rPr>
          <w:rFonts w:eastAsia="Calibri" w:cs="Arial"/>
          <w:color w:val="000000"/>
          <w:spacing w:val="-2"/>
          <w:szCs w:val="20"/>
          <w:lang w:val="en-US"/>
        </w:rPr>
        <w:t>.</w:t>
      </w:r>
      <w:proofErr w:type="gramEnd"/>
    </w:p>
    <w:p w14:paraId="14095D54" w14:textId="77777777" w:rsidR="004B0210" w:rsidRPr="008A1DB4" w:rsidRDefault="004B0210" w:rsidP="008B1792">
      <w:pPr>
        <w:tabs>
          <w:tab w:val="left" w:pos="567"/>
        </w:tabs>
        <w:spacing w:before="40" w:after="40"/>
        <w:rPr>
          <w:rFonts w:eastAsia="Batang" w:cs="Times"/>
          <w:spacing w:val="-2"/>
          <w:szCs w:val="20"/>
          <w:lang w:val="en-US"/>
        </w:rPr>
      </w:pPr>
    </w:p>
    <w:p w14:paraId="464E1A56" w14:textId="55A21FFA"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4B0210" w:rsidRPr="008A1DB4">
        <w:rPr>
          <w:rFonts w:cs="Verdana"/>
          <w:spacing w:val="-2"/>
          <w:szCs w:val="20"/>
          <w:lang w:val="en-US"/>
        </w:rPr>
        <w:t>:</w:t>
      </w:r>
    </w:p>
    <w:p w14:paraId="3D551F46" w14:textId="77777777" w:rsidR="004B0210" w:rsidRPr="008A1DB4" w:rsidRDefault="004B0210" w:rsidP="008B1792">
      <w:pPr>
        <w:tabs>
          <w:tab w:val="left" w:pos="567"/>
        </w:tabs>
        <w:spacing w:before="40" w:after="40"/>
        <w:rPr>
          <w:rFonts w:eastAsia="Batang" w:cs="Times"/>
          <w:spacing w:val="-2"/>
          <w:szCs w:val="20"/>
          <w:lang w:val="en-US"/>
        </w:rPr>
      </w:pPr>
    </w:p>
    <w:p w14:paraId="059D8598" w14:textId="203F49F5" w:rsidR="00FE3322" w:rsidRPr="008A1DB4" w:rsidRDefault="00F36400" w:rsidP="008B1792">
      <w:pPr>
        <w:numPr>
          <w:ilvl w:val="0"/>
          <w:numId w:val="13"/>
        </w:numPr>
        <w:tabs>
          <w:tab w:val="left" w:pos="567"/>
        </w:tabs>
        <w:spacing w:before="40" w:after="40"/>
        <w:ind w:left="0" w:firstLine="0"/>
        <w:rPr>
          <w:rFonts w:eastAsia="Batang" w:cs="Times"/>
          <w:spacing w:val="-2"/>
          <w:szCs w:val="20"/>
          <w:lang w:val="en-US"/>
        </w:rPr>
      </w:pPr>
      <w:r w:rsidRPr="008A1DB4">
        <w:rPr>
          <w:rFonts w:eastAsia="Batang" w:cs="Verdana"/>
          <w:spacing w:val="-2"/>
          <w:szCs w:val="20"/>
          <w:lang w:val="en-US"/>
        </w:rPr>
        <w:t>The State</w:t>
      </w:r>
      <w:r w:rsidR="00FE3322" w:rsidRPr="008A1DB4">
        <w:rPr>
          <w:rFonts w:eastAsia="Batang" w:cs="Verdana"/>
          <w:spacing w:val="-2"/>
          <w:szCs w:val="20"/>
          <w:lang w:val="en-US"/>
        </w:rPr>
        <w:t xml:space="preserve"> </w:t>
      </w:r>
      <w:r w:rsidR="009E5939" w:rsidRPr="008A1DB4">
        <w:rPr>
          <w:rFonts w:eastAsia="Batang" w:cs="Verdana"/>
          <w:spacing w:val="-2"/>
          <w:szCs w:val="20"/>
          <w:lang w:val="en-US"/>
        </w:rPr>
        <w:t>is not responsible for the violation</w:t>
      </w:r>
      <w:r w:rsidR="00FE3322" w:rsidRPr="008A1DB4">
        <w:rPr>
          <w:rFonts w:eastAsia="Batang" w:cs="Verdana"/>
          <w:spacing w:val="-2"/>
          <w:szCs w:val="20"/>
          <w:lang w:val="en-US"/>
        </w:rPr>
        <w:t xml:space="preserve"> </w:t>
      </w:r>
      <w:r w:rsidR="0079515C">
        <w:rPr>
          <w:rFonts w:eastAsia="Batang" w:cs="Verdana"/>
          <w:spacing w:val="-2"/>
          <w:szCs w:val="20"/>
          <w:lang w:val="en-US"/>
        </w:rPr>
        <w:t xml:space="preserve">of the </w:t>
      </w:r>
      <w:r w:rsidR="00775124" w:rsidRPr="008A1DB4">
        <w:rPr>
          <w:rFonts w:eastAsia="Batang" w:cs="Verdana"/>
          <w:spacing w:val="-2"/>
          <w:szCs w:val="20"/>
          <w:lang w:val="en-US"/>
        </w:rPr>
        <w:t>right to personal</w:t>
      </w:r>
      <w:r w:rsidR="00776D24" w:rsidRPr="008A1DB4">
        <w:rPr>
          <w:rFonts w:eastAsia="Batang" w:cs="Verdana"/>
          <w:spacing w:val="-2"/>
          <w:szCs w:val="20"/>
          <w:lang w:val="en-US"/>
        </w:rPr>
        <w:t xml:space="preserve"> integrity</w:t>
      </w:r>
      <w:r w:rsidR="00FE3322" w:rsidRPr="008A1DB4">
        <w:rPr>
          <w:rFonts w:eastAsia="Batang" w:cs="Verdana"/>
          <w:spacing w:val="-2"/>
          <w:szCs w:val="20"/>
          <w:lang w:val="en-US"/>
        </w:rPr>
        <w:t xml:space="preserve">, </w:t>
      </w:r>
      <w:r w:rsidR="0079515C">
        <w:rPr>
          <w:rFonts w:eastAsia="Batang" w:cs="Verdana"/>
          <w:spacing w:val="-2"/>
          <w:szCs w:val="20"/>
          <w:lang w:val="en-US"/>
        </w:rPr>
        <w:t>recognized in</w:t>
      </w:r>
      <w:r w:rsidR="00FE3322" w:rsidRPr="008A1DB4">
        <w:rPr>
          <w:rFonts w:eastAsia="Batang" w:cs="Verdana"/>
          <w:spacing w:val="-2"/>
          <w:szCs w:val="20"/>
          <w:lang w:val="en-US"/>
        </w:rPr>
        <w:t xml:space="preserve"> </w:t>
      </w:r>
      <w:r w:rsidRPr="008A1DB4">
        <w:rPr>
          <w:rFonts w:eastAsia="Batang" w:cs="Verdana"/>
          <w:spacing w:val="-2"/>
          <w:szCs w:val="20"/>
          <w:lang w:val="en-US"/>
        </w:rPr>
        <w:t>Article</w:t>
      </w:r>
      <w:r w:rsidR="00FE3322" w:rsidRPr="008A1DB4">
        <w:rPr>
          <w:rFonts w:eastAsia="Batang" w:cs="Verdana"/>
          <w:spacing w:val="-2"/>
          <w:szCs w:val="20"/>
          <w:lang w:val="en-US"/>
        </w:rPr>
        <w:t xml:space="preserve"> 5</w:t>
      </w:r>
      <w:r w:rsidRPr="008A1DB4">
        <w:rPr>
          <w:rFonts w:eastAsia="Batang" w:cs="Verdana"/>
          <w:spacing w:val="-2"/>
          <w:szCs w:val="20"/>
          <w:lang w:val="en-US"/>
        </w:rPr>
        <w:t xml:space="preserve"> of the American Convention</w:t>
      </w:r>
      <w:r w:rsidR="00FE3322" w:rsidRPr="008A1DB4">
        <w:rPr>
          <w:rFonts w:eastAsia="Batang" w:cs="Verdana"/>
          <w:spacing w:val="-2"/>
          <w:szCs w:val="20"/>
          <w:lang w:val="en-US"/>
        </w:rPr>
        <w:t xml:space="preserve">, </w:t>
      </w:r>
      <w:r w:rsidR="009E5939" w:rsidRPr="008A1DB4">
        <w:rPr>
          <w:rFonts w:eastAsia="Batang" w:cs="Verdana"/>
          <w:spacing w:val="-2"/>
          <w:szCs w:val="20"/>
          <w:lang w:val="en-US"/>
        </w:rPr>
        <w:t>in relation to</w:t>
      </w:r>
      <w:r w:rsidR="00FE3322" w:rsidRPr="008A1DB4">
        <w:rPr>
          <w:rFonts w:eastAsia="Batang" w:cs="Verdana"/>
          <w:spacing w:val="-2"/>
          <w:szCs w:val="20"/>
          <w:lang w:val="en-US"/>
        </w:rPr>
        <w:t xml:space="preserve"> </w:t>
      </w:r>
      <w:r w:rsidRPr="008A1DB4">
        <w:rPr>
          <w:rFonts w:eastAsia="Batang" w:cs="Verdana"/>
          <w:spacing w:val="-2"/>
          <w:szCs w:val="20"/>
          <w:lang w:val="en-US"/>
        </w:rPr>
        <w:t>Article 1(1)</w:t>
      </w:r>
      <w:r w:rsidR="00FE3322" w:rsidRPr="008A1DB4">
        <w:rPr>
          <w:rFonts w:eastAsia="Batang" w:cs="Verdana"/>
          <w:spacing w:val="-2"/>
          <w:szCs w:val="20"/>
          <w:lang w:val="en-US"/>
        </w:rPr>
        <w:t xml:space="preserve"> </w:t>
      </w:r>
      <w:r w:rsidR="009E5939" w:rsidRPr="008A1DB4">
        <w:rPr>
          <w:rFonts w:eastAsia="Batang" w:cs="Verdana"/>
          <w:spacing w:val="-2"/>
          <w:szCs w:val="20"/>
          <w:lang w:val="en-US"/>
        </w:rPr>
        <w:t>of this instrument</w:t>
      </w:r>
      <w:r w:rsidR="00FE3322" w:rsidRPr="008A1DB4">
        <w:rPr>
          <w:rFonts w:eastAsia="Batang" w:cs="Verdana"/>
          <w:spacing w:val="-2"/>
          <w:szCs w:val="20"/>
          <w:lang w:val="en-US"/>
        </w:rPr>
        <w:t>,</w:t>
      </w:r>
      <w:r w:rsidR="00465C15" w:rsidRPr="008A1DB4">
        <w:rPr>
          <w:rFonts w:eastAsia="Batang" w:cs="Verdana"/>
          <w:spacing w:val="-2"/>
          <w:szCs w:val="20"/>
          <w:lang w:val="en-US"/>
        </w:rPr>
        <w:t xml:space="preserve"> </w:t>
      </w:r>
      <w:r w:rsidRPr="008A1DB4">
        <w:rPr>
          <w:rFonts w:eastAsia="Batang" w:cs="Verdana"/>
          <w:spacing w:val="-2"/>
          <w:szCs w:val="20"/>
          <w:lang w:val="en-US"/>
        </w:rPr>
        <w:t>to the detriment of</w:t>
      </w:r>
      <w:r w:rsidR="00465C15" w:rsidRPr="008A1DB4">
        <w:rPr>
          <w:rFonts w:eastAsia="Batang" w:cs="Verdana"/>
          <w:spacing w:val="-2"/>
          <w:szCs w:val="20"/>
          <w:lang w:val="en-US"/>
        </w:rPr>
        <w:t xml:space="preserve"> Wong Ho Wing, </w:t>
      </w:r>
      <w:r w:rsidR="009E5939" w:rsidRPr="008A1DB4">
        <w:rPr>
          <w:rFonts w:eastAsia="Batang" w:cs="Times"/>
          <w:spacing w:val="-2"/>
          <w:szCs w:val="20"/>
          <w:lang w:val="en-US"/>
        </w:rPr>
        <w:t>in the terms of</w:t>
      </w:r>
      <w:r w:rsidR="00465C15" w:rsidRPr="008A1DB4">
        <w:rPr>
          <w:rFonts w:eastAsia="Batang" w:cs="Times"/>
          <w:spacing w:val="-2"/>
          <w:szCs w:val="20"/>
          <w:lang w:val="en-US"/>
        </w:rPr>
        <w:t xml:space="preserve"> </w:t>
      </w:r>
      <w:r w:rsidR="00776D24" w:rsidRPr="008A1DB4">
        <w:rPr>
          <w:rFonts w:eastAsia="Batang" w:cs="Times"/>
          <w:spacing w:val="-2"/>
          <w:szCs w:val="20"/>
          <w:lang w:val="en-US"/>
        </w:rPr>
        <w:t>paragraph</w:t>
      </w:r>
      <w:r w:rsidR="00465C15" w:rsidRPr="008A1DB4">
        <w:rPr>
          <w:rFonts w:eastAsia="Batang" w:cs="Times"/>
          <w:spacing w:val="-2"/>
          <w:szCs w:val="20"/>
          <w:lang w:val="en-US"/>
        </w:rPr>
        <w:t>s</w:t>
      </w:r>
      <w:r w:rsidR="00FE3322" w:rsidRPr="008A1DB4">
        <w:rPr>
          <w:rFonts w:eastAsia="Batang" w:cs="Times"/>
          <w:spacing w:val="-2"/>
          <w:szCs w:val="20"/>
          <w:lang w:val="en-US"/>
        </w:rPr>
        <w:t xml:space="preserve"> </w:t>
      </w:r>
      <w:r w:rsidR="00803862" w:rsidRPr="008A1DB4">
        <w:rPr>
          <w:rFonts w:eastAsia="Batang" w:cs="Times"/>
          <w:spacing w:val="-2"/>
          <w:szCs w:val="20"/>
          <w:lang w:val="en-US"/>
        </w:rPr>
        <w:fldChar w:fldCharType="begin"/>
      </w:r>
      <w:r w:rsidR="00465C15" w:rsidRPr="008A1DB4">
        <w:rPr>
          <w:rFonts w:eastAsia="Batang" w:cs="Times"/>
          <w:spacing w:val="-2"/>
          <w:szCs w:val="20"/>
          <w:lang w:val="en-US"/>
        </w:rPr>
        <w:instrText xml:space="preserve"> REF _Ref419392429 \r \h </w:instrText>
      </w:r>
      <w:r w:rsidR="00DC41F4"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294</w:t>
      </w:r>
      <w:r w:rsidR="00803862" w:rsidRPr="008A1DB4">
        <w:rPr>
          <w:rFonts w:eastAsia="Batang" w:cs="Times"/>
          <w:spacing w:val="-2"/>
          <w:szCs w:val="20"/>
          <w:lang w:val="en-US"/>
        </w:rPr>
        <w:fldChar w:fldCharType="end"/>
      </w:r>
      <w:r w:rsidRPr="008A1DB4">
        <w:rPr>
          <w:rFonts w:eastAsia="Batang" w:cs="Times"/>
          <w:spacing w:val="-2"/>
          <w:szCs w:val="20"/>
          <w:lang w:val="en-US"/>
        </w:rPr>
        <w:t xml:space="preserve"> and </w:t>
      </w:r>
      <w:r w:rsidR="00803862" w:rsidRPr="008A1DB4">
        <w:rPr>
          <w:rFonts w:eastAsia="Batang" w:cs="Times"/>
          <w:spacing w:val="-2"/>
          <w:szCs w:val="20"/>
          <w:lang w:val="en-US"/>
        </w:rPr>
        <w:fldChar w:fldCharType="begin"/>
      </w:r>
      <w:r w:rsidR="00465C15" w:rsidRPr="008A1DB4">
        <w:rPr>
          <w:rFonts w:eastAsia="Batang" w:cs="Times"/>
          <w:spacing w:val="-2"/>
          <w:szCs w:val="20"/>
          <w:lang w:val="en-US"/>
        </w:rPr>
        <w:instrText xml:space="preserve"> REF _Ref419392431 \r \h </w:instrText>
      </w:r>
      <w:r w:rsidR="00DC41F4" w:rsidRPr="008A1DB4">
        <w:rPr>
          <w:rFonts w:eastAsia="Batang" w:cs="Times"/>
          <w:spacing w:val="-2"/>
          <w:szCs w:val="20"/>
          <w:lang w:val="en-US"/>
        </w:rPr>
        <w:instrText xml:space="preserve"> \* MERGEFORMAT </w:instrText>
      </w:r>
      <w:r w:rsidR="00803862" w:rsidRPr="008A1DB4">
        <w:rPr>
          <w:rFonts w:eastAsia="Batang" w:cs="Times"/>
          <w:spacing w:val="-2"/>
          <w:szCs w:val="20"/>
          <w:lang w:val="en-US"/>
        </w:rPr>
      </w:r>
      <w:r w:rsidR="00803862" w:rsidRPr="008A1DB4">
        <w:rPr>
          <w:rFonts w:eastAsia="Batang" w:cs="Times"/>
          <w:spacing w:val="-2"/>
          <w:szCs w:val="20"/>
          <w:lang w:val="en-US"/>
        </w:rPr>
        <w:fldChar w:fldCharType="separate"/>
      </w:r>
      <w:r w:rsidR="00E961FA" w:rsidRPr="008A1DB4">
        <w:rPr>
          <w:rFonts w:eastAsia="Batang" w:cs="Times"/>
          <w:spacing w:val="-2"/>
          <w:szCs w:val="20"/>
          <w:lang w:val="en-US"/>
        </w:rPr>
        <w:t>295</w:t>
      </w:r>
      <w:r w:rsidR="00803862" w:rsidRPr="008A1DB4">
        <w:rPr>
          <w:rFonts w:eastAsia="Batang" w:cs="Times"/>
          <w:spacing w:val="-2"/>
          <w:szCs w:val="20"/>
          <w:lang w:val="en-US"/>
        </w:rPr>
        <w:fldChar w:fldCharType="end"/>
      </w:r>
      <w:r w:rsidR="00FE3322" w:rsidRPr="008A1DB4">
        <w:rPr>
          <w:rFonts w:eastAsia="Batang" w:cs="Times"/>
          <w:spacing w:val="-2"/>
          <w:szCs w:val="20"/>
          <w:lang w:val="en-US"/>
        </w:rPr>
        <w:t>.</w:t>
      </w:r>
    </w:p>
    <w:p w14:paraId="071ABE70" w14:textId="77777777" w:rsidR="00FE3322" w:rsidRPr="008A1DB4" w:rsidRDefault="00FE3322" w:rsidP="008B1792">
      <w:pPr>
        <w:tabs>
          <w:tab w:val="left" w:pos="567"/>
        </w:tabs>
        <w:spacing w:before="40" w:after="40"/>
        <w:rPr>
          <w:rFonts w:eastAsia="Batang" w:cs="Times"/>
          <w:spacing w:val="-2"/>
          <w:szCs w:val="20"/>
          <w:lang w:val="en-US"/>
        </w:rPr>
      </w:pPr>
    </w:p>
    <w:p w14:paraId="2808743A" w14:textId="39F9EAAF"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675FAEFB" w14:textId="77777777" w:rsidR="004B0210" w:rsidRPr="008A1DB4" w:rsidRDefault="004B0210" w:rsidP="008B1792">
      <w:pPr>
        <w:tabs>
          <w:tab w:val="left" w:pos="567"/>
        </w:tabs>
        <w:spacing w:before="40" w:after="40"/>
        <w:rPr>
          <w:rFonts w:eastAsia="Batang" w:cs="Times"/>
          <w:spacing w:val="-2"/>
          <w:szCs w:val="20"/>
          <w:lang w:val="en-US"/>
        </w:rPr>
      </w:pPr>
    </w:p>
    <w:p w14:paraId="5CC8D230" w14:textId="024F6E03"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4B0210" w:rsidRPr="008A1DB4">
        <w:rPr>
          <w:rFonts w:cs="Verdana"/>
          <w:spacing w:val="-2"/>
          <w:szCs w:val="20"/>
          <w:lang w:val="en-US"/>
        </w:rPr>
        <w:t>:</w:t>
      </w:r>
    </w:p>
    <w:p w14:paraId="1F3450B5" w14:textId="77777777" w:rsidR="004B0210" w:rsidRPr="008A1DB4" w:rsidRDefault="004B0210" w:rsidP="008B1792">
      <w:pPr>
        <w:tabs>
          <w:tab w:val="left" w:pos="567"/>
        </w:tabs>
        <w:spacing w:before="40" w:after="40"/>
        <w:rPr>
          <w:rFonts w:eastAsia="Batang" w:cs="Times"/>
          <w:spacing w:val="-2"/>
          <w:szCs w:val="20"/>
          <w:lang w:val="en-US"/>
        </w:rPr>
      </w:pPr>
    </w:p>
    <w:p w14:paraId="3508FE5B" w14:textId="322D7F8E" w:rsidR="00882FFA" w:rsidRPr="008A1DB4" w:rsidRDefault="009E5939" w:rsidP="008B1792">
      <w:pPr>
        <w:numPr>
          <w:ilvl w:val="0"/>
          <w:numId w:val="13"/>
        </w:numPr>
        <w:tabs>
          <w:tab w:val="left" w:pos="567"/>
        </w:tabs>
        <w:spacing w:before="40" w:after="40"/>
        <w:ind w:left="0" w:firstLine="0"/>
        <w:rPr>
          <w:rFonts w:eastAsia="Batang" w:cs="Times"/>
          <w:spacing w:val="-2"/>
          <w:szCs w:val="20"/>
          <w:lang w:val="en-US"/>
        </w:rPr>
      </w:pPr>
      <w:r w:rsidRPr="008A1DB4">
        <w:rPr>
          <w:rFonts w:eastAsia="Calibri"/>
          <w:spacing w:val="-2"/>
          <w:szCs w:val="20"/>
          <w:lang w:val="en-US"/>
        </w:rPr>
        <w:lastRenderedPageBreak/>
        <w:t>It is not necessary to issue a ruling on the alleged failure to comply with the right to</w:t>
      </w:r>
      <w:r w:rsidR="00882FFA" w:rsidRPr="008A1DB4">
        <w:rPr>
          <w:rFonts w:eastAsia="Calibri"/>
          <w:spacing w:val="-2"/>
          <w:szCs w:val="20"/>
          <w:lang w:val="en-US"/>
        </w:rPr>
        <w:t xml:space="preserve"> </w:t>
      </w:r>
      <w:r w:rsidR="00216773" w:rsidRPr="008A1DB4">
        <w:rPr>
          <w:rFonts w:eastAsia="Calibri"/>
          <w:spacing w:val="-2"/>
          <w:szCs w:val="20"/>
          <w:lang w:val="en-US"/>
        </w:rPr>
        <w:t>judicial protection</w:t>
      </w:r>
      <w:r w:rsidRPr="008A1DB4">
        <w:rPr>
          <w:rFonts w:eastAsia="Calibri"/>
          <w:spacing w:val="-2"/>
          <w:szCs w:val="20"/>
          <w:lang w:val="en-US"/>
        </w:rPr>
        <w:t xml:space="preserve"> recognized in </w:t>
      </w:r>
      <w:r w:rsidR="00F36400" w:rsidRPr="008A1DB4">
        <w:rPr>
          <w:rFonts w:eastAsia="Calibri"/>
          <w:spacing w:val="-2"/>
          <w:szCs w:val="20"/>
          <w:lang w:val="en-US"/>
        </w:rPr>
        <w:t>Article</w:t>
      </w:r>
      <w:r w:rsidR="00882FFA" w:rsidRPr="008A1DB4">
        <w:rPr>
          <w:rFonts w:eastAsia="Calibri"/>
          <w:spacing w:val="-2"/>
          <w:szCs w:val="20"/>
          <w:lang w:val="en-US"/>
        </w:rPr>
        <w:t xml:space="preserve"> 25</w:t>
      </w:r>
      <w:r w:rsidR="00F36400" w:rsidRPr="008A1DB4">
        <w:rPr>
          <w:rFonts w:eastAsia="Calibri"/>
          <w:spacing w:val="-2"/>
          <w:szCs w:val="20"/>
          <w:lang w:val="en-US"/>
        </w:rPr>
        <w:t xml:space="preserve"> of the Convention</w:t>
      </w:r>
      <w:r w:rsidRPr="008A1DB4">
        <w:rPr>
          <w:rFonts w:eastAsia="Calibri"/>
          <w:spacing w:val="-2"/>
          <w:szCs w:val="20"/>
          <w:lang w:val="en-US"/>
        </w:rPr>
        <w:t xml:space="preserve"> in relation to the alleged failure to comply with the </w:t>
      </w:r>
      <w:r w:rsidR="00A33F97" w:rsidRPr="008A1DB4">
        <w:rPr>
          <w:rFonts w:eastAsia="Calibri"/>
          <w:spacing w:val="-2"/>
          <w:szCs w:val="20"/>
          <w:lang w:val="en-US"/>
        </w:rPr>
        <w:t>decision</w:t>
      </w:r>
      <w:r w:rsidR="00C45946" w:rsidRPr="008A1DB4">
        <w:rPr>
          <w:rFonts w:eastAsia="Calibri"/>
          <w:spacing w:val="-2"/>
          <w:szCs w:val="20"/>
          <w:lang w:val="en-US"/>
        </w:rPr>
        <w:t xml:space="preserve"> of the </w:t>
      </w:r>
      <w:r w:rsidR="00B43F84" w:rsidRPr="008A1DB4">
        <w:rPr>
          <w:rFonts w:eastAsia="Calibri"/>
          <w:spacing w:val="-2"/>
          <w:szCs w:val="20"/>
          <w:lang w:val="en-US"/>
        </w:rPr>
        <w:t>Constitutional Court</w:t>
      </w:r>
      <w:r w:rsidR="00882FFA" w:rsidRPr="008A1DB4">
        <w:rPr>
          <w:rFonts w:eastAsia="Calibri"/>
          <w:spacing w:val="-2"/>
          <w:szCs w:val="20"/>
          <w:lang w:val="en-US"/>
        </w:rPr>
        <w:t xml:space="preserve">, </w:t>
      </w:r>
      <w:r w:rsidRPr="008A1DB4">
        <w:rPr>
          <w:rFonts w:eastAsia="Batang" w:cs="Times"/>
          <w:spacing w:val="-2"/>
          <w:szCs w:val="20"/>
          <w:lang w:val="en-US"/>
        </w:rPr>
        <w:t>in the terms of</w:t>
      </w:r>
      <w:r w:rsidR="00882FFA" w:rsidRPr="008A1DB4">
        <w:rPr>
          <w:rFonts w:eastAsia="Batang" w:cs="Times"/>
          <w:spacing w:val="-2"/>
          <w:szCs w:val="20"/>
          <w:lang w:val="en-US"/>
        </w:rPr>
        <w:t xml:space="preserve"> </w:t>
      </w:r>
      <w:r w:rsidR="00776D24" w:rsidRPr="008A1DB4">
        <w:rPr>
          <w:rFonts w:eastAsia="Batang" w:cs="Times"/>
          <w:spacing w:val="-2"/>
          <w:szCs w:val="20"/>
          <w:lang w:val="en-US"/>
        </w:rPr>
        <w:t>paragraph</w:t>
      </w:r>
      <w:r w:rsidR="00882FFA" w:rsidRPr="008A1DB4">
        <w:rPr>
          <w:rFonts w:eastAsia="Batang" w:cs="Times"/>
          <w:spacing w:val="-2"/>
          <w:szCs w:val="20"/>
          <w:lang w:val="en-US"/>
        </w:rPr>
        <w:t xml:space="preserve">s </w:t>
      </w:r>
      <w:r w:rsidR="00BE2225" w:rsidRPr="008A1DB4">
        <w:rPr>
          <w:spacing w:val="-2"/>
          <w:lang w:val="en-US"/>
        </w:rPr>
        <w:fldChar w:fldCharType="begin"/>
      </w:r>
      <w:r w:rsidR="00BE2225" w:rsidRPr="008A1DB4">
        <w:rPr>
          <w:spacing w:val="-2"/>
          <w:lang w:val="en-US"/>
        </w:rPr>
        <w:instrText xml:space="preserve"> REF _Ref418887572 \r \h  \* MERGEFORMAT </w:instrText>
      </w:r>
      <w:r w:rsidR="00BE2225" w:rsidRPr="008A1DB4">
        <w:rPr>
          <w:spacing w:val="-2"/>
          <w:lang w:val="en-US"/>
        </w:rPr>
      </w:r>
      <w:r w:rsidR="00BE2225" w:rsidRPr="008A1DB4">
        <w:rPr>
          <w:spacing w:val="-2"/>
          <w:lang w:val="en-US"/>
        </w:rPr>
        <w:fldChar w:fldCharType="separate"/>
      </w:r>
      <w:r w:rsidR="00E961FA" w:rsidRPr="008A1DB4">
        <w:rPr>
          <w:rFonts w:eastAsia="Batang" w:cs="Times"/>
          <w:spacing w:val="-2"/>
          <w:szCs w:val="20"/>
          <w:lang w:val="en-US"/>
        </w:rPr>
        <w:t>193</w:t>
      </w:r>
      <w:r w:rsidR="00BE2225" w:rsidRPr="008A1DB4">
        <w:rPr>
          <w:spacing w:val="-2"/>
          <w:lang w:val="en-US"/>
        </w:rPr>
        <w:fldChar w:fldCharType="end"/>
      </w:r>
      <w:r w:rsidR="00C35238">
        <w:rPr>
          <w:rFonts w:eastAsia="Batang" w:cs="Times"/>
          <w:spacing w:val="-2"/>
          <w:szCs w:val="20"/>
          <w:lang w:val="en-US"/>
        </w:rPr>
        <w:t xml:space="preserve"> to</w:t>
      </w:r>
      <w:r w:rsidR="00882FFA" w:rsidRPr="008A1DB4">
        <w:rPr>
          <w:rFonts w:eastAsia="Batang" w:cs="Times"/>
          <w:spacing w:val="-2"/>
          <w:szCs w:val="20"/>
          <w:lang w:val="en-US"/>
        </w:rPr>
        <w:t xml:space="preserve"> </w:t>
      </w:r>
      <w:r w:rsidR="00BE2225" w:rsidRPr="008A1DB4">
        <w:rPr>
          <w:spacing w:val="-2"/>
          <w:lang w:val="en-US"/>
        </w:rPr>
        <w:fldChar w:fldCharType="begin"/>
      </w:r>
      <w:r w:rsidR="00BE2225" w:rsidRPr="008A1DB4">
        <w:rPr>
          <w:spacing w:val="-2"/>
          <w:lang w:val="en-US"/>
        </w:rPr>
        <w:instrText xml:space="preserve"> REF _Ref423358951 \r \h  \* MERGEFORMAT </w:instrText>
      </w:r>
      <w:r w:rsidR="00BE2225" w:rsidRPr="008A1DB4">
        <w:rPr>
          <w:spacing w:val="-2"/>
          <w:lang w:val="en-US"/>
        </w:rPr>
      </w:r>
      <w:r w:rsidR="00BE2225" w:rsidRPr="008A1DB4">
        <w:rPr>
          <w:spacing w:val="-2"/>
          <w:lang w:val="en-US"/>
        </w:rPr>
        <w:fldChar w:fldCharType="separate"/>
      </w:r>
      <w:r w:rsidR="00E961FA" w:rsidRPr="008A1DB4">
        <w:rPr>
          <w:rFonts w:eastAsia="Batang" w:cs="Times"/>
          <w:spacing w:val="-2"/>
          <w:szCs w:val="20"/>
          <w:lang w:val="en-US"/>
        </w:rPr>
        <w:t>206</w:t>
      </w:r>
      <w:r w:rsidR="00BE2225" w:rsidRPr="008A1DB4">
        <w:rPr>
          <w:spacing w:val="-2"/>
          <w:lang w:val="en-US"/>
        </w:rPr>
        <w:fldChar w:fldCharType="end"/>
      </w:r>
      <w:r w:rsidR="00882FFA" w:rsidRPr="008A1DB4">
        <w:rPr>
          <w:rFonts w:eastAsia="Batang" w:cs="Times"/>
          <w:spacing w:val="-2"/>
          <w:szCs w:val="20"/>
          <w:lang w:val="en-US"/>
        </w:rPr>
        <w:t>.</w:t>
      </w:r>
    </w:p>
    <w:p w14:paraId="3512B14A" w14:textId="77777777" w:rsidR="00882FFA" w:rsidRPr="008A1DB4" w:rsidRDefault="00882FFA" w:rsidP="008B1792">
      <w:pPr>
        <w:tabs>
          <w:tab w:val="left" w:pos="567"/>
        </w:tabs>
        <w:spacing w:before="40" w:after="40"/>
        <w:rPr>
          <w:rFonts w:eastAsia="Batang" w:cs="Times"/>
          <w:spacing w:val="-2"/>
          <w:szCs w:val="20"/>
          <w:lang w:val="en-US"/>
        </w:rPr>
      </w:pPr>
    </w:p>
    <w:p w14:paraId="2928419F" w14:textId="60B9C516"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086A2D28" w14:textId="77777777" w:rsidR="004B0210" w:rsidRPr="008A1DB4" w:rsidRDefault="004B0210" w:rsidP="008B1792">
      <w:pPr>
        <w:tabs>
          <w:tab w:val="left" w:pos="567"/>
        </w:tabs>
        <w:spacing w:before="40" w:after="40"/>
        <w:rPr>
          <w:rFonts w:eastAsia="Batang" w:cs="Times"/>
          <w:spacing w:val="-2"/>
          <w:szCs w:val="20"/>
          <w:lang w:val="en-US"/>
        </w:rPr>
      </w:pPr>
    </w:p>
    <w:p w14:paraId="6C531A71" w14:textId="16BF8DF9" w:rsidR="004B0210"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 xml:space="preserve">By four votes </w:t>
      </w:r>
      <w:r w:rsidR="00C35238">
        <w:rPr>
          <w:rFonts w:cs="Verdana"/>
          <w:spacing w:val="-2"/>
          <w:szCs w:val="20"/>
          <w:lang w:val="en-US"/>
        </w:rPr>
        <w:t>to two</w:t>
      </w:r>
      <w:r w:rsidRPr="008A1DB4">
        <w:rPr>
          <w:rFonts w:cs="Verdana"/>
          <w:spacing w:val="-2"/>
          <w:szCs w:val="20"/>
          <w:lang w:val="en-US"/>
        </w:rPr>
        <w:t>, that</w:t>
      </w:r>
      <w:r w:rsidR="004B0210" w:rsidRPr="008A1DB4">
        <w:rPr>
          <w:rFonts w:cs="Verdana"/>
          <w:spacing w:val="-2"/>
          <w:szCs w:val="20"/>
          <w:lang w:val="en-US"/>
        </w:rPr>
        <w:t>:</w:t>
      </w:r>
    </w:p>
    <w:p w14:paraId="4B2A42C2" w14:textId="77777777" w:rsidR="004B0210" w:rsidRPr="008A1DB4" w:rsidRDefault="004B0210" w:rsidP="008B1792">
      <w:pPr>
        <w:tabs>
          <w:tab w:val="left" w:pos="567"/>
        </w:tabs>
        <w:spacing w:before="40" w:after="40"/>
        <w:rPr>
          <w:rFonts w:eastAsia="Batang" w:cs="Times"/>
          <w:spacing w:val="-2"/>
          <w:szCs w:val="20"/>
          <w:lang w:val="en-US"/>
        </w:rPr>
      </w:pPr>
    </w:p>
    <w:p w14:paraId="2F4FE0EC" w14:textId="196791CB" w:rsidR="00FE3322" w:rsidRPr="008A1DB4" w:rsidRDefault="009E5939" w:rsidP="008B1792">
      <w:pPr>
        <w:numPr>
          <w:ilvl w:val="0"/>
          <w:numId w:val="13"/>
        </w:numPr>
        <w:tabs>
          <w:tab w:val="left" w:pos="567"/>
        </w:tabs>
        <w:spacing w:before="40" w:after="40"/>
        <w:ind w:left="0" w:firstLine="0"/>
        <w:rPr>
          <w:rFonts w:eastAsia="Batang" w:cs="Times"/>
          <w:spacing w:val="-2"/>
          <w:szCs w:val="20"/>
          <w:lang w:val="en-US"/>
        </w:rPr>
      </w:pPr>
      <w:r w:rsidRPr="008A1DB4">
        <w:rPr>
          <w:rFonts w:eastAsia="Calibri"/>
          <w:spacing w:val="-2"/>
          <w:szCs w:val="20"/>
          <w:lang w:val="en-US"/>
        </w:rPr>
        <w:t>It is not necessary to issue a ruling on the alleged failure to comply with the obligation to adopt domestic legal provisions, recognized in</w:t>
      </w:r>
      <w:r w:rsidR="00407902" w:rsidRPr="008A1DB4">
        <w:rPr>
          <w:rFonts w:eastAsia="Calibri"/>
          <w:spacing w:val="-2"/>
          <w:szCs w:val="20"/>
          <w:lang w:val="en-US"/>
        </w:rPr>
        <w:t xml:space="preserve"> </w:t>
      </w:r>
      <w:r w:rsidR="00F36400" w:rsidRPr="008A1DB4">
        <w:rPr>
          <w:rFonts w:eastAsia="Calibri"/>
          <w:spacing w:val="-2"/>
          <w:szCs w:val="20"/>
          <w:lang w:val="en-US"/>
        </w:rPr>
        <w:t>Article</w:t>
      </w:r>
      <w:r w:rsidR="00407902" w:rsidRPr="008A1DB4">
        <w:rPr>
          <w:rFonts w:eastAsia="Calibri"/>
          <w:spacing w:val="-2"/>
          <w:szCs w:val="20"/>
          <w:lang w:val="en-US"/>
        </w:rPr>
        <w:t xml:space="preserve"> 2</w:t>
      </w:r>
      <w:r w:rsidR="00F36400" w:rsidRPr="008A1DB4">
        <w:rPr>
          <w:rFonts w:eastAsia="Calibri"/>
          <w:spacing w:val="-2"/>
          <w:szCs w:val="20"/>
          <w:lang w:val="en-US"/>
        </w:rPr>
        <w:t xml:space="preserve"> of the Convention</w:t>
      </w:r>
      <w:r w:rsidR="00407902" w:rsidRPr="008A1DB4">
        <w:rPr>
          <w:rFonts w:eastAsia="Calibri"/>
          <w:spacing w:val="-2"/>
          <w:szCs w:val="20"/>
          <w:lang w:val="en-US"/>
        </w:rPr>
        <w:t xml:space="preserve">, </w:t>
      </w:r>
      <w:r w:rsidRPr="008A1DB4">
        <w:rPr>
          <w:rFonts w:eastAsia="Calibri"/>
          <w:spacing w:val="-2"/>
          <w:szCs w:val="20"/>
          <w:lang w:val="en-US"/>
        </w:rPr>
        <w:t xml:space="preserve">in relation to the arbitrary nature of the detention </w:t>
      </w:r>
      <w:r w:rsidR="00B43F84" w:rsidRPr="008A1DB4">
        <w:rPr>
          <w:rFonts w:eastAsia="Calibri"/>
          <w:spacing w:val="-2"/>
          <w:szCs w:val="20"/>
          <w:lang w:val="en-US"/>
        </w:rPr>
        <w:t>of Wong</w:t>
      </w:r>
      <w:r w:rsidR="00407902" w:rsidRPr="008A1DB4">
        <w:rPr>
          <w:rFonts w:eastAsia="Calibri"/>
          <w:spacing w:val="-2"/>
          <w:szCs w:val="20"/>
          <w:lang w:val="en-US"/>
        </w:rPr>
        <w:t xml:space="preserve"> Ho Wing, </w:t>
      </w:r>
      <w:r w:rsidRPr="008A1DB4">
        <w:rPr>
          <w:rFonts w:eastAsia="Batang" w:cs="Times"/>
          <w:spacing w:val="-2"/>
          <w:szCs w:val="20"/>
          <w:lang w:val="en-US"/>
        </w:rPr>
        <w:t>in the terms of</w:t>
      </w:r>
      <w:r w:rsidR="00407902" w:rsidRPr="008A1DB4">
        <w:rPr>
          <w:rFonts w:eastAsia="Batang" w:cs="Times"/>
          <w:spacing w:val="-2"/>
          <w:szCs w:val="20"/>
          <w:lang w:val="en-US"/>
        </w:rPr>
        <w:t xml:space="preserve"> </w:t>
      </w:r>
      <w:r w:rsidR="00776D24" w:rsidRPr="008A1DB4">
        <w:rPr>
          <w:rFonts w:eastAsia="Batang" w:cs="Times"/>
          <w:spacing w:val="-2"/>
          <w:szCs w:val="20"/>
          <w:lang w:val="en-US"/>
        </w:rPr>
        <w:t>paragraph</w:t>
      </w:r>
      <w:r w:rsidR="00407902" w:rsidRPr="008A1DB4">
        <w:rPr>
          <w:spacing w:val="-2"/>
          <w:szCs w:val="20"/>
          <w:lang w:val="en-US"/>
        </w:rPr>
        <w:t xml:space="preserve"> </w:t>
      </w:r>
      <w:r w:rsidR="00803862" w:rsidRPr="008A1DB4">
        <w:rPr>
          <w:spacing w:val="-2"/>
          <w:szCs w:val="20"/>
          <w:lang w:val="en-US"/>
        </w:rPr>
        <w:fldChar w:fldCharType="begin"/>
      </w:r>
      <w:r w:rsidR="00407902" w:rsidRPr="008A1DB4">
        <w:rPr>
          <w:spacing w:val="-2"/>
          <w:szCs w:val="20"/>
          <w:lang w:val="en-US"/>
        </w:rPr>
        <w:instrText xml:space="preserve"> REF _Ref419392682 \r \h </w:instrText>
      </w:r>
      <w:r w:rsidR="008A58ED"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256</w:t>
      </w:r>
      <w:r w:rsidR="00803862" w:rsidRPr="008A1DB4">
        <w:rPr>
          <w:spacing w:val="-2"/>
          <w:szCs w:val="20"/>
          <w:lang w:val="en-US"/>
        </w:rPr>
        <w:fldChar w:fldCharType="end"/>
      </w:r>
      <w:r w:rsidR="00FE3322" w:rsidRPr="008A1DB4">
        <w:rPr>
          <w:rFonts w:eastAsia="Batang" w:cs="Times"/>
          <w:spacing w:val="-2"/>
          <w:szCs w:val="20"/>
          <w:lang w:val="en-US"/>
        </w:rPr>
        <w:t>.</w:t>
      </w:r>
    </w:p>
    <w:p w14:paraId="26748C69" w14:textId="77777777" w:rsidR="00FE3322" w:rsidRPr="008A1DB4" w:rsidRDefault="00FE3322" w:rsidP="008B1792">
      <w:pPr>
        <w:tabs>
          <w:tab w:val="left" w:pos="567"/>
        </w:tabs>
        <w:spacing w:before="40" w:after="40"/>
        <w:rPr>
          <w:rFonts w:eastAsia="Batang" w:cs="Times"/>
          <w:spacing w:val="-2"/>
          <w:szCs w:val="20"/>
          <w:lang w:val="en-US"/>
        </w:rPr>
      </w:pPr>
    </w:p>
    <w:p w14:paraId="603B6758" w14:textId="1712C6F6" w:rsidR="004B0210" w:rsidRPr="008A1DB4" w:rsidRDefault="002F1744" w:rsidP="008B1792">
      <w:pPr>
        <w:tabs>
          <w:tab w:val="left" w:pos="567"/>
        </w:tabs>
        <w:autoSpaceDE w:val="0"/>
        <w:autoSpaceDN w:val="0"/>
        <w:spacing w:before="40" w:after="40"/>
        <w:rPr>
          <w:rFonts w:eastAsia="Calibri" w:cs="Arial"/>
          <w:color w:val="000000"/>
          <w:spacing w:val="-2"/>
          <w:szCs w:val="20"/>
          <w:lang w:val="en-US"/>
        </w:rPr>
      </w:pPr>
      <w:r w:rsidRPr="008A1DB4">
        <w:rPr>
          <w:rFonts w:eastAsia="Calibri" w:cs="Arial"/>
          <w:color w:val="000000"/>
          <w:spacing w:val="-2"/>
          <w:szCs w:val="20"/>
          <w:lang w:val="en-US"/>
        </w:rPr>
        <w:t xml:space="preserve">Judges </w:t>
      </w:r>
      <w:r w:rsidR="00D9177D" w:rsidRPr="008A1DB4">
        <w:rPr>
          <w:rFonts w:eastAsia="Calibri" w:cs="Arial"/>
          <w:color w:val="000000"/>
          <w:spacing w:val="-2"/>
          <w:szCs w:val="20"/>
          <w:lang w:val="en-US"/>
        </w:rPr>
        <w:t xml:space="preserve">Pérez </w:t>
      </w:r>
      <w:proofErr w:type="spellStart"/>
      <w:r w:rsidR="00D9177D" w:rsidRPr="008A1DB4">
        <w:rPr>
          <w:rFonts w:eastAsia="Calibri" w:cs="Arial"/>
          <w:color w:val="000000"/>
          <w:spacing w:val="-2"/>
          <w:szCs w:val="20"/>
          <w:lang w:val="en-US"/>
        </w:rPr>
        <w:t>Pérez</w:t>
      </w:r>
      <w:proofErr w:type="spellEnd"/>
      <w:r w:rsidR="00F36400" w:rsidRPr="008A1DB4">
        <w:rPr>
          <w:rFonts w:eastAsia="Calibri" w:cs="Arial"/>
          <w:color w:val="000000"/>
          <w:spacing w:val="-2"/>
          <w:szCs w:val="20"/>
          <w:lang w:val="en-US"/>
        </w:rPr>
        <w:t xml:space="preserve"> and </w:t>
      </w:r>
      <w:proofErr w:type="spellStart"/>
      <w:r w:rsidR="00D9177D" w:rsidRPr="008A1DB4">
        <w:rPr>
          <w:rFonts w:eastAsia="Calibri" w:cs="Arial"/>
          <w:color w:val="000000"/>
          <w:spacing w:val="-2"/>
          <w:szCs w:val="20"/>
          <w:lang w:val="en-US"/>
        </w:rPr>
        <w:t>Vio</w:t>
      </w:r>
      <w:proofErr w:type="spellEnd"/>
      <w:r w:rsidR="00D9177D" w:rsidRPr="008A1DB4">
        <w:rPr>
          <w:rFonts w:eastAsia="Calibri" w:cs="Arial"/>
          <w:color w:val="000000"/>
          <w:spacing w:val="-2"/>
          <w:szCs w:val="20"/>
          <w:lang w:val="en-US"/>
        </w:rPr>
        <w:t xml:space="preserve"> </w:t>
      </w:r>
      <w:proofErr w:type="spellStart"/>
      <w:r w:rsidR="00D9177D"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w:t>
      </w:r>
      <w:r w:rsidR="00D9177D" w:rsidRPr="008A1DB4">
        <w:rPr>
          <w:rFonts w:eastAsia="Calibri" w:cs="Arial"/>
          <w:color w:val="000000"/>
          <w:spacing w:val="-2"/>
          <w:szCs w:val="20"/>
          <w:lang w:val="en-US"/>
        </w:rPr>
        <w:t xml:space="preserve">. </w:t>
      </w:r>
    </w:p>
    <w:p w14:paraId="61F87495" w14:textId="77777777" w:rsidR="004B0210" w:rsidRPr="008A1DB4" w:rsidRDefault="004B0210" w:rsidP="008B1792">
      <w:pPr>
        <w:tabs>
          <w:tab w:val="left" w:pos="567"/>
        </w:tabs>
        <w:spacing w:before="40" w:after="40"/>
        <w:rPr>
          <w:rFonts w:eastAsia="Batang" w:cs="Times"/>
          <w:spacing w:val="-2"/>
          <w:szCs w:val="20"/>
          <w:lang w:val="en-US"/>
        </w:rPr>
      </w:pPr>
    </w:p>
    <w:p w14:paraId="139D5B43" w14:textId="46D4C776" w:rsidR="00FE3322" w:rsidRPr="008A1DB4" w:rsidRDefault="002F1744" w:rsidP="008B1792">
      <w:pPr>
        <w:tabs>
          <w:tab w:val="left" w:pos="567"/>
          <w:tab w:val="left" w:pos="720"/>
        </w:tabs>
        <w:spacing w:before="40" w:after="40"/>
        <w:rPr>
          <w:rFonts w:cs="Verdana"/>
          <w:b/>
          <w:spacing w:val="-2"/>
          <w:szCs w:val="20"/>
          <w:lang w:val="en-US"/>
        </w:rPr>
      </w:pPr>
      <w:r w:rsidRPr="008A1DB4">
        <w:rPr>
          <w:rFonts w:cs="Verdana"/>
          <w:b/>
          <w:spacing w:val="-2"/>
          <w:szCs w:val="20"/>
          <w:lang w:val="en-US"/>
        </w:rPr>
        <w:t>AND ESTABLISHES</w:t>
      </w:r>
      <w:r w:rsidR="00EC0EE8" w:rsidRPr="008A1DB4">
        <w:rPr>
          <w:rFonts w:cs="Verdana"/>
          <w:b/>
          <w:spacing w:val="-2"/>
          <w:szCs w:val="20"/>
          <w:lang w:val="en-US"/>
        </w:rPr>
        <w:t>,</w:t>
      </w:r>
    </w:p>
    <w:p w14:paraId="16C2D8BB" w14:textId="77777777" w:rsidR="00FE3322" w:rsidRPr="008A1DB4" w:rsidRDefault="00FE3322" w:rsidP="008B1792">
      <w:pPr>
        <w:tabs>
          <w:tab w:val="left" w:pos="567"/>
          <w:tab w:val="left" w:pos="720"/>
        </w:tabs>
        <w:spacing w:before="40" w:after="40"/>
        <w:rPr>
          <w:rFonts w:cs="Verdana"/>
          <w:b/>
          <w:spacing w:val="-2"/>
          <w:szCs w:val="20"/>
          <w:lang w:val="en-US"/>
        </w:rPr>
      </w:pPr>
    </w:p>
    <w:p w14:paraId="4C014B09" w14:textId="66D372DC" w:rsidR="00FE3322"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r w:rsidR="00FE3322" w:rsidRPr="008A1DB4">
        <w:rPr>
          <w:rFonts w:cs="Verdana"/>
          <w:spacing w:val="-2"/>
          <w:szCs w:val="20"/>
          <w:lang w:val="en-US"/>
        </w:rPr>
        <w:t xml:space="preserve"> </w:t>
      </w:r>
    </w:p>
    <w:p w14:paraId="68A86E96" w14:textId="77777777" w:rsidR="00FE3322" w:rsidRPr="008A1DB4" w:rsidRDefault="00FE3322" w:rsidP="008B1792">
      <w:pPr>
        <w:tabs>
          <w:tab w:val="left" w:pos="567"/>
          <w:tab w:val="left" w:pos="720"/>
        </w:tabs>
        <w:spacing w:before="40" w:after="40"/>
        <w:rPr>
          <w:rFonts w:cs="Verdana"/>
          <w:spacing w:val="-2"/>
          <w:szCs w:val="20"/>
          <w:lang w:val="en-US"/>
        </w:rPr>
      </w:pPr>
    </w:p>
    <w:p w14:paraId="20A753ED" w14:textId="6B1C1D57" w:rsidR="00A33C18" w:rsidRPr="008A1DB4" w:rsidRDefault="009E5939" w:rsidP="008B1792">
      <w:pPr>
        <w:numPr>
          <w:ilvl w:val="0"/>
          <w:numId w:val="13"/>
        </w:numPr>
        <w:tabs>
          <w:tab w:val="left" w:pos="567"/>
          <w:tab w:val="left" w:pos="720"/>
        </w:tabs>
        <w:spacing w:before="40" w:after="40"/>
        <w:ind w:left="0" w:firstLine="0"/>
        <w:rPr>
          <w:rFonts w:cs="Verdana"/>
          <w:spacing w:val="-2"/>
          <w:szCs w:val="20"/>
          <w:lang w:val="en-US"/>
        </w:rPr>
      </w:pPr>
      <w:r w:rsidRPr="008A1DB4">
        <w:rPr>
          <w:rFonts w:cs="Verdana"/>
          <w:spacing w:val="-2"/>
          <w:szCs w:val="20"/>
          <w:lang w:val="en-US"/>
        </w:rPr>
        <w:t>This Judgment constitutes</w:t>
      </w:r>
      <w:r w:rsidR="00FE3322" w:rsidRPr="008A1DB4">
        <w:rPr>
          <w:rFonts w:cs="Verdana"/>
          <w:spacing w:val="-2"/>
          <w:szCs w:val="20"/>
          <w:lang w:val="en-US"/>
        </w:rPr>
        <w:t xml:space="preserve"> </w:t>
      </w:r>
      <w:r w:rsidR="00FE3322" w:rsidRPr="008A1DB4">
        <w:rPr>
          <w:rFonts w:cs="Verdana"/>
          <w:i/>
          <w:spacing w:val="-2"/>
          <w:szCs w:val="20"/>
          <w:lang w:val="en-US"/>
        </w:rPr>
        <w:t>per se</w:t>
      </w:r>
      <w:r w:rsidR="00FE3322" w:rsidRPr="008A1DB4">
        <w:rPr>
          <w:rFonts w:cs="Verdana"/>
          <w:spacing w:val="-2"/>
          <w:szCs w:val="20"/>
          <w:lang w:val="en-US"/>
        </w:rPr>
        <w:t xml:space="preserve"> </w:t>
      </w:r>
      <w:r w:rsidRPr="008A1DB4">
        <w:rPr>
          <w:rFonts w:cs="Verdana"/>
          <w:spacing w:val="-2"/>
          <w:szCs w:val="20"/>
          <w:lang w:val="en-US"/>
        </w:rPr>
        <w:t>a form of reparation</w:t>
      </w:r>
      <w:r w:rsidR="00FE3322" w:rsidRPr="008A1DB4">
        <w:rPr>
          <w:rFonts w:cs="Verdana"/>
          <w:spacing w:val="-2"/>
          <w:szCs w:val="20"/>
          <w:lang w:val="en-US"/>
        </w:rPr>
        <w:t xml:space="preserve">. </w:t>
      </w:r>
    </w:p>
    <w:p w14:paraId="4E4B5FFF" w14:textId="77777777" w:rsidR="00A33C18" w:rsidRPr="008A1DB4" w:rsidRDefault="00A33C18" w:rsidP="008B1792">
      <w:pPr>
        <w:tabs>
          <w:tab w:val="left" w:pos="567"/>
          <w:tab w:val="left" w:pos="720"/>
        </w:tabs>
        <w:spacing w:before="40" w:after="40"/>
        <w:rPr>
          <w:rFonts w:cs="Verdana"/>
          <w:spacing w:val="-2"/>
          <w:szCs w:val="20"/>
          <w:lang w:val="en-US"/>
        </w:rPr>
      </w:pPr>
    </w:p>
    <w:p w14:paraId="3CAE9C9E" w14:textId="69FCEDBA"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11BB3138" w14:textId="77777777" w:rsidR="00C3253A" w:rsidRPr="008A1DB4" w:rsidRDefault="00C3253A" w:rsidP="008B1792">
      <w:pPr>
        <w:tabs>
          <w:tab w:val="left" w:pos="567"/>
          <w:tab w:val="left" w:pos="720"/>
        </w:tabs>
        <w:spacing w:before="40" w:after="40"/>
        <w:rPr>
          <w:rFonts w:cs="Verdana"/>
          <w:spacing w:val="-2"/>
          <w:szCs w:val="20"/>
          <w:lang w:val="en-US"/>
        </w:rPr>
      </w:pPr>
    </w:p>
    <w:p w14:paraId="555BE053" w14:textId="3084512A"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40B9A5B9" w14:textId="77777777" w:rsidR="00C3253A" w:rsidRPr="008A1DB4" w:rsidRDefault="00C3253A" w:rsidP="008B1792">
      <w:pPr>
        <w:tabs>
          <w:tab w:val="left" w:pos="567"/>
          <w:tab w:val="left" w:pos="720"/>
        </w:tabs>
        <w:spacing w:before="40" w:after="40"/>
        <w:rPr>
          <w:rFonts w:cs="Verdana"/>
          <w:spacing w:val="-2"/>
          <w:szCs w:val="20"/>
          <w:lang w:val="en-US"/>
        </w:rPr>
      </w:pPr>
    </w:p>
    <w:p w14:paraId="2D176E51" w14:textId="41D811B4" w:rsidR="00FE3322" w:rsidRPr="008A1DB4" w:rsidRDefault="00F36400" w:rsidP="008B1792">
      <w:pPr>
        <w:numPr>
          <w:ilvl w:val="0"/>
          <w:numId w:val="13"/>
        </w:numPr>
        <w:tabs>
          <w:tab w:val="left" w:pos="0"/>
          <w:tab w:val="left" w:pos="567"/>
          <w:tab w:val="left" w:pos="720"/>
        </w:tabs>
        <w:spacing w:before="40" w:after="40"/>
        <w:ind w:left="0" w:firstLine="0"/>
        <w:rPr>
          <w:rFonts w:cs="Verdana"/>
          <w:spacing w:val="-2"/>
          <w:szCs w:val="20"/>
          <w:lang w:val="en-US"/>
        </w:rPr>
      </w:pPr>
      <w:r w:rsidRPr="008A1DB4">
        <w:rPr>
          <w:spacing w:val="-2"/>
          <w:lang w:val="en-US"/>
        </w:rPr>
        <w:t>The State</w:t>
      </w:r>
      <w:r w:rsidR="00A33C18" w:rsidRPr="008A1DB4">
        <w:rPr>
          <w:spacing w:val="-2"/>
          <w:lang w:val="en-US"/>
        </w:rPr>
        <w:t xml:space="preserve"> </w:t>
      </w:r>
      <w:r w:rsidR="00C35238">
        <w:rPr>
          <w:spacing w:val="-2"/>
          <w:lang w:val="en-US"/>
        </w:rPr>
        <w:t>must</w:t>
      </w:r>
      <w:r w:rsidR="009E5939" w:rsidRPr="008A1DB4">
        <w:rPr>
          <w:spacing w:val="-2"/>
          <w:lang w:val="en-US"/>
        </w:rPr>
        <w:t xml:space="preserve"> take the final decision in </w:t>
      </w:r>
      <w:r w:rsidR="00FC5891" w:rsidRPr="008A1DB4">
        <w:rPr>
          <w:spacing w:val="-2"/>
          <w:lang w:val="en-US"/>
        </w:rPr>
        <w:t>the extradition process</w:t>
      </w:r>
      <w:r w:rsidR="00A33C18" w:rsidRPr="008A1DB4">
        <w:rPr>
          <w:spacing w:val="-2"/>
          <w:lang w:val="en-US"/>
        </w:rPr>
        <w:t xml:space="preserve"> </w:t>
      </w:r>
      <w:r w:rsidR="009E5939" w:rsidRPr="008A1DB4">
        <w:rPr>
          <w:spacing w:val="-2"/>
          <w:lang w:val="en-US"/>
        </w:rPr>
        <w:t xml:space="preserve">in the case of </w:t>
      </w:r>
      <w:r w:rsidR="00B43F84" w:rsidRPr="008A1DB4">
        <w:rPr>
          <w:spacing w:val="-2"/>
          <w:lang w:val="en-US"/>
        </w:rPr>
        <w:t>Wong</w:t>
      </w:r>
      <w:r w:rsidR="00A33C18" w:rsidRPr="008A1DB4">
        <w:rPr>
          <w:spacing w:val="-2"/>
          <w:lang w:val="en-US"/>
        </w:rPr>
        <w:t xml:space="preserve"> Ho </w:t>
      </w:r>
      <w:r w:rsidR="00107D66" w:rsidRPr="008A1DB4">
        <w:rPr>
          <w:spacing w:val="-2"/>
          <w:lang w:val="en-US"/>
        </w:rPr>
        <w:t>W</w:t>
      </w:r>
      <w:r w:rsidR="00A33C18" w:rsidRPr="008A1DB4">
        <w:rPr>
          <w:spacing w:val="-2"/>
          <w:lang w:val="en-US"/>
        </w:rPr>
        <w:t>ing</w:t>
      </w:r>
      <w:r w:rsidR="00C35238" w:rsidRPr="00C35238">
        <w:rPr>
          <w:spacing w:val="-2"/>
          <w:lang w:val="en-US"/>
        </w:rPr>
        <w:t xml:space="preserve"> </w:t>
      </w:r>
      <w:r w:rsidR="00C35238" w:rsidRPr="008A1DB4">
        <w:rPr>
          <w:spacing w:val="-2"/>
          <w:lang w:val="en-US"/>
        </w:rPr>
        <w:t>as soon as possible</w:t>
      </w:r>
      <w:r w:rsidR="00A33C18" w:rsidRPr="008A1DB4">
        <w:rPr>
          <w:spacing w:val="-2"/>
          <w:lang w:val="en-US"/>
        </w:rPr>
        <w:t xml:space="preserve">, </w:t>
      </w:r>
      <w:r w:rsidR="009E5939" w:rsidRPr="008A1DB4">
        <w:rPr>
          <w:spacing w:val="-2"/>
          <w:lang w:val="en-US"/>
        </w:rPr>
        <w:t>as established in</w:t>
      </w:r>
      <w:r w:rsidR="00A33C18" w:rsidRPr="008A1DB4">
        <w:rPr>
          <w:spacing w:val="-2"/>
          <w:szCs w:val="20"/>
          <w:lang w:val="en-US"/>
        </w:rPr>
        <w:t xml:space="preserve"> </w:t>
      </w:r>
      <w:r w:rsidR="00776D24" w:rsidRPr="008A1DB4">
        <w:rPr>
          <w:spacing w:val="-2"/>
          <w:szCs w:val="20"/>
          <w:lang w:val="en-US"/>
        </w:rPr>
        <w:t>paragraph</w:t>
      </w:r>
      <w:r w:rsidR="00A33C18" w:rsidRPr="008A1DB4">
        <w:rPr>
          <w:spacing w:val="-2"/>
          <w:szCs w:val="20"/>
          <w:lang w:val="en-US"/>
        </w:rPr>
        <w:t xml:space="preserve"> </w:t>
      </w:r>
      <w:r w:rsidR="004F6B18" w:rsidRPr="008A1DB4">
        <w:rPr>
          <w:spacing w:val="-2"/>
          <w:szCs w:val="20"/>
          <w:lang w:val="en-US"/>
        </w:rPr>
        <w:fldChar w:fldCharType="begin"/>
      </w:r>
      <w:r w:rsidR="004F6B18" w:rsidRPr="008A1DB4">
        <w:rPr>
          <w:spacing w:val="-2"/>
          <w:szCs w:val="20"/>
          <w:lang w:val="en-US"/>
        </w:rPr>
        <w:instrText xml:space="preserve"> REF _Ref428264129 \r \h </w:instrText>
      </w:r>
      <w:r w:rsidR="00DC41F4" w:rsidRPr="008A1DB4">
        <w:rPr>
          <w:spacing w:val="-2"/>
          <w:szCs w:val="20"/>
          <w:lang w:val="en-US"/>
        </w:rPr>
        <w:instrText xml:space="preserve"> \* MERGEFORMAT </w:instrText>
      </w:r>
      <w:r w:rsidR="004F6B18" w:rsidRPr="008A1DB4">
        <w:rPr>
          <w:spacing w:val="-2"/>
          <w:szCs w:val="20"/>
          <w:lang w:val="en-US"/>
        </w:rPr>
      </w:r>
      <w:r w:rsidR="004F6B18" w:rsidRPr="008A1DB4">
        <w:rPr>
          <w:spacing w:val="-2"/>
          <w:szCs w:val="20"/>
          <w:lang w:val="en-US"/>
        </w:rPr>
        <w:fldChar w:fldCharType="separate"/>
      </w:r>
      <w:r w:rsidR="00E961FA" w:rsidRPr="008A1DB4">
        <w:rPr>
          <w:spacing w:val="-2"/>
          <w:szCs w:val="20"/>
          <w:lang w:val="en-US"/>
        </w:rPr>
        <w:t>302</w:t>
      </w:r>
      <w:r w:rsidR="004F6B18" w:rsidRPr="008A1DB4">
        <w:rPr>
          <w:spacing w:val="-2"/>
          <w:szCs w:val="20"/>
          <w:lang w:val="en-US"/>
        </w:rPr>
        <w:fldChar w:fldCharType="end"/>
      </w:r>
      <w:r w:rsidR="00FE3322" w:rsidRPr="008A1DB4">
        <w:rPr>
          <w:spacing w:val="-2"/>
          <w:szCs w:val="20"/>
          <w:lang w:val="en-US"/>
        </w:rPr>
        <w:t>.</w:t>
      </w:r>
    </w:p>
    <w:p w14:paraId="76EFF788" w14:textId="77777777" w:rsidR="00FE3322" w:rsidRPr="008A1DB4" w:rsidRDefault="00FE3322" w:rsidP="008B1792">
      <w:pPr>
        <w:tabs>
          <w:tab w:val="left" w:pos="0"/>
          <w:tab w:val="left" w:pos="567"/>
        </w:tabs>
        <w:spacing w:before="40" w:after="40"/>
        <w:rPr>
          <w:spacing w:val="-2"/>
          <w:szCs w:val="20"/>
          <w:lang w:val="en-US"/>
        </w:rPr>
      </w:pPr>
    </w:p>
    <w:p w14:paraId="6EF82200" w14:textId="4F3C7AA5"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403D551C" w14:textId="77777777" w:rsidR="00C3253A" w:rsidRPr="008A1DB4" w:rsidRDefault="00C3253A" w:rsidP="008B1792">
      <w:pPr>
        <w:tabs>
          <w:tab w:val="left" w:pos="0"/>
          <w:tab w:val="left" w:pos="567"/>
        </w:tabs>
        <w:spacing w:before="40" w:after="40"/>
        <w:rPr>
          <w:spacing w:val="-2"/>
          <w:szCs w:val="20"/>
          <w:lang w:val="en-US"/>
        </w:rPr>
      </w:pPr>
    </w:p>
    <w:p w14:paraId="0BF6D76F" w14:textId="7C2B7DAB"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17B38303" w14:textId="77777777" w:rsidR="00C3253A" w:rsidRPr="008A1DB4" w:rsidRDefault="00C3253A" w:rsidP="008B1792">
      <w:pPr>
        <w:tabs>
          <w:tab w:val="left" w:pos="0"/>
          <w:tab w:val="left" w:pos="567"/>
        </w:tabs>
        <w:spacing w:before="40" w:after="40"/>
        <w:rPr>
          <w:spacing w:val="-2"/>
          <w:szCs w:val="20"/>
          <w:lang w:val="en-US"/>
        </w:rPr>
      </w:pPr>
    </w:p>
    <w:p w14:paraId="5CB5BAB8" w14:textId="7AABF1E9" w:rsidR="005B6E81" w:rsidRPr="008A1DB4" w:rsidRDefault="009E5939" w:rsidP="008B1792">
      <w:pPr>
        <w:numPr>
          <w:ilvl w:val="0"/>
          <w:numId w:val="13"/>
        </w:numPr>
        <w:tabs>
          <w:tab w:val="left" w:pos="0"/>
          <w:tab w:val="left" w:pos="567"/>
        </w:tabs>
        <w:spacing w:before="40" w:after="40"/>
        <w:ind w:left="0" w:firstLine="0"/>
        <w:rPr>
          <w:spacing w:val="-2"/>
          <w:lang w:val="en-US"/>
        </w:rPr>
      </w:pPr>
      <w:r w:rsidRPr="008A1DB4">
        <w:rPr>
          <w:spacing w:val="-2"/>
          <w:szCs w:val="20"/>
          <w:lang w:val="en-US"/>
        </w:rPr>
        <w:t>The</w:t>
      </w:r>
      <w:r w:rsidR="005B6E81" w:rsidRPr="008A1DB4">
        <w:rPr>
          <w:spacing w:val="-2"/>
          <w:szCs w:val="20"/>
          <w:lang w:val="en-US"/>
        </w:rPr>
        <w:t xml:space="preserve"> </w:t>
      </w:r>
      <w:r w:rsidR="00C45946" w:rsidRPr="008A1DB4">
        <w:rPr>
          <w:spacing w:val="-2"/>
          <w:szCs w:val="20"/>
          <w:lang w:val="en-US"/>
        </w:rPr>
        <w:t>provisional measures</w:t>
      </w:r>
      <w:r w:rsidR="005B6E81" w:rsidRPr="008A1DB4">
        <w:rPr>
          <w:spacing w:val="-2"/>
          <w:szCs w:val="20"/>
          <w:lang w:val="en-US"/>
        </w:rPr>
        <w:t xml:space="preserve"> orde</w:t>
      </w:r>
      <w:r w:rsidRPr="008A1DB4">
        <w:rPr>
          <w:spacing w:val="-2"/>
          <w:szCs w:val="20"/>
          <w:lang w:val="en-US"/>
        </w:rPr>
        <w:t>red</w:t>
      </w:r>
      <w:r w:rsidR="005B6E81" w:rsidRPr="008A1DB4">
        <w:rPr>
          <w:spacing w:val="-2"/>
          <w:szCs w:val="20"/>
          <w:lang w:val="en-US"/>
        </w:rPr>
        <w:t xml:space="preserve"> </w:t>
      </w:r>
      <w:r w:rsidR="00467AFC" w:rsidRPr="008A1DB4">
        <w:rPr>
          <w:spacing w:val="-2"/>
          <w:szCs w:val="20"/>
          <w:lang w:val="en-US"/>
        </w:rPr>
        <w:t>in this case</w:t>
      </w:r>
      <w:r w:rsidR="005B6E81" w:rsidRPr="008A1DB4">
        <w:rPr>
          <w:spacing w:val="-2"/>
          <w:szCs w:val="20"/>
          <w:lang w:val="en-US"/>
        </w:rPr>
        <w:t xml:space="preserve"> </w:t>
      </w:r>
      <w:r w:rsidRPr="008A1DB4">
        <w:rPr>
          <w:spacing w:val="-2"/>
          <w:szCs w:val="20"/>
          <w:lang w:val="en-US"/>
        </w:rPr>
        <w:t xml:space="preserve">are annulled, insofar as they are replaced by the measures of reparation ordered in this Judgment as of the date </w:t>
      </w:r>
      <w:r w:rsidR="002B47E8">
        <w:rPr>
          <w:spacing w:val="-2"/>
          <w:szCs w:val="20"/>
          <w:lang w:val="en-US"/>
        </w:rPr>
        <w:t>of its notification</w:t>
      </w:r>
      <w:r w:rsidRPr="008A1DB4">
        <w:rPr>
          <w:spacing w:val="-2"/>
          <w:szCs w:val="20"/>
          <w:lang w:val="en-US"/>
        </w:rPr>
        <w:t xml:space="preserve">, as established in </w:t>
      </w:r>
      <w:r w:rsidR="00776D24" w:rsidRPr="008A1DB4">
        <w:rPr>
          <w:spacing w:val="-2"/>
          <w:lang w:val="en-US"/>
        </w:rPr>
        <w:t>paragraph</w:t>
      </w:r>
      <w:r w:rsidR="005B6E81" w:rsidRPr="008A1DB4">
        <w:rPr>
          <w:spacing w:val="-2"/>
          <w:lang w:val="en-US"/>
        </w:rPr>
        <w:t xml:space="preserve"> </w:t>
      </w:r>
      <w:r w:rsidR="00803862" w:rsidRPr="008A1DB4">
        <w:rPr>
          <w:spacing w:val="-2"/>
          <w:lang w:val="en-US"/>
        </w:rPr>
        <w:fldChar w:fldCharType="begin"/>
      </w:r>
      <w:r w:rsidR="005B6E81" w:rsidRPr="008A1DB4">
        <w:rPr>
          <w:spacing w:val="-2"/>
          <w:lang w:val="en-US"/>
        </w:rPr>
        <w:instrText xml:space="preserve"> REF _Ref419393832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303</w:t>
      </w:r>
      <w:r w:rsidR="00803862" w:rsidRPr="008A1DB4">
        <w:rPr>
          <w:spacing w:val="-2"/>
          <w:lang w:val="en-US"/>
        </w:rPr>
        <w:fldChar w:fldCharType="end"/>
      </w:r>
      <w:r w:rsidR="005B6E81" w:rsidRPr="008A1DB4">
        <w:rPr>
          <w:spacing w:val="-2"/>
          <w:lang w:val="en-US"/>
        </w:rPr>
        <w:t xml:space="preserve">. </w:t>
      </w:r>
    </w:p>
    <w:p w14:paraId="42C8FA43" w14:textId="77777777" w:rsidR="005B6E81" w:rsidRPr="008A1DB4" w:rsidRDefault="005B6E81" w:rsidP="008B1792">
      <w:pPr>
        <w:tabs>
          <w:tab w:val="left" w:pos="0"/>
          <w:tab w:val="left" w:pos="567"/>
        </w:tabs>
        <w:spacing w:before="40" w:after="40"/>
        <w:rPr>
          <w:spacing w:val="-2"/>
          <w:lang w:val="en-US"/>
        </w:rPr>
      </w:pPr>
    </w:p>
    <w:p w14:paraId="3335B8E1" w14:textId="6F368F8F"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2F024FBA" w14:textId="77777777" w:rsidR="00C3253A" w:rsidRPr="008A1DB4" w:rsidRDefault="00C3253A" w:rsidP="008B1792">
      <w:pPr>
        <w:tabs>
          <w:tab w:val="left" w:pos="0"/>
          <w:tab w:val="left" w:pos="567"/>
        </w:tabs>
        <w:spacing w:before="40" w:after="40"/>
        <w:rPr>
          <w:spacing w:val="-2"/>
          <w:lang w:val="en-US"/>
        </w:rPr>
      </w:pPr>
    </w:p>
    <w:p w14:paraId="06B9710F" w14:textId="4AA37090"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 xml:space="preserve">By four votes </w:t>
      </w:r>
      <w:r w:rsidR="002B47E8">
        <w:rPr>
          <w:rFonts w:cs="Verdana"/>
          <w:spacing w:val="-2"/>
          <w:szCs w:val="20"/>
          <w:lang w:val="en-US"/>
        </w:rPr>
        <w:t>to two</w:t>
      </w:r>
      <w:r w:rsidRPr="008A1DB4">
        <w:rPr>
          <w:rFonts w:cs="Verdana"/>
          <w:spacing w:val="-2"/>
          <w:szCs w:val="20"/>
          <w:lang w:val="en-US"/>
        </w:rPr>
        <w:t>, that</w:t>
      </w:r>
      <w:r w:rsidR="00C3253A" w:rsidRPr="008A1DB4">
        <w:rPr>
          <w:rFonts w:cs="Verdana"/>
          <w:spacing w:val="-2"/>
          <w:szCs w:val="20"/>
          <w:lang w:val="en-US"/>
        </w:rPr>
        <w:t>:</w:t>
      </w:r>
    </w:p>
    <w:p w14:paraId="133301CD" w14:textId="77777777" w:rsidR="00C3253A" w:rsidRPr="008A1DB4" w:rsidRDefault="00C3253A" w:rsidP="008B1792">
      <w:pPr>
        <w:tabs>
          <w:tab w:val="left" w:pos="0"/>
          <w:tab w:val="left" w:pos="567"/>
        </w:tabs>
        <w:spacing w:before="40" w:after="40"/>
        <w:rPr>
          <w:spacing w:val="-2"/>
          <w:lang w:val="en-US"/>
        </w:rPr>
      </w:pPr>
    </w:p>
    <w:p w14:paraId="26D8D58A" w14:textId="50131890" w:rsidR="005B6E81" w:rsidRPr="008A1DB4" w:rsidRDefault="00F36400" w:rsidP="008B1792">
      <w:pPr>
        <w:numPr>
          <w:ilvl w:val="0"/>
          <w:numId w:val="13"/>
        </w:numPr>
        <w:tabs>
          <w:tab w:val="left" w:pos="0"/>
          <w:tab w:val="left" w:pos="567"/>
        </w:tabs>
        <w:spacing w:before="40" w:after="40"/>
        <w:ind w:left="0" w:firstLine="0"/>
        <w:rPr>
          <w:spacing w:val="-2"/>
          <w:lang w:val="en-US"/>
        </w:rPr>
      </w:pPr>
      <w:r w:rsidRPr="008A1DB4">
        <w:rPr>
          <w:spacing w:val="-2"/>
          <w:szCs w:val="20"/>
          <w:lang w:val="en-US"/>
        </w:rPr>
        <w:t>The State</w:t>
      </w:r>
      <w:r w:rsidR="00FE3322" w:rsidRPr="008A1DB4">
        <w:rPr>
          <w:spacing w:val="-2"/>
          <w:szCs w:val="20"/>
          <w:lang w:val="en-US"/>
        </w:rPr>
        <w:t xml:space="preserve"> </w:t>
      </w:r>
      <w:r w:rsidR="009E5939" w:rsidRPr="008A1DB4">
        <w:rPr>
          <w:spacing w:val="-2"/>
          <w:szCs w:val="20"/>
          <w:lang w:val="en-US"/>
        </w:rPr>
        <w:t xml:space="preserve">must immediately review </w:t>
      </w:r>
      <w:r w:rsidR="009F24F8" w:rsidRPr="008A1DB4">
        <w:rPr>
          <w:spacing w:val="-2"/>
          <w:lang w:val="en-US"/>
        </w:rPr>
        <w:t>the deprivation of liberty</w:t>
      </w:r>
      <w:r w:rsidR="005B6E81" w:rsidRPr="008A1DB4">
        <w:rPr>
          <w:spacing w:val="-2"/>
          <w:lang w:val="en-US"/>
        </w:rPr>
        <w:t xml:space="preserve"> </w:t>
      </w:r>
      <w:r w:rsidR="00B43F84" w:rsidRPr="008A1DB4">
        <w:rPr>
          <w:spacing w:val="-2"/>
          <w:lang w:val="en-US"/>
        </w:rPr>
        <w:t>of Wong</w:t>
      </w:r>
      <w:r w:rsidR="005B6E81" w:rsidRPr="008A1DB4">
        <w:rPr>
          <w:spacing w:val="-2"/>
          <w:lang w:val="en-US"/>
        </w:rPr>
        <w:t xml:space="preserve"> Ho Wing, </w:t>
      </w:r>
      <w:r w:rsidR="009E5939" w:rsidRPr="008A1DB4">
        <w:rPr>
          <w:spacing w:val="-2"/>
          <w:lang w:val="en-US"/>
        </w:rPr>
        <w:t xml:space="preserve">as established in </w:t>
      </w:r>
      <w:r w:rsidR="00776D24" w:rsidRPr="008A1DB4">
        <w:rPr>
          <w:spacing w:val="-2"/>
          <w:lang w:val="en-US"/>
        </w:rPr>
        <w:t>paragraph</w:t>
      </w:r>
      <w:r w:rsidR="005B6E81" w:rsidRPr="008A1DB4">
        <w:rPr>
          <w:spacing w:val="-2"/>
          <w:lang w:val="en-US"/>
        </w:rPr>
        <w:t xml:space="preserve"> </w:t>
      </w:r>
      <w:r w:rsidR="00803862" w:rsidRPr="008A1DB4">
        <w:rPr>
          <w:spacing w:val="-2"/>
          <w:lang w:val="en-US"/>
        </w:rPr>
        <w:fldChar w:fldCharType="begin"/>
      </w:r>
      <w:r w:rsidR="005B6E81" w:rsidRPr="008A1DB4">
        <w:rPr>
          <w:spacing w:val="-2"/>
          <w:lang w:val="en-US"/>
        </w:rPr>
        <w:instrText xml:space="preserve"> REF _Ref419393893 \r \h </w:instrText>
      </w:r>
      <w:r w:rsidR="00DC41F4" w:rsidRPr="008A1DB4">
        <w:rPr>
          <w:spacing w:val="-2"/>
          <w:lang w:val="en-US"/>
        </w:rPr>
        <w:instrText xml:space="preserve"> \* MERGEFORMAT </w:instrText>
      </w:r>
      <w:r w:rsidR="00803862" w:rsidRPr="008A1DB4">
        <w:rPr>
          <w:spacing w:val="-2"/>
          <w:lang w:val="en-US"/>
        </w:rPr>
      </w:r>
      <w:r w:rsidR="00803862" w:rsidRPr="008A1DB4">
        <w:rPr>
          <w:spacing w:val="-2"/>
          <w:lang w:val="en-US"/>
        </w:rPr>
        <w:fldChar w:fldCharType="separate"/>
      </w:r>
      <w:r w:rsidR="00E961FA" w:rsidRPr="008A1DB4">
        <w:rPr>
          <w:spacing w:val="-2"/>
          <w:lang w:val="en-US"/>
        </w:rPr>
        <w:t>305</w:t>
      </w:r>
      <w:r w:rsidR="00803862" w:rsidRPr="008A1DB4">
        <w:rPr>
          <w:spacing w:val="-2"/>
          <w:lang w:val="en-US"/>
        </w:rPr>
        <w:fldChar w:fldCharType="end"/>
      </w:r>
      <w:r w:rsidR="005B6E81" w:rsidRPr="008A1DB4">
        <w:rPr>
          <w:spacing w:val="-2"/>
          <w:lang w:val="en-US"/>
        </w:rPr>
        <w:t xml:space="preserve">. </w:t>
      </w:r>
    </w:p>
    <w:p w14:paraId="6784CE38" w14:textId="77777777" w:rsidR="00FE3322" w:rsidRPr="008A1DB4" w:rsidRDefault="00FE3322" w:rsidP="008B1792">
      <w:pPr>
        <w:tabs>
          <w:tab w:val="left" w:pos="0"/>
          <w:tab w:val="left" w:pos="567"/>
        </w:tabs>
        <w:spacing w:before="40" w:after="40"/>
        <w:rPr>
          <w:spacing w:val="-2"/>
          <w:szCs w:val="20"/>
          <w:lang w:val="en-US"/>
        </w:rPr>
      </w:pPr>
    </w:p>
    <w:p w14:paraId="6CE8384C" w14:textId="6EE4C656"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Judges</w:t>
      </w:r>
      <w:r w:rsidR="00C3253A" w:rsidRPr="008A1DB4">
        <w:rPr>
          <w:rFonts w:eastAsia="Calibri" w:cs="Arial"/>
          <w:color w:val="000000"/>
          <w:spacing w:val="-2"/>
          <w:szCs w:val="20"/>
          <w:lang w:val="en-US"/>
        </w:rPr>
        <w:t xml:space="preserve"> Pérez </w:t>
      </w:r>
      <w:proofErr w:type="spellStart"/>
      <w:r w:rsidR="00C3253A" w:rsidRPr="008A1DB4">
        <w:rPr>
          <w:rFonts w:eastAsia="Calibri" w:cs="Arial"/>
          <w:color w:val="000000"/>
          <w:spacing w:val="-2"/>
          <w:szCs w:val="20"/>
          <w:lang w:val="en-US"/>
        </w:rPr>
        <w:t>Pérez</w:t>
      </w:r>
      <w:proofErr w:type="spellEnd"/>
      <w:r w:rsidR="00F36400" w:rsidRPr="008A1DB4">
        <w:rPr>
          <w:rFonts w:eastAsia="Calibri" w:cs="Arial"/>
          <w:color w:val="000000"/>
          <w:spacing w:val="-2"/>
          <w:szCs w:val="20"/>
          <w:lang w:val="en-US"/>
        </w:rPr>
        <w:t xml:space="preserve"> and </w:t>
      </w:r>
      <w:proofErr w:type="spellStart"/>
      <w:r w:rsidR="00C3253A" w:rsidRPr="008A1DB4">
        <w:rPr>
          <w:rFonts w:eastAsia="Calibri" w:cs="Arial"/>
          <w:color w:val="000000"/>
          <w:spacing w:val="-2"/>
          <w:szCs w:val="20"/>
          <w:lang w:val="en-US"/>
        </w:rPr>
        <w:t>Vio</w:t>
      </w:r>
      <w:proofErr w:type="spellEnd"/>
      <w:r w:rsidR="00C3253A" w:rsidRPr="008A1DB4">
        <w:rPr>
          <w:rFonts w:eastAsia="Calibri" w:cs="Arial"/>
          <w:color w:val="000000"/>
          <w:spacing w:val="-2"/>
          <w:szCs w:val="20"/>
          <w:lang w:val="en-US"/>
        </w:rPr>
        <w:t xml:space="preserve"> </w:t>
      </w:r>
      <w:proofErr w:type="spellStart"/>
      <w:r w:rsidR="00C3253A"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r w:rsidR="00C3253A" w:rsidRPr="008A1DB4">
        <w:rPr>
          <w:rFonts w:eastAsia="Calibri" w:cs="Arial"/>
          <w:color w:val="000000"/>
          <w:spacing w:val="-2"/>
          <w:szCs w:val="20"/>
          <w:lang w:val="en-US"/>
        </w:rPr>
        <w:t>.</w:t>
      </w:r>
      <w:proofErr w:type="gramEnd"/>
    </w:p>
    <w:p w14:paraId="23C4A26A" w14:textId="77777777" w:rsidR="00C3253A" w:rsidRPr="008A1DB4" w:rsidRDefault="00C3253A" w:rsidP="008B1792">
      <w:pPr>
        <w:tabs>
          <w:tab w:val="left" w:pos="0"/>
          <w:tab w:val="left" w:pos="567"/>
        </w:tabs>
        <w:spacing w:before="40" w:after="40"/>
        <w:rPr>
          <w:spacing w:val="-2"/>
          <w:szCs w:val="20"/>
          <w:lang w:val="en-US"/>
        </w:rPr>
      </w:pPr>
    </w:p>
    <w:p w14:paraId="49977813" w14:textId="1044076B"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52E65A40" w14:textId="77777777" w:rsidR="00C3253A" w:rsidRPr="008A1DB4" w:rsidRDefault="00C3253A" w:rsidP="008B1792">
      <w:pPr>
        <w:tabs>
          <w:tab w:val="left" w:pos="0"/>
          <w:tab w:val="left" w:pos="567"/>
        </w:tabs>
        <w:spacing w:before="40" w:after="40"/>
        <w:rPr>
          <w:spacing w:val="-2"/>
          <w:szCs w:val="20"/>
          <w:lang w:val="en-US"/>
        </w:rPr>
      </w:pPr>
    </w:p>
    <w:p w14:paraId="6A2131EC" w14:textId="7843AFF2" w:rsidR="00FE3322" w:rsidRPr="008A1DB4" w:rsidRDefault="00F36400" w:rsidP="008B1792">
      <w:pPr>
        <w:numPr>
          <w:ilvl w:val="0"/>
          <w:numId w:val="13"/>
        </w:numPr>
        <w:tabs>
          <w:tab w:val="left" w:pos="0"/>
          <w:tab w:val="left" w:pos="567"/>
        </w:tabs>
        <w:spacing w:before="40" w:after="40"/>
        <w:ind w:left="0" w:firstLine="0"/>
        <w:rPr>
          <w:spacing w:val="-2"/>
          <w:szCs w:val="20"/>
          <w:lang w:val="en-US"/>
        </w:rPr>
      </w:pPr>
      <w:r w:rsidRPr="008A1DB4">
        <w:rPr>
          <w:spacing w:val="-2"/>
          <w:szCs w:val="20"/>
          <w:lang w:val="en-US"/>
        </w:rPr>
        <w:lastRenderedPageBreak/>
        <w:t>The State</w:t>
      </w:r>
      <w:r w:rsidR="00FE3322" w:rsidRPr="008A1DB4">
        <w:rPr>
          <w:spacing w:val="-2"/>
          <w:szCs w:val="20"/>
          <w:lang w:val="en-US"/>
        </w:rPr>
        <w:t xml:space="preserve"> </w:t>
      </w:r>
      <w:r w:rsidR="009E5939" w:rsidRPr="008A1DB4">
        <w:rPr>
          <w:spacing w:val="-2"/>
          <w:szCs w:val="20"/>
          <w:lang w:val="en-US"/>
        </w:rPr>
        <w:t>must make the publications indicated in</w:t>
      </w:r>
      <w:r w:rsidR="00B76B9E" w:rsidRPr="008A1DB4">
        <w:rPr>
          <w:spacing w:val="-2"/>
          <w:szCs w:val="20"/>
          <w:lang w:val="en-US"/>
        </w:rPr>
        <w:t xml:space="preserve"> </w:t>
      </w:r>
      <w:r w:rsidR="00776D24" w:rsidRPr="008A1DB4">
        <w:rPr>
          <w:spacing w:val="-2"/>
          <w:szCs w:val="20"/>
          <w:lang w:val="en-US"/>
        </w:rPr>
        <w:t>paragraph</w:t>
      </w:r>
      <w:r w:rsidR="00FE3322" w:rsidRPr="008A1DB4">
        <w:rPr>
          <w:spacing w:val="-2"/>
          <w:szCs w:val="20"/>
          <w:lang w:val="en-US"/>
        </w:rPr>
        <w:t xml:space="preserve"> </w:t>
      </w:r>
      <w:r w:rsidR="00803862" w:rsidRPr="008A1DB4">
        <w:rPr>
          <w:spacing w:val="-2"/>
          <w:szCs w:val="20"/>
          <w:lang w:val="en-US"/>
        </w:rPr>
        <w:fldChar w:fldCharType="begin"/>
      </w:r>
      <w:r w:rsidR="00B76B9E" w:rsidRPr="008A1DB4">
        <w:rPr>
          <w:spacing w:val="-2"/>
          <w:szCs w:val="20"/>
          <w:lang w:val="en-US"/>
        </w:rPr>
        <w:instrText xml:space="preserve"> REF _Ref419393952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307</w:t>
      </w:r>
      <w:r w:rsidR="00803862" w:rsidRPr="008A1DB4">
        <w:rPr>
          <w:spacing w:val="-2"/>
          <w:szCs w:val="20"/>
          <w:lang w:val="en-US"/>
        </w:rPr>
        <w:fldChar w:fldCharType="end"/>
      </w:r>
      <w:r w:rsidR="00B76B9E" w:rsidRPr="008A1DB4">
        <w:rPr>
          <w:spacing w:val="-2"/>
          <w:szCs w:val="20"/>
          <w:lang w:val="en-US"/>
        </w:rPr>
        <w:t xml:space="preserve"> </w:t>
      </w:r>
      <w:r w:rsidR="001168D7" w:rsidRPr="008A1DB4">
        <w:rPr>
          <w:spacing w:val="-2"/>
          <w:szCs w:val="20"/>
          <w:lang w:val="en-US"/>
        </w:rPr>
        <w:t>of this Judgment</w:t>
      </w:r>
      <w:r w:rsidR="00FE3322" w:rsidRPr="008A1DB4">
        <w:rPr>
          <w:spacing w:val="-2"/>
          <w:szCs w:val="20"/>
          <w:lang w:val="en-US"/>
        </w:rPr>
        <w:t xml:space="preserve">, </w:t>
      </w:r>
      <w:r w:rsidR="009E5939" w:rsidRPr="008A1DB4">
        <w:rPr>
          <w:spacing w:val="-2"/>
          <w:szCs w:val="20"/>
          <w:lang w:val="en-US"/>
        </w:rPr>
        <w:t>within six months of its notification.</w:t>
      </w:r>
    </w:p>
    <w:p w14:paraId="1685216C" w14:textId="77777777" w:rsidR="00C3253A" w:rsidRPr="008A1DB4" w:rsidRDefault="00C3253A" w:rsidP="008B1792">
      <w:pPr>
        <w:tabs>
          <w:tab w:val="left" w:pos="0"/>
          <w:tab w:val="left" w:pos="567"/>
        </w:tabs>
        <w:spacing w:before="40" w:after="40"/>
        <w:rPr>
          <w:spacing w:val="-2"/>
          <w:szCs w:val="20"/>
          <w:lang w:val="en-US"/>
        </w:rPr>
      </w:pPr>
    </w:p>
    <w:p w14:paraId="0C5FFB4A" w14:textId="58CB7AF5"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5937EB32" w14:textId="77777777" w:rsidR="00C3253A" w:rsidRPr="008A1DB4" w:rsidRDefault="00C3253A" w:rsidP="008B1792">
      <w:pPr>
        <w:tabs>
          <w:tab w:val="left" w:pos="0"/>
          <w:tab w:val="left" w:pos="567"/>
        </w:tabs>
        <w:spacing w:before="40" w:after="40"/>
        <w:rPr>
          <w:spacing w:val="-2"/>
          <w:szCs w:val="20"/>
          <w:lang w:val="en-US"/>
        </w:rPr>
      </w:pPr>
    </w:p>
    <w:p w14:paraId="5146C889" w14:textId="73796B4C"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238814C6" w14:textId="77777777" w:rsidR="00C3253A" w:rsidRPr="008A1DB4" w:rsidRDefault="00C3253A" w:rsidP="008B1792">
      <w:pPr>
        <w:tabs>
          <w:tab w:val="left" w:pos="0"/>
          <w:tab w:val="left" w:pos="567"/>
        </w:tabs>
        <w:spacing w:before="40" w:after="40"/>
        <w:rPr>
          <w:spacing w:val="-2"/>
          <w:szCs w:val="20"/>
          <w:lang w:val="en-US"/>
        </w:rPr>
      </w:pPr>
    </w:p>
    <w:p w14:paraId="3691C413" w14:textId="544C06D1" w:rsidR="00FE3322" w:rsidRPr="008A1DB4" w:rsidRDefault="00F36400" w:rsidP="008B1792">
      <w:pPr>
        <w:numPr>
          <w:ilvl w:val="0"/>
          <w:numId w:val="13"/>
        </w:numPr>
        <w:tabs>
          <w:tab w:val="left" w:pos="567"/>
          <w:tab w:val="left" w:pos="720"/>
        </w:tabs>
        <w:spacing w:before="40" w:after="40"/>
        <w:ind w:left="0" w:firstLine="0"/>
        <w:rPr>
          <w:rFonts w:cs="Verdana"/>
          <w:spacing w:val="-2"/>
          <w:szCs w:val="20"/>
          <w:lang w:val="en-US"/>
        </w:rPr>
      </w:pPr>
      <w:r w:rsidRPr="008A1DB4">
        <w:rPr>
          <w:rFonts w:cs="Verdana"/>
          <w:spacing w:val="-2"/>
          <w:szCs w:val="20"/>
          <w:lang w:val="en-US"/>
        </w:rPr>
        <w:t>The State</w:t>
      </w:r>
      <w:r w:rsidR="00FE3322" w:rsidRPr="008A1DB4">
        <w:rPr>
          <w:rFonts w:cs="Verdana"/>
          <w:spacing w:val="-2"/>
          <w:szCs w:val="20"/>
          <w:lang w:val="en-US"/>
        </w:rPr>
        <w:t xml:space="preserve"> </w:t>
      </w:r>
      <w:r w:rsidR="0079515C" w:rsidRPr="008A1DB4">
        <w:rPr>
          <w:rFonts w:cs="Verdana"/>
          <w:spacing w:val="-2"/>
          <w:szCs w:val="20"/>
          <w:lang w:val="en-US"/>
        </w:rPr>
        <w:t>must</w:t>
      </w:r>
      <w:r w:rsidR="009E5939" w:rsidRPr="008A1DB4">
        <w:rPr>
          <w:rFonts w:cs="Verdana"/>
          <w:spacing w:val="-2"/>
          <w:szCs w:val="20"/>
          <w:lang w:val="en-US"/>
        </w:rPr>
        <w:t xml:space="preserve"> pay the amounts established in </w:t>
      </w:r>
      <w:r w:rsidR="00776D24" w:rsidRPr="008A1DB4">
        <w:rPr>
          <w:rFonts w:cs="Verdana"/>
          <w:spacing w:val="-2"/>
          <w:szCs w:val="20"/>
          <w:lang w:val="en-US"/>
        </w:rPr>
        <w:t>paragraph</w:t>
      </w:r>
      <w:r w:rsidR="00B76B9E" w:rsidRPr="008A1DB4">
        <w:rPr>
          <w:rFonts w:cs="Verdana"/>
          <w:spacing w:val="-2"/>
          <w:szCs w:val="20"/>
          <w:lang w:val="en-US"/>
        </w:rPr>
        <w:t>s</w:t>
      </w:r>
      <w:r w:rsidR="00FE3322" w:rsidRPr="008A1DB4">
        <w:rPr>
          <w:rFonts w:cs="Verdana"/>
          <w:spacing w:val="-2"/>
          <w:szCs w:val="20"/>
          <w:lang w:val="en-US"/>
        </w:rPr>
        <w:t xml:space="preserve"> </w:t>
      </w:r>
      <w:r w:rsidR="00803862" w:rsidRPr="008A1DB4">
        <w:rPr>
          <w:spacing w:val="-2"/>
          <w:szCs w:val="20"/>
          <w:lang w:val="en-US"/>
        </w:rPr>
        <w:fldChar w:fldCharType="begin"/>
      </w:r>
      <w:r w:rsidR="00B76B9E" w:rsidRPr="008A1DB4">
        <w:rPr>
          <w:rFonts w:cs="Verdana"/>
          <w:spacing w:val="-2"/>
          <w:szCs w:val="20"/>
          <w:lang w:val="en-US"/>
        </w:rPr>
        <w:instrText xml:space="preserve"> REF _Ref419394005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rFonts w:cs="Verdana"/>
          <w:spacing w:val="-2"/>
          <w:szCs w:val="20"/>
          <w:lang w:val="en-US"/>
        </w:rPr>
        <w:t>317</w:t>
      </w:r>
      <w:r w:rsidR="00803862" w:rsidRPr="008A1DB4">
        <w:rPr>
          <w:spacing w:val="-2"/>
          <w:szCs w:val="20"/>
          <w:lang w:val="en-US"/>
        </w:rPr>
        <w:fldChar w:fldCharType="end"/>
      </w:r>
      <w:r w:rsidRPr="008A1DB4">
        <w:rPr>
          <w:spacing w:val="-2"/>
          <w:szCs w:val="20"/>
          <w:lang w:val="en-US"/>
        </w:rPr>
        <w:t xml:space="preserve"> and </w:t>
      </w:r>
      <w:r w:rsidR="00803862" w:rsidRPr="008A1DB4">
        <w:rPr>
          <w:spacing w:val="-2"/>
          <w:szCs w:val="20"/>
          <w:lang w:val="en-US"/>
        </w:rPr>
        <w:fldChar w:fldCharType="begin"/>
      </w:r>
      <w:r w:rsidR="00B76B9E" w:rsidRPr="008A1DB4">
        <w:rPr>
          <w:spacing w:val="-2"/>
          <w:szCs w:val="20"/>
          <w:lang w:val="en-US"/>
        </w:rPr>
        <w:instrText xml:space="preserve"> REF _Ref419394051 \r \h </w:instrText>
      </w:r>
      <w:r w:rsidR="00DC41F4" w:rsidRPr="008A1DB4">
        <w:rPr>
          <w:spacing w:val="-2"/>
          <w:szCs w:val="20"/>
          <w:lang w:val="en-US"/>
        </w:rPr>
        <w:instrText xml:space="preserve"> \* MERGEFORMAT </w:instrText>
      </w:r>
      <w:r w:rsidR="00803862" w:rsidRPr="008A1DB4">
        <w:rPr>
          <w:spacing w:val="-2"/>
          <w:szCs w:val="20"/>
          <w:lang w:val="en-US"/>
        </w:rPr>
      </w:r>
      <w:r w:rsidR="00803862" w:rsidRPr="008A1DB4">
        <w:rPr>
          <w:spacing w:val="-2"/>
          <w:szCs w:val="20"/>
          <w:lang w:val="en-US"/>
        </w:rPr>
        <w:fldChar w:fldCharType="separate"/>
      </w:r>
      <w:r w:rsidR="00E961FA" w:rsidRPr="008A1DB4">
        <w:rPr>
          <w:spacing w:val="-2"/>
          <w:szCs w:val="20"/>
          <w:lang w:val="en-US"/>
        </w:rPr>
        <w:t>322</w:t>
      </w:r>
      <w:r w:rsidR="00803862" w:rsidRPr="008A1DB4">
        <w:rPr>
          <w:spacing w:val="-2"/>
          <w:szCs w:val="20"/>
          <w:lang w:val="en-US"/>
        </w:rPr>
        <w:fldChar w:fldCharType="end"/>
      </w:r>
      <w:r w:rsidR="00B76B9E" w:rsidRPr="008A1DB4">
        <w:rPr>
          <w:spacing w:val="-2"/>
          <w:szCs w:val="20"/>
          <w:lang w:val="en-US"/>
        </w:rPr>
        <w:t xml:space="preserve"> </w:t>
      </w:r>
      <w:r w:rsidR="009E5939" w:rsidRPr="008A1DB4">
        <w:rPr>
          <w:spacing w:val="-2"/>
          <w:szCs w:val="20"/>
          <w:lang w:val="en-US"/>
        </w:rPr>
        <w:t xml:space="preserve">of this Judgment, as compensation for </w:t>
      </w:r>
      <w:r w:rsidR="00406E3B" w:rsidRPr="008A1DB4">
        <w:rPr>
          <w:spacing w:val="-2"/>
          <w:szCs w:val="20"/>
          <w:lang w:val="en-US"/>
        </w:rPr>
        <w:t xml:space="preserve">pecuniary </w:t>
      </w:r>
      <w:r w:rsidR="009E5939" w:rsidRPr="008A1DB4">
        <w:rPr>
          <w:spacing w:val="-2"/>
          <w:szCs w:val="20"/>
          <w:lang w:val="en-US"/>
        </w:rPr>
        <w:t xml:space="preserve">and non-pecuniary </w:t>
      </w:r>
      <w:r w:rsidR="00406E3B" w:rsidRPr="008A1DB4">
        <w:rPr>
          <w:spacing w:val="-2"/>
          <w:szCs w:val="20"/>
          <w:lang w:val="en-US"/>
        </w:rPr>
        <w:t>damage</w:t>
      </w:r>
      <w:r w:rsidR="00B76B9E" w:rsidRPr="008A1DB4">
        <w:rPr>
          <w:spacing w:val="-2"/>
          <w:szCs w:val="20"/>
          <w:lang w:val="en-US"/>
        </w:rPr>
        <w:t xml:space="preserve"> </w:t>
      </w:r>
      <w:r w:rsidR="009E5939" w:rsidRPr="008A1DB4">
        <w:rPr>
          <w:spacing w:val="-2"/>
          <w:szCs w:val="20"/>
          <w:lang w:val="en-US"/>
        </w:rPr>
        <w:t xml:space="preserve">and to reimburse </w:t>
      </w:r>
      <w:r w:rsidR="0027284C" w:rsidRPr="008A1DB4">
        <w:rPr>
          <w:rFonts w:cs="Verdana"/>
          <w:spacing w:val="-2"/>
          <w:szCs w:val="20"/>
          <w:lang w:val="en-US"/>
        </w:rPr>
        <w:t>costs and expenses</w:t>
      </w:r>
      <w:r w:rsidR="00FE3322" w:rsidRPr="008A1DB4">
        <w:rPr>
          <w:rFonts w:cs="Verdana"/>
          <w:spacing w:val="-2"/>
          <w:szCs w:val="20"/>
          <w:lang w:val="en-US"/>
        </w:rPr>
        <w:t xml:space="preserve">, </w:t>
      </w:r>
      <w:r w:rsidR="009E5939" w:rsidRPr="008A1DB4">
        <w:rPr>
          <w:rFonts w:cs="Verdana"/>
          <w:spacing w:val="-2"/>
          <w:szCs w:val="20"/>
          <w:lang w:val="en-US"/>
        </w:rPr>
        <w:t xml:space="preserve">in the terms of these </w:t>
      </w:r>
      <w:r w:rsidR="00776D24" w:rsidRPr="008A1DB4">
        <w:rPr>
          <w:rFonts w:cs="Verdana"/>
          <w:spacing w:val="-2"/>
          <w:szCs w:val="20"/>
          <w:lang w:val="en-US"/>
        </w:rPr>
        <w:t>paragraph</w:t>
      </w:r>
      <w:r w:rsidR="00FE3322" w:rsidRPr="008A1DB4">
        <w:rPr>
          <w:rFonts w:cs="Verdana"/>
          <w:spacing w:val="-2"/>
          <w:szCs w:val="20"/>
          <w:lang w:val="en-US"/>
        </w:rPr>
        <w:t>s</w:t>
      </w:r>
      <w:r w:rsidRPr="008A1DB4">
        <w:rPr>
          <w:rFonts w:eastAsia="Calibri" w:cs="Verdana"/>
          <w:spacing w:val="-2"/>
          <w:szCs w:val="20"/>
          <w:lang w:val="en-US"/>
        </w:rPr>
        <w:t xml:space="preserve"> and </w:t>
      </w:r>
      <w:r w:rsidR="009E5939" w:rsidRPr="008A1DB4">
        <w:rPr>
          <w:rFonts w:eastAsia="Calibri" w:cs="Verdana"/>
          <w:spacing w:val="-2"/>
          <w:szCs w:val="20"/>
          <w:lang w:val="en-US"/>
        </w:rPr>
        <w:t>of</w:t>
      </w:r>
      <w:r w:rsidR="00FE3322" w:rsidRPr="008A1DB4">
        <w:rPr>
          <w:rFonts w:eastAsia="Calibri" w:cs="Verdana"/>
          <w:spacing w:val="-2"/>
          <w:szCs w:val="20"/>
          <w:lang w:val="en-US"/>
        </w:rPr>
        <w:t xml:space="preserve"> </w:t>
      </w:r>
      <w:r w:rsidR="00776D24" w:rsidRPr="008A1DB4">
        <w:rPr>
          <w:rFonts w:eastAsia="Calibri" w:cs="Verdana"/>
          <w:spacing w:val="-2"/>
          <w:szCs w:val="20"/>
          <w:lang w:val="en-US"/>
        </w:rPr>
        <w:t>paragraph</w:t>
      </w:r>
      <w:r w:rsidR="00FE3322" w:rsidRPr="008A1DB4">
        <w:rPr>
          <w:rFonts w:eastAsia="Calibri" w:cs="Verdana"/>
          <w:spacing w:val="-2"/>
          <w:szCs w:val="20"/>
          <w:lang w:val="en-US"/>
        </w:rPr>
        <w:t xml:space="preserve">s </w:t>
      </w:r>
      <w:r w:rsidR="00803862" w:rsidRPr="008A1DB4">
        <w:rPr>
          <w:rFonts w:eastAsia="Calibri" w:cs="Verdana"/>
          <w:spacing w:val="-2"/>
          <w:szCs w:val="20"/>
          <w:lang w:val="en-US"/>
        </w:rPr>
        <w:fldChar w:fldCharType="begin"/>
      </w:r>
      <w:r w:rsidR="00B76B9E" w:rsidRPr="008A1DB4">
        <w:rPr>
          <w:rFonts w:eastAsia="Calibri" w:cs="Verdana"/>
          <w:spacing w:val="-2"/>
          <w:szCs w:val="20"/>
          <w:lang w:val="en-US"/>
        </w:rPr>
        <w:instrText xml:space="preserve"> REF _Ref419394072 \r \h </w:instrText>
      </w:r>
      <w:r w:rsidR="00DC41F4" w:rsidRPr="008A1DB4">
        <w:rPr>
          <w:rFonts w:eastAsia="Calibri" w:cs="Verdana"/>
          <w:spacing w:val="-2"/>
          <w:szCs w:val="20"/>
          <w:lang w:val="en-US"/>
        </w:rPr>
        <w:instrText xml:space="preserve"> \* MERGEFORMAT </w:instrText>
      </w:r>
      <w:r w:rsidR="00803862" w:rsidRPr="008A1DB4">
        <w:rPr>
          <w:rFonts w:eastAsia="Calibri" w:cs="Verdana"/>
          <w:spacing w:val="-2"/>
          <w:szCs w:val="20"/>
          <w:lang w:val="en-US"/>
        </w:rPr>
      </w:r>
      <w:r w:rsidR="00803862" w:rsidRPr="008A1DB4">
        <w:rPr>
          <w:rFonts w:eastAsia="Calibri" w:cs="Verdana"/>
          <w:spacing w:val="-2"/>
          <w:szCs w:val="20"/>
          <w:lang w:val="en-US"/>
        </w:rPr>
        <w:fldChar w:fldCharType="separate"/>
      </w:r>
      <w:r w:rsidR="00E961FA" w:rsidRPr="008A1DB4">
        <w:rPr>
          <w:rFonts w:eastAsia="Calibri" w:cs="Verdana"/>
          <w:spacing w:val="-2"/>
          <w:szCs w:val="20"/>
          <w:lang w:val="en-US"/>
        </w:rPr>
        <w:t>323</w:t>
      </w:r>
      <w:r w:rsidR="00803862" w:rsidRPr="008A1DB4">
        <w:rPr>
          <w:rFonts w:eastAsia="Calibri" w:cs="Verdana"/>
          <w:spacing w:val="-2"/>
          <w:szCs w:val="20"/>
          <w:lang w:val="en-US"/>
        </w:rPr>
        <w:fldChar w:fldCharType="end"/>
      </w:r>
      <w:r w:rsidR="009E5939" w:rsidRPr="008A1DB4">
        <w:rPr>
          <w:rFonts w:eastAsia="Calibri" w:cs="Verdana"/>
          <w:spacing w:val="-2"/>
          <w:szCs w:val="20"/>
          <w:lang w:val="en-US"/>
        </w:rPr>
        <w:t xml:space="preserve"> to</w:t>
      </w:r>
      <w:r w:rsidR="00B76B9E" w:rsidRPr="008A1DB4">
        <w:rPr>
          <w:rFonts w:eastAsia="Calibri" w:cs="Verdana"/>
          <w:spacing w:val="-2"/>
          <w:szCs w:val="20"/>
          <w:lang w:val="en-US"/>
        </w:rPr>
        <w:t xml:space="preserve"> </w:t>
      </w:r>
      <w:r w:rsidR="00803862" w:rsidRPr="008A1DB4">
        <w:rPr>
          <w:rFonts w:eastAsia="Calibri" w:cs="Verdana"/>
          <w:spacing w:val="-2"/>
          <w:szCs w:val="20"/>
          <w:lang w:val="en-US"/>
        </w:rPr>
        <w:fldChar w:fldCharType="begin"/>
      </w:r>
      <w:r w:rsidR="00B76B9E" w:rsidRPr="008A1DB4">
        <w:rPr>
          <w:rFonts w:eastAsia="Calibri" w:cs="Verdana"/>
          <w:spacing w:val="-2"/>
          <w:szCs w:val="20"/>
          <w:lang w:val="en-US"/>
        </w:rPr>
        <w:instrText xml:space="preserve"> REF _Ref419394076 \r \h </w:instrText>
      </w:r>
      <w:r w:rsidR="00DC41F4" w:rsidRPr="008A1DB4">
        <w:rPr>
          <w:rFonts w:eastAsia="Calibri" w:cs="Verdana"/>
          <w:spacing w:val="-2"/>
          <w:szCs w:val="20"/>
          <w:lang w:val="en-US"/>
        </w:rPr>
        <w:instrText xml:space="preserve"> \* MERGEFORMAT </w:instrText>
      </w:r>
      <w:r w:rsidR="00803862" w:rsidRPr="008A1DB4">
        <w:rPr>
          <w:rFonts w:eastAsia="Calibri" w:cs="Verdana"/>
          <w:spacing w:val="-2"/>
          <w:szCs w:val="20"/>
          <w:lang w:val="en-US"/>
        </w:rPr>
      </w:r>
      <w:r w:rsidR="00803862" w:rsidRPr="008A1DB4">
        <w:rPr>
          <w:rFonts w:eastAsia="Calibri" w:cs="Verdana"/>
          <w:spacing w:val="-2"/>
          <w:szCs w:val="20"/>
          <w:lang w:val="en-US"/>
        </w:rPr>
        <w:fldChar w:fldCharType="separate"/>
      </w:r>
      <w:r w:rsidR="00E961FA" w:rsidRPr="008A1DB4">
        <w:rPr>
          <w:rFonts w:eastAsia="Calibri" w:cs="Verdana"/>
          <w:spacing w:val="-2"/>
          <w:szCs w:val="20"/>
          <w:lang w:val="en-US"/>
        </w:rPr>
        <w:t>328</w:t>
      </w:r>
      <w:r w:rsidR="00803862" w:rsidRPr="008A1DB4">
        <w:rPr>
          <w:rFonts w:eastAsia="Calibri" w:cs="Verdana"/>
          <w:spacing w:val="-2"/>
          <w:szCs w:val="20"/>
          <w:lang w:val="en-US"/>
        </w:rPr>
        <w:fldChar w:fldCharType="end"/>
      </w:r>
      <w:r w:rsidR="00FE3322" w:rsidRPr="008A1DB4">
        <w:rPr>
          <w:rFonts w:eastAsia="Calibri" w:cs="Verdana"/>
          <w:spacing w:val="-2"/>
          <w:szCs w:val="20"/>
          <w:lang w:val="en-US"/>
        </w:rPr>
        <w:t>.</w:t>
      </w:r>
    </w:p>
    <w:p w14:paraId="111BE612" w14:textId="77777777" w:rsidR="00FE3322" w:rsidRPr="008A1DB4" w:rsidRDefault="00FE3322" w:rsidP="008B1792">
      <w:pPr>
        <w:tabs>
          <w:tab w:val="left" w:pos="567"/>
          <w:tab w:val="left" w:pos="720"/>
        </w:tabs>
        <w:spacing w:before="40" w:after="40"/>
        <w:rPr>
          <w:rFonts w:cs="Verdana"/>
          <w:spacing w:val="-2"/>
          <w:szCs w:val="20"/>
          <w:lang w:val="en-US"/>
        </w:rPr>
      </w:pPr>
    </w:p>
    <w:p w14:paraId="7655F9DB" w14:textId="4FFE57A5"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5B5F4509" w14:textId="77777777" w:rsidR="00C3253A" w:rsidRPr="008A1DB4" w:rsidRDefault="00C3253A" w:rsidP="008B1792">
      <w:pPr>
        <w:tabs>
          <w:tab w:val="left" w:pos="567"/>
          <w:tab w:val="left" w:pos="720"/>
        </w:tabs>
        <w:spacing w:before="40" w:after="40"/>
        <w:rPr>
          <w:rFonts w:cs="Verdana"/>
          <w:spacing w:val="-2"/>
          <w:szCs w:val="20"/>
          <w:lang w:val="en-US"/>
        </w:rPr>
      </w:pPr>
    </w:p>
    <w:p w14:paraId="70E85B7C" w14:textId="351C5697"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1D0A8F7F" w14:textId="77777777" w:rsidR="00C3253A" w:rsidRPr="008A1DB4" w:rsidRDefault="00C3253A" w:rsidP="008B1792">
      <w:pPr>
        <w:tabs>
          <w:tab w:val="left" w:pos="567"/>
          <w:tab w:val="left" w:pos="720"/>
        </w:tabs>
        <w:spacing w:before="40" w:after="40"/>
        <w:rPr>
          <w:rFonts w:cs="Verdana"/>
          <w:spacing w:val="-2"/>
          <w:szCs w:val="20"/>
          <w:lang w:val="en-US"/>
        </w:rPr>
      </w:pPr>
    </w:p>
    <w:p w14:paraId="392FC0E5" w14:textId="0CF6CC1B" w:rsidR="00FE3322" w:rsidRPr="008A1DB4" w:rsidRDefault="00F36400" w:rsidP="008B1792">
      <w:pPr>
        <w:numPr>
          <w:ilvl w:val="0"/>
          <w:numId w:val="13"/>
        </w:numPr>
        <w:tabs>
          <w:tab w:val="left" w:pos="0"/>
          <w:tab w:val="left" w:pos="567"/>
        </w:tabs>
        <w:spacing w:before="40" w:after="40"/>
        <w:ind w:left="0" w:firstLine="0"/>
        <w:rPr>
          <w:spacing w:val="-2"/>
          <w:szCs w:val="20"/>
          <w:lang w:val="en-US"/>
        </w:rPr>
      </w:pPr>
      <w:r w:rsidRPr="008A1DB4">
        <w:rPr>
          <w:spacing w:val="-2"/>
          <w:szCs w:val="20"/>
          <w:lang w:val="en-US"/>
        </w:rPr>
        <w:t>The State</w:t>
      </w:r>
      <w:r w:rsidR="009E5939" w:rsidRPr="008A1DB4">
        <w:rPr>
          <w:spacing w:val="-2"/>
          <w:szCs w:val="20"/>
          <w:lang w:val="en-US"/>
        </w:rPr>
        <w:t xml:space="preserve"> must, within one year of notification</w:t>
      </w:r>
      <w:r w:rsidR="00FE3322" w:rsidRPr="008A1DB4">
        <w:rPr>
          <w:spacing w:val="-2"/>
          <w:szCs w:val="20"/>
          <w:lang w:val="en-US"/>
        </w:rPr>
        <w:t xml:space="preserve"> </w:t>
      </w:r>
      <w:r w:rsidR="001168D7" w:rsidRPr="008A1DB4">
        <w:rPr>
          <w:spacing w:val="-2"/>
          <w:szCs w:val="20"/>
          <w:lang w:val="en-US"/>
        </w:rPr>
        <w:t>of this Judgment</w:t>
      </w:r>
      <w:r w:rsidR="00FE3322" w:rsidRPr="008A1DB4">
        <w:rPr>
          <w:spacing w:val="-2"/>
          <w:szCs w:val="20"/>
          <w:lang w:val="en-US"/>
        </w:rPr>
        <w:t xml:space="preserve">, </w:t>
      </w:r>
      <w:r w:rsidR="009E5939" w:rsidRPr="008A1DB4">
        <w:rPr>
          <w:spacing w:val="-2"/>
          <w:szCs w:val="20"/>
          <w:lang w:val="en-US"/>
        </w:rPr>
        <w:t>provide the Court with a report on the measures taken to comply with it.</w:t>
      </w:r>
    </w:p>
    <w:p w14:paraId="7807EF26" w14:textId="77777777" w:rsidR="00FE3322" w:rsidRPr="008A1DB4" w:rsidRDefault="00FE3322" w:rsidP="008B1792">
      <w:pPr>
        <w:tabs>
          <w:tab w:val="left" w:pos="0"/>
          <w:tab w:val="left" w:pos="567"/>
        </w:tabs>
        <w:spacing w:before="40" w:after="40"/>
        <w:rPr>
          <w:spacing w:val="-2"/>
          <w:szCs w:val="20"/>
          <w:lang w:val="en-US"/>
        </w:rPr>
      </w:pPr>
    </w:p>
    <w:p w14:paraId="636E7C77" w14:textId="0D2B36D1"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20A9BE38" w14:textId="77777777" w:rsidR="00C3253A" w:rsidRPr="008A1DB4" w:rsidRDefault="00C3253A" w:rsidP="008B1792">
      <w:pPr>
        <w:tabs>
          <w:tab w:val="left" w:pos="0"/>
          <w:tab w:val="left" w:pos="567"/>
        </w:tabs>
        <w:spacing w:before="40" w:after="40"/>
        <w:rPr>
          <w:spacing w:val="-2"/>
          <w:szCs w:val="20"/>
          <w:lang w:val="en-US"/>
        </w:rPr>
      </w:pPr>
    </w:p>
    <w:p w14:paraId="2AF32DC8" w14:textId="00BC9AAE" w:rsidR="00C3253A" w:rsidRPr="008A1DB4" w:rsidRDefault="002F1744" w:rsidP="008B1792">
      <w:pPr>
        <w:tabs>
          <w:tab w:val="left" w:pos="567"/>
          <w:tab w:val="left" w:pos="720"/>
        </w:tabs>
        <w:spacing w:before="40" w:after="40"/>
        <w:rPr>
          <w:rFonts w:cs="Verdana"/>
          <w:spacing w:val="-2"/>
          <w:szCs w:val="20"/>
          <w:lang w:val="en-US"/>
        </w:rPr>
      </w:pPr>
      <w:r w:rsidRPr="008A1DB4">
        <w:rPr>
          <w:rFonts w:cs="Verdana"/>
          <w:spacing w:val="-2"/>
          <w:szCs w:val="20"/>
          <w:lang w:val="en-US"/>
        </w:rPr>
        <w:t>By five votes to one, that</w:t>
      </w:r>
      <w:r w:rsidR="00C3253A" w:rsidRPr="008A1DB4">
        <w:rPr>
          <w:rFonts w:cs="Verdana"/>
          <w:spacing w:val="-2"/>
          <w:szCs w:val="20"/>
          <w:lang w:val="en-US"/>
        </w:rPr>
        <w:t>:</w:t>
      </w:r>
    </w:p>
    <w:p w14:paraId="4E30176A" w14:textId="77777777" w:rsidR="00C3253A" w:rsidRPr="008A1DB4" w:rsidRDefault="00C3253A" w:rsidP="008B1792">
      <w:pPr>
        <w:tabs>
          <w:tab w:val="left" w:pos="0"/>
          <w:tab w:val="left" w:pos="567"/>
        </w:tabs>
        <w:spacing w:before="40" w:after="40"/>
        <w:rPr>
          <w:spacing w:val="-2"/>
          <w:szCs w:val="20"/>
          <w:lang w:val="en-US"/>
        </w:rPr>
      </w:pPr>
    </w:p>
    <w:p w14:paraId="25FF1B78" w14:textId="28F8AEE3" w:rsidR="000D18D5" w:rsidRPr="008A1DB4" w:rsidRDefault="00F36400" w:rsidP="008B1792">
      <w:pPr>
        <w:numPr>
          <w:ilvl w:val="0"/>
          <w:numId w:val="13"/>
        </w:numPr>
        <w:tabs>
          <w:tab w:val="left" w:pos="0"/>
          <w:tab w:val="left" w:pos="567"/>
        </w:tabs>
        <w:spacing w:before="40" w:after="40"/>
        <w:ind w:left="0" w:firstLine="0"/>
        <w:rPr>
          <w:rFonts w:cs="Verdana"/>
          <w:spacing w:val="-2"/>
          <w:szCs w:val="20"/>
          <w:lang w:val="en-US"/>
        </w:rPr>
      </w:pPr>
      <w:r w:rsidRPr="008A1DB4">
        <w:rPr>
          <w:spacing w:val="-2"/>
          <w:szCs w:val="20"/>
          <w:lang w:val="en-US"/>
        </w:rPr>
        <w:t>The Court</w:t>
      </w:r>
      <w:r w:rsidR="00FE3322" w:rsidRPr="008A1DB4">
        <w:rPr>
          <w:spacing w:val="-2"/>
          <w:szCs w:val="20"/>
          <w:lang w:val="en-US"/>
        </w:rPr>
        <w:t xml:space="preserve"> </w:t>
      </w:r>
      <w:r w:rsidR="009E5939" w:rsidRPr="008A1DB4">
        <w:rPr>
          <w:spacing w:val="-2"/>
          <w:szCs w:val="20"/>
          <w:lang w:val="en-US"/>
        </w:rPr>
        <w:t xml:space="preserve">will monitor full compliance with </w:t>
      </w:r>
      <w:r w:rsidR="001168D7" w:rsidRPr="008A1DB4">
        <w:rPr>
          <w:spacing w:val="-2"/>
          <w:szCs w:val="20"/>
          <w:lang w:val="en-US"/>
        </w:rPr>
        <w:t>this Judgment</w:t>
      </w:r>
      <w:r w:rsidR="009E5939" w:rsidRPr="008A1DB4">
        <w:rPr>
          <w:spacing w:val="-2"/>
          <w:szCs w:val="20"/>
          <w:lang w:val="en-US"/>
        </w:rPr>
        <w:t xml:space="preserve">, in exercise of its authority and in fulfillment of its </w:t>
      </w:r>
      <w:r w:rsidR="0079515C" w:rsidRPr="008A1DB4">
        <w:rPr>
          <w:spacing w:val="-2"/>
          <w:szCs w:val="20"/>
          <w:lang w:val="en-US"/>
        </w:rPr>
        <w:t>obligations</w:t>
      </w:r>
      <w:r w:rsidR="009E5939" w:rsidRPr="008A1DB4">
        <w:rPr>
          <w:spacing w:val="-2"/>
          <w:szCs w:val="20"/>
          <w:lang w:val="en-US"/>
        </w:rPr>
        <w:t xml:space="preserve"> under the </w:t>
      </w:r>
      <w:r w:rsidRPr="008A1DB4">
        <w:rPr>
          <w:spacing w:val="-2"/>
          <w:szCs w:val="20"/>
          <w:lang w:val="en-US"/>
        </w:rPr>
        <w:t>American Convention on Human Rights</w:t>
      </w:r>
      <w:r w:rsidR="00FE3322" w:rsidRPr="008A1DB4">
        <w:rPr>
          <w:spacing w:val="-2"/>
          <w:szCs w:val="20"/>
          <w:lang w:val="en-US"/>
        </w:rPr>
        <w:t>,</w:t>
      </w:r>
      <w:r w:rsidRPr="008A1DB4">
        <w:rPr>
          <w:spacing w:val="-2"/>
          <w:szCs w:val="20"/>
          <w:lang w:val="en-US"/>
        </w:rPr>
        <w:t xml:space="preserve"> and </w:t>
      </w:r>
      <w:r w:rsidR="009E5939" w:rsidRPr="008A1DB4">
        <w:rPr>
          <w:spacing w:val="-2"/>
          <w:szCs w:val="20"/>
          <w:lang w:val="en-US"/>
        </w:rPr>
        <w:t>will consider this case concluded when the State has complied fully with all its provisions.</w:t>
      </w:r>
    </w:p>
    <w:p w14:paraId="46CD9BE4" w14:textId="77777777" w:rsidR="00E133B1" w:rsidRPr="008A1DB4" w:rsidRDefault="00E133B1" w:rsidP="008B1792">
      <w:pPr>
        <w:tabs>
          <w:tab w:val="left" w:pos="0"/>
          <w:tab w:val="left" w:pos="567"/>
        </w:tabs>
        <w:spacing w:before="40" w:after="40"/>
        <w:rPr>
          <w:spacing w:val="-2"/>
          <w:szCs w:val="20"/>
          <w:lang w:val="en-US"/>
        </w:rPr>
      </w:pPr>
    </w:p>
    <w:p w14:paraId="58E256BD" w14:textId="0D8ED678" w:rsidR="00C3253A" w:rsidRPr="008A1DB4" w:rsidRDefault="002F1744" w:rsidP="008B1792">
      <w:pPr>
        <w:tabs>
          <w:tab w:val="left" w:pos="567"/>
        </w:tabs>
        <w:autoSpaceDE w:val="0"/>
        <w:autoSpaceDN w:val="0"/>
        <w:spacing w:before="40" w:after="40"/>
        <w:rPr>
          <w:rFonts w:eastAsia="Calibri" w:cs="Arial"/>
          <w:color w:val="000000"/>
          <w:spacing w:val="-2"/>
          <w:szCs w:val="20"/>
          <w:lang w:val="en-US"/>
        </w:rPr>
      </w:pPr>
      <w:proofErr w:type="gramStart"/>
      <w:r w:rsidRPr="008A1DB4">
        <w:rPr>
          <w:rFonts w:eastAsia="Calibri" w:cs="Arial"/>
          <w:color w:val="000000"/>
          <w:spacing w:val="-2"/>
          <w:szCs w:val="20"/>
          <w:lang w:val="en-US"/>
        </w:rPr>
        <w:t xml:space="preserve">Judge </w:t>
      </w:r>
      <w:proofErr w:type="spellStart"/>
      <w:r w:rsidRPr="008A1DB4">
        <w:rPr>
          <w:rFonts w:eastAsia="Calibri" w:cs="Arial"/>
          <w:color w:val="000000"/>
          <w:spacing w:val="-2"/>
          <w:szCs w:val="20"/>
          <w:lang w:val="en-US"/>
        </w:rPr>
        <w:t>Vio</w:t>
      </w:r>
      <w:proofErr w:type="spellEnd"/>
      <w:r w:rsidRPr="008A1DB4">
        <w:rPr>
          <w:rFonts w:eastAsia="Calibri" w:cs="Arial"/>
          <w:color w:val="000000"/>
          <w:spacing w:val="-2"/>
          <w:szCs w:val="20"/>
          <w:lang w:val="en-US"/>
        </w:rPr>
        <w:t xml:space="preserve"> </w:t>
      </w:r>
      <w:proofErr w:type="spellStart"/>
      <w:r w:rsidRPr="008A1DB4">
        <w:rPr>
          <w:rFonts w:eastAsia="Calibri" w:cs="Arial"/>
          <w:color w:val="000000"/>
          <w:spacing w:val="-2"/>
          <w:szCs w:val="20"/>
          <w:lang w:val="en-US"/>
        </w:rPr>
        <w:t>Grossi</w:t>
      </w:r>
      <w:proofErr w:type="spellEnd"/>
      <w:r w:rsidRPr="008A1DB4">
        <w:rPr>
          <w:rFonts w:eastAsia="Calibri" w:cs="Arial"/>
          <w:color w:val="000000"/>
          <w:spacing w:val="-2"/>
          <w:szCs w:val="20"/>
          <w:lang w:val="en-US"/>
        </w:rPr>
        <w:t xml:space="preserve"> dissenting.</w:t>
      </w:r>
      <w:proofErr w:type="gramEnd"/>
    </w:p>
    <w:p w14:paraId="7E26737D" w14:textId="77777777" w:rsidR="00C3253A" w:rsidRPr="008A1DB4" w:rsidRDefault="00C3253A" w:rsidP="008B1792">
      <w:pPr>
        <w:tabs>
          <w:tab w:val="left" w:pos="0"/>
          <w:tab w:val="left" w:pos="567"/>
        </w:tabs>
        <w:spacing w:before="40" w:after="40"/>
        <w:rPr>
          <w:spacing w:val="-2"/>
          <w:szCs w:val="20"/>
          <w:lang w:val="en-US"/>
        </w:rPr>
      </w:pPr>
    </w:p>
    <w:p w14:paraId="242972A8" w14:textId="545E1A5D" w:rsidR="00E133B1" w:rsidRPr="008A1DB4" w:rsidRDefault="00F36400" w:rsidP="008B1792">
      <w:pPr>
        <w:tabs>
          <w:tab w:val="left" w:pos="0"/>
          <w:tab w:val="left" w:pos="567"/>
        </w:tabs>
        <w:spacing w:before="40" w:after="40"/>
        <w:rPr>
          <w:rFonts w:cs="Verdana"/>
          <w:spacing w:val="-2"/>
          <w:szCs w:val="20"/>
          <w:lang w:val="en-US"/>
        </w:rPr>
      </w:pPr>
      <w:r w:rsidRPr="008A1DB4">
        <w:rPr>
          <w:spacing w:val="-2"/>
          <w:lang w:val="en-US"/>
        </w:rPr>
        <w:t>Judge</w:t>
      </w:r>
      <w:r w:rsidR="00E133B1" w:rsidRPr="008A1DB4">
        <w:rPr>
          <w:spacing w:val="-2"/>
          <w:lang w:val="en-US"/>
        </w:rPr>
        <w:t xml:space="preserve"> Alberto Pérez </w:t>
      </w:r>
      <w:proofErr w:type="spellStart"/>
      <w:r w:rsidR="00E133B1" w:rsidRPr="008A1DB4">
        <w:rPr>
          <w:spacing w:val="-2"/>
          <w:lang w:val="en-US"/>
        </w:rPr>
        <w:t>Pérez</w:t>
      </w:r>
      <w:proofErr w:type="spellEnd"/>
      <w:r w:rsidR="002F1744" w:rsidRPr="008A1DB4">
        <w:rPr>
          <w:spacing w:val="-2"/>
          <w:lang w:val="en-US"/>
        </w:rPr>
        <w:t xml:space="preserve"> advised the Court of his Partially Dissenting Opinion, which accompanies this judgment. </w:t>
      </w:r>
      <w:r w:rsidRPr="008A1DB4">
        <w:rPr>
          <w:spacing w:val="-2"/>
          <w:lang w:val="en-US"/>
        </w:rPr>
        <w:t>Judge</w:t>
      </w:r>
      <w:r w:rsidR="00E133B1" w:rsidRPr="008A1DB4">
        <w:rPr>
          <w:spacing w:val="-2"/>
          <w:lang w:val="en-US"/>
        </w:rPr>
        <w:t xml:space="preserve"> Eduardo </w:t>
      </w:r>
      <w:proofErr w:type="spellStart"/>
      <w:r w:rsidR="00E133B1" w:rsidRPr="008A1DB4">
        <w:rPr>
          <w:spacing w:val="-2"/>
          <w:lang w:val="en-US"/>
        </w:rPr>
        <w:t>Vio</w:t>
      </w:r>
      <w:proofErr w:type="spellEnd"/>
      <w:r w:rsidR="00E133B1" w:rsidRPr="008A1DB4">
        <w:rPr>
          <w:spacing w:val="-2"/>
          <w:lang w:val="en-US"/>
        </w:rPr>
        <w:t xml:space="preserve"> </w:t>
      </w:r>
      <w:proofErr w:type="spellStart"/>
      <w:r w:rsidR="00E133B1" w:rsidRPr="008A1DB4">
        <w:rPr>
          <w:spacing w:val="-2"/>
          <w:lang w:val="en-US"/>
        </w:rPr>
        <w:t>Grossi</w:t>
      </w:r>
      <w:proofErr w:type="spellEnd"/>
      <w:r w:rsidR="00E133B1" w:rsidRPr="008A1DB4">
        <w:rPr>
          <w:spacing w:val="-2"/>
          <w:lang w:val="en-US"/>
        </w:rPr>
        <w:t xml:space="preserve"> </w:t>
      </w:r>
      <w:r w:rsidR="002F1744" w:rsidRPr="008A1DB4">
        <w:rPr>
          <w:spacing w:val="-2"/>
          <w:lang w:val="en-US"/>
        </w:rPr>
        <w:t>advised the Court of his Dissenting Opinion, which accompanies this judgment.</w:t>
      </w:r>
      <w:r w:rsidR="00E133B1" w:rsidRPr="008A1DB4">
        <w:rPr>
          <w:spacing w:val="-2"/>
          <w:lang w:val="en-US"/>
        </w:rPr>
        <w:t xml:space="preserve"> </w:t>
      </w:r>
    </w:p>
    <w:p w14:paraId="65204E67" w14:textId="77777777" w:rsidR="00402AE5" w:rsidRPr="008A1DB4" w:rsidRDefault="00402AE5" w:rsidP="008B1792">
      <w:pPr>
        <w:tabs>
          <w:tab w:val="left" w:pos="0"/>
          <w:tab w:val="left" w:pos="567"/>
        </w:tabs>
        <w:spacing w:before="40" w:after="40"/>
        <w:rPr>
          <w:spacing w:val="-2"/>
          <w:lang w:val="en-US"/>
        </w:rPr>
      </w:pPr>
    </w:p>
    <w:p w14:paraId="236CA82D" w14:textId="3EA2FB60" w:rsidR="00402AE5" w:rsidRPr="008A1DB4" w:rsidRDefault="002F1744" w:rsidP="008B1792">
      <w:pPr>
        <w:tabs>
          <w:tab w:val="left" w:pos="0"/>
          <w:tab w:val="left" w:pos="567"/>
        </w:tabs>
        <w:spacing w:before="40" w:after="40"/>
        <w:rPr>
          <w:spacing w:val="-2"/>
          <w:lang w:val="en-US"/>
        </w:rPr>
      </w:pPr>
      <w:proofErr w:type="gramStart"/>
      <w:r w:rsidRPr="008A1DB4">
        <w:rPr>
          <w:spacing w:val="-2"/>
          <w:lang w:val="en-US"/>
        </w:rPr>
        <w:t>Done, at</w:t>
      </w:r>
      <w:r w:rsidR="00402AE5" w:rsidRPr="008A1DB4">
        <w:rPr>
          <w:spacing w:val="-2"/>
          <w:lang w:val="en-US"/>
        </w:rPr>
        <w:t xml:space="preserve"> San José, Costa Rica, </w:t>
      </w:r>
      <w:r w:rsidR="00C168D8" w:rsidRPr="008A1DB4">
        <w:rPr>
          <w:spacing w:val="-2"/>
          <w:lang w:val="en-US"/>
        </w:rPr>
        <w:t>on June 30,</w:t>
      </w:r>
      <w:r w:rsidRPr="008A1DB4">
        <w:rPr>
          <w:spacing w:val="-2"/>
          <w:lang w:val="en-US"/>
        </w:rPr>
        <w:t xml:space="preserve"> 2015, in the Spanish language.</w:t>
      </w:r>
      <w:proofErr w:type="gramEnd"/>
    </w:p>
    <w:p w14:paraId="4BC410D3" w14:textId="77777777" w:rsidR="00487A85" w:rsidRPr="008A1DB4" w:rsidRDefault="00487A85" w:rsidP="008B1792">
      <w:pPr>
        <w:tabs>
          <w:tab w:val="left" w:pos="0"/>
          <w:tab w:val="left" w:pos="567"/>
        </w:tabs>
        <w:spacing w:before="40" w:after="40"/>
        <w:rPr>
          <w:spacing w:val="-2"/>
          <w:lang w:val="en-US"/>
        </w:rPr>
      </w:pPr>
    </w:p>
    <w:p w14:paraId="7D7F789D" w14:textId="18E5FAB7" w:rsidR="00487A85" w:rsidRPr="008A1DB4" w:rsidRDefault="002F1744" w:rsidP="00487A85">
      <w:pPr>
        <w:keepNext/>
        <w:outlineLvl w:val="0"/>
        <w:rPr>
          <w:lang w:val="en-US"/>
        </w:rPr>
      </w:pPr>
      <w:proofErr w:type="gramStart"/>
      <w:r w:rsidRPr="008A1DB4">
        <w:rPr>
          <w:lang w:val="en-US"/>
        </w:rPr>
        <w:t>Judgment</w:t>
      </w:r>
      <w:r w:rsidR="00F36400" w:rsidRPr="008A1DB4">
        <w:rPr>
          <w:lang w:val="en-US"/>
        </w:rPr>
        <w:t xml:space="preserve"> of the Inter-American Court of Human Rights</w:t>
      </w:r>
      <w:r w:rsidR="00487A85" w:rsidRPr="008A1DB4">
        <w:rPr>
          <w:lang w:val="en-US"/>
        </w:rPr>
        <w:t>.</w:t>
      </w:r>
      <w:proofErr w:type="gramEnd"/>
      <w:r w:rsidR="00487A85" w:rsidRPr="008A1DB4">
        <w:rPr>
          <w:lang w:val="en-US"/>
        </w:rPr>
        <w:t xml:space="preserve"> </w:t>
      </w:r>
      <w:proofErr w:type="gramStart"/>
      <w:r w:rsidRPr="008A1DB4">
        <w:rPr>
          <w:lang w:val="en-US"/>
        </w:rPr>
        <w:t>Case of</w:t>
      </w:r>
      <w:r w:rsidR="00487A85" w:rsidRPr="008A1DB4">
        <w:rPr>
          <w:lang w:val="en-US"/>
        </w:rPr>
        <w:t xml:space="preserve"> Wong Ho Wing </w:t>
      </w:r>
      <w:r w:rsidR="00487A85" w:rsidRPr="008A1DB4">
        <w:rPr>
          <w:i/>
          <w:lang w:val="en-US"/>
        </w:rPr>
        <w:t>v</w:t>
      </w:r>
      <w:r w:rsidR="00674392" w:rsidRPr="008A1DB4">
        <w:rPr>
          <w:i/>
          <w:lang w:val="en-US"/>
        </w:rPr>
        <w:t>.</w:t>
      </w:r>
      <w:r w:rsidR="00487A85" w:rsidRPr="008A1DB4">
        <w:rPr>
          <w:lang w:val="en-US"/>
        </w:rPr>
        <w:t xml:space="preserve"> </w:t>
      </w:r>
      <w:r w:rsidR="00F36400" w:rsidRPr="008A1DB4">
        <w:rPr>
          <w:lang w:val="en-US"/>
        </w:rPr>
        <w:t>Peru</w:t>
      </w:r>
      <w:r w:rsidR="00487A85" w:rsidRPr="008A1DB4">
        <w:rPr>
          <w:lang w:val="en-US"/>
        </w:rPr>
        <w:t>.</w:t>
      </w:r>
      <w:proofErr w:type="gramEnd"/>
      <w:r w:rsidR="00487A85" w:rsidRPr="008A1DB4">
        <w:rPr>
          <w:lang w:val="en-US"/>
        </w:rPr>
        <w:t xml:space="preserve"> </w:t>
      </w:r>
      <w:proofErr w:type="gramStart"/>
      <w:r w:rsidR="00F36400" w:rsidRPr="008A1DB4">
        <w:rPr>
          <w:snapToGrid w:val="0"/>
          <w:lang w:val="en-US"/>
        </w:rPr>
        <w:t>Preliminary objection, merits, reparations and costs</w:t>
      </w:r>
      <w:r w:rsidR="00487A85" w:rsidRPr="008A1DB4">
        <w:rPr>
          <w:snapToGrid w:val="0"/>
          <w:lang w:val="en-US"/>
        </w:rPr>
        <w:t>.</w:t>
      </w:r>
      <w:proofErr w:type="gramEnd"/>
    </w:p>
    <w:p w14:paraId="1E432070" w14:textId="77777777" w:rsidR="00487A85" w:rsidRPr="008A1DB4" w:rsidRDefault="00487A85" w:rsidP="00487A85">
      <w:pPr>
        <w:rPr>
          <w:lang w:val="en-US"/>
        </w:rPr>
      </w:pPr>
    </w:p>
    <w:p w14:paraId="104036D7" w14:textId="77777777" w:rsidR="00487A85" w:rsidRPr="008A1DB4" w:rsidRDefault="00487A85" w:rsidP="00487A85">
      <w:pPr>
        <w:rPr>
          <w:lang w:val="en-US"/>
        </w:rPr>
      </w:pPr>
    </w:p>
    <w:p w14:paraId="0A849AE5" w14:textId="77777777" w:rsidR="00487A85" w:rsidRPr="008A1DB4" w:rsidRDefault="00487A85" w:rsidP="00487A85">
      <w:pPr>
        <w:rPr>
          <w:lang w:val="en-US"/>
        </w:rPr>
      </w:pPr>
    </w:p>
    <w:p w14:paraId="1C36ECEE" w14:textId="77777777" w:rsidR="00487A85" w:rsidRDefault="00487A85" w:rsidP="00487A85">
      <w:pPr>
        <w:rPr>
          <w:lang w:val="en-US"/>
        </w:rPr>
      </w:pPr>
    </w:p>
    <w:p w14:paraId="6198031C" w14:textId="77777777" w:rsidR="000F66F8" w:rsidRDefault="000F66F8" w:rsidP="00487A85">
      <w:pPr>
        <w:rPr>
          <w:lang w:val="en-US"/>
        </w:rPr>
      </w:pPr>
    </w:p>
    <w:p w14:paraId="1FBC22B7" w14:textId="77777777" w:rsidR="000F66F8" w:rsidRDefault="000F66F8" w:rsidP="00487A85">
      <w:pPr>
        <w:rPr>
          <w:lang w:val="en-US"/>
        </w:rPr>
      </w:pPr>
    </w:p>
    <w:p w14:paraId="0F8C7C48" w14:textId="77777777" w:rsidR="000F66F8" w:rsidRDefault="000F66F8" w:rsidP="00487A85">
      <w:pPr>
        <w:rPr>
          <w:lang w:val="en-US"/>
        </w:rPr>
      </w:pPr>
    </w:p>
    <w:p w14:paraId="1B8899AB" w14:textId="77777777" w:rsidR="000F66F8" w:rsidRDefault="000F66F8" w:rsidP="00487A85">
      <w:pPr>
        <w:rPr>
          <w:lang w:val="en-US"/>
        </w:rPr>
      </w:pPr>
    </w:p>
    <w:p w14:paraId="627C01D9" w14:textId="77777777" w:rsidR="000F66F8" w:rsidRDefault="000F66F8" w:rsidP="00487A85">
      <w:pPr>
        <w:rPr>
          <w:lang w:val="en-US"/>
        </w:rPr>
      </w:pPr>
    </w:p>
    <w:p w14:paraId="4A5FBBAC" w14:textId="77777777" w:rsidR="000F66F8" w:rsidRDefault="000F66F8" w:rsidP="00487A85">
      <w:pPr>
        <w:rPr>
          <w:lang w:val="en-US"/>
        </w:rPr>
      </w:pPr>
    </w:p>
    <w:p w14:paraId="55AF8728" w14:textId="77777777" w:rsidR="000F66F8" w:rsidRDefault="000F66F8" w:rsidP="00487A85">
      <w:pPr>
        <w:rPr>
          <w:lang w:val="en-US"/>
        </w:rPr>
      </w:pPr>
    </w:p>
    <w:p w14:paraId="49E0E2EC" w14:textId="77777777" w:rsidR="000F66F8" w:rsidRPr="008A1DB4" w:rsidRDefault="000F66F8" w:rsidP="00487A85">
      <w:pPr>
        <w:rPr>
          <w:lang w:val="en-US"/>
        </w:rPr>
      </w:pPr>
    </w:p>
    <w:p w14:paraId="022C209C" w14:textId="77777777" w:rsidR="00487A85" w:rsidRPr="008A1DB4" w:rsidRDefault="00487A85" w:rsidP="00487A85">
      <w:pPr>
        <w:rPr>
          <w:lang w:val="en-US"/>
        </w:rPr>
      </w:pPr>
    </w:p>
    <w:p w14:paraId="71EBB259" w14:textId="77777777" w:rsidR="00487A85" w:rsidRPr="008A1DB4" w:rsidRDefault="00487A85" w:rsidP="00487A85">
      <w:pPr>
        <w:jc w:val="center"/>
        <w:rPr>
          <w:lang w:val="en-US"/>
        </w:rPr>
      </w:pPr>
      <w:r w:rsidRPr="008A1DB4">
        <w:rPr>
          <w:lang w:val="en-US"/>
        </w:rPr>
        <w:lastRenderedPageBreak/>
        <w:t>Humberto Antonio Sierra Porto</w:t>
      </w:r>
    </w:p>
    <w:p w14:paraId="7A25EA94" w14:textId="30F03D7B" w:rsidR="00487A85" w:rsidRPr="008A1DB4" w:rsidRDefault="00F36400" w:rsidP="00487A85">
      <w:pPr>
        <w:jc w:val="center"/>
        <w:rPr>
          <w:lang w:val="en-US"/>
        </w:rPr>
      </w:pPr>
      <w:r w:rsidRPr="008A1DB4">
        <w:rPr>
          <w:lang w:val="en-US"/>
        </w:rPr>
        <w:t>President</w:t>
      </w:r>
      <w:r w:rsidR="00487A85" w:rsidRPr="008A1DB4">
        <w:rPr>
          <w:lang w:val="en-US"/>
        </w:rPr>
        <w:t xml:space="preserve"> </w:t>
      </w:r>
    </w:p>
    <w:p w14:paraId="1BA53644" w14:textId="77777777" w:rsidR="00487A85" w:rsidRPr="008A1DB4" w:rsidRDefault="00487A85" w:rsidP="00487A85">
      <w:pPr>
        <w:rPr>
          <w:lang w:val="en-US"/>
        </w:rPr>
      </w:pPr>
    </w:p>
    <w:p w14:paraId="2C1F83FB" w14:textId="77777777" w:rsidR="00487A85" w:rsidRPr="008A1DB4" w:rsidRDefault="00487A85" w:rsidP="00487A85">
      <w:pPr>
        <w:rPr>
          <w:lang w:val="en-US"/>
        </w:rPr>
      </w:pPr>
    </w:p>
    <w:p w14:paraId="5016ED47" w14:textId="77777777" w:rsidR="00487A85" w:rsidRPr="008A1DB4" w:rsidRDefault="00487A85" w:rsidP="00487A85">
      <w:pPr>
        <w:rPr>
          <w:lang w:val="en-US"/>
        </w:rPr>
      </w:pPr>
    </w:p>
    <w:p w14:paraId="1A99A65F" w14:textId="77777777" w:rsidR="00487A85" w:rsidRPr="008A1DB4" w:rsidRDefault="00487A85" w:rsidP="00487A85">
      <w:pPr>
        <w:rPr>
          <w:lang w:val="en-US"/>
        </w:rPr>
      </w:pPr>
    </w:p>
    <w:p w14:paraId="13903B5E" w14:textId="77777777" w:rsidR="00487A85" w:rsidRPr="008A1DB4" w:rsidRDefault="00487A85" w:rsidP="00487A85">
      <w:pPr>
        <w:rPr>
          <w:lang w:val="en-US"/>
        </w:rPr>
      </w:pPr>
    </w:p>
    <w:p w14:paraId="1F42491C" w14:textId="77777777" w:rsidR="00487A85" w:rsidRPr="0039093A" w:rsidRDefault="00487A85" w:rsidP="00487A85">
      <w:r w:rsidRPr="0039093A">
        <w:t>Roberto F. Caldas</w:t>
      </w:r>
      <w:r w:rsidRPr="0039093A">
        <w:tab/>
      </w:r>
      <w:r w:rsidRPr="0039093A">
        <w:tab/>
      </w:r>
      <w:r w:rsidRPr="0039093A">
        <w:tab/>
      </w:r>
      <w:r w:rsidRPr="0039093A">
        <w:tab/>
      </w:r>
      <w:r w:rsidRPr="0039093A">
        <w:tab/>
      </w:r>
      <w:r w:rsidRPr="0039093A">
        <w:tab/>
        <w:t xml:space="preserve">        Manuel E. Ventura Robles</w:t>
      </w:r>
    </w:p>
    <w:p w14:paraId="4CFB8758" w14:textId="77777777" w:rsidR="00487A85" w:rsidRPr="0039093A" w:rsidRDefault="00487A85" w:rsidP="00487A85"/>
    <w:p w14:paraId="68842271" w14:textId="77777777" w:rsidR="00487A85" w:rsidRPr="0039093A" w:rsidRDefault="00487A85" w:rsidP="00487A85"/>
    <w:p w14:paraId="302A4356" w14:textId="77777777" w:rsidR="00487A85" w:rsidRPr="0039093A" w:rsidRDefault="00487A85" w:rsidP="00487A85"/>
    <w:p w14:paraId="6065FE80" w14:textId="77777777" w:rsidR="00487A85" w:rsidRPr="0039093A" w:rsidRDefault="00487A85" w:rsidP="00487A85"/>
    <w:p w14:paraId="43E1608C" w14:textId="77777777" w:rsidR="00487A85" w:rsidRPr="0039093A" w:rsidRDefault="00487A85" w:rsidP="00487A85"/>
    <w:p w14:paraId="3841B1DA" w14:textId="77777777" w:rsidR="00487A85" w:rsidRPr="0039093A" w:rsidRDefault="00487A85" w:rsidP="00487A85">
      <w:r w:rsidRPr="0039093A">
        <w:t xml:space="preserve">Alberto Pérez </w:t>
      </w:r>
      <w:proofErr w:type="spellStart"/>
      <w:r w:rsidRPr="0039093A">
        <w:t>Pérez</w:t>
      </w:r>
      <w:proofErr w:type="spellEnd"/>
      <w:r w:rsidRPr="0039093A">
        <w:tab/>
      </w:r>
      <w:r w:rsidRPr="0039093A">
        <w:tab/>
      </w:r>
      <w:r w:rsidRPr="0039093A">
        <w:tab/>
      </w:r>
      <w:r w:rsidRPr="0039093A">
        <w:tab/>
      </w:r>
      <w:r w:rsidRPr="0039093A">
        <w:tab/>
        <w:t xml:space="preserve">                            Eduardo Vio Grossi</w:t>
      </w:r>
    </w:p>
    <w:p w14:paraId="4B50CD9D" w14:textId="77777777" w:rsidR="00487A85" w:rsidRPr="0039093A" w:rsidRDefault="00487A85" w:rsidP="00487A85"/>
    <w:p w14:paraId="75ECDC92" w14:textId="77777777" w:rsidR="00487A85" w:rsidRPr="0039093A" w:rsidRDefault="00487A85" w:rsidP="00487A85"/>
    <w:p w14:paraId="1AD6B365" w14:textId="77777777" w:rsidR="00487A85" w:rsidRPr="0039093A" w:rsidRDefault="00487A85" w:rsidP="00487A85"/>
    <w:p w14:paraId="39ACE1D0" w14:textId="77777777" w:rsidR="00487A85" w:rsidRPr="0039093A" w:rsidRDefault="00487A85" w:rsidP="00487A85"/>
    <w:p w14:paraId="385FC447" w14:textId="77777777" w:rsidR="00487A85" w:rsidRPr="0039093A" w:rsidRDefault="00487A85" w:rsidP="00487A85"/>
    <w:p w14:paraId="4CF997DB" w14:textId="77777777" w:rsidR="00487A85" w:rsidRPr="0039093A" w:rsidRDefault="00487A85" w:rsidP="00487A85">
      <w:pPr>
        <w:jc w:val="center"/>
      </w:pPr>
      <w:r w:rsidRPr="0039093A">
        <w:t>Eduardo Ferrer Mac-</w:t>
      </w:r>
      <w:proofErr w:type="spellStart"/>
      <w:r w:rsidRPr="0039093A">
        <w:t>Gregor</w:t>
      </w:r>
      <w:proofErr w:type="spellEnd"/>
      <w:r w:rsidRPr="0039093A">
        <w:t xml:space="preserve"> </w:t>
      </w:r>
      <w:proofErr w:type="spellStart"/>
      <w:r w:rsidRPr="0039093A">
        <w:t>Poisot</w:t>
      </w:r>
      <w:proofErr w:type="spellEnd"/>
    </w:p>
    <w:p w14:paraId="1E439204" w14:textId="77777777" w:rsidR="00487A85" w:rsidRPr="0039093A" w:rsidRDefault="00487A85" w:rsidP="00487A85"/>
    <w:p w14:paraId="214554AF" w14:textId="77777777" w:rsidR="00487A85" w:rsidRPr="0039093A" w:rsidRDefault="00487A85" w:rsidP="00487A85"/>
    <w:p w14:paraId="7BCE7E02" w14:textId="77777777" w:rsidR="00487A85" w:rsidRPr="0039093A" w:rsidRDefault="00487A85" w:rsidP="00487A85"/>
    <w:p w14:paraId="3BC51B06" w14:textId="77777777" w:rsidR="00487A85" w:rsidRPr="0039093A" w:rsidRDefault="00487A85" w:rsidP="00487A85"/>
    <w:p w14:paraId="13AA783E" w14:textId="77777777" w:rsidR="00487A85" w:rsidRPr="0039093A" w:rsidRDefault="00487A85" w:rsidP="00487A85"/>
    <w:p w14:paraId="0DD3ABCF" w14:textId="77777777" w:rsidR="00487A85" w:rsidRPr="0039093A" w:rsidRDefault="00487A85" w:rsidP="00487A85">
      <w:pPr>
        <w:jc w:val="center"/>
      </w:pPr>
      <w:r w:rsidRPr="0039093A">
        <w:t>Pablo Saavedra Alessandri</w:t>
      </w:r>
    </w:p>
    <w:p w14:paraId="0C72CA0B" w14:textId="4BB29C75" w:rsidR="00487A85" w:rsidRPr="0039093A" w:rsidRDefault="002F1744" w:rsidP="00487A85">
      <w:pPr>
        <w:jc w:val="center"/>
      </w:pPr>
      <w:proofErr w:type="spellStart"/>
      <w:r w:rsidRPr="0039093A">
        <w:t>Secretary</w:t>
      </w:r>
      <w:proofErr w:type="spellEnd"/>
    </w:p>
    <w:p w14:paraId="2ABDB10F" w14:textId="77777777" w:rsidR="00487A85" w:rsidRPr="0039093A" w:rsidRDefault="00487A85" w:rsidP="00487A85"/>
    <w:p w14:paraId="4A3E549B" w14:textId="77777777" w:rsidR="00487A85" w:rsidRPr="0039093A" w:rsidRDefault="00487A85" w:rsidP="00487A85">
      <w:pPr>
        <w:pStyle w:val="FootnoteText"/>
      </w:pPr>
    </w:p>
    <w:p w14:paraId="54409513" w14:textId="77777777" w:rsidR="00487A85" w:rsidRPr="0039093A" w:rsidRDefault="00487A85" w:rsidP="00487A85">
      <w:pPr>
        <w:pStyle w:val="FootnoteText"/>
      </w:pPr>
    </w:p>
    <w:p w14:paraId="4CA3E0C7" w14:textId="77777777" w:rsidR="00487A85" w:rsidRPr="0039093A" w:rsidRDefault="00487A85" w:rsidP="00487A85">
      <w:pPr>
        <w:pStyle w:val="FootnoteText"/>
      </w:pPr>
    </w:p>
    <w:p w14:paraId="45F31B31" w14:textId="4E565E9D" w:rsidR="00487A85" w:rsidRPr="0039093A" w:rsidRDefault="002F1744" w:rsidP="00487A85">
      <w:r w:rsidRPr="0039093A">
        <w:t xml:space="preserve">So </w:t>
      </w:r>
      <w:proofErr w:type="spellStart"/>
      <w:r w:rsidR="0079515C" w:rsidRPr="0039093A">
        <w:t>ordered</w:t>
      </w:r>
      <w:proofErr w:type="spellEnd"/>
      <w:r w:rsidR="00487A85" w:rsidRPr="0039093A">
        <w:t>,</w:t>
      </w:r>
    </w:p>
    <w:p w14:paraId="1A670C08" w14:textId="77777777" w:rsidR="00487A85" w:rsidRPr="0039093A" w:rsidRDefault="00487A85" w:rsidP="00487A85"/>
    <w:p w14:paraId="7E455197" w14:textId="77777777" w:rsidR="00487A85" w:rsidRPr="0039093A" w:rsidRDefault="00487A85" w:rsidP="00487A85"/>
    <w:p w14:paraId="44580105" w14:textId="77777777" w:rsidR="00487A85" w:rsidRPr="0039093A" w:rsidRDefault="00487A85" w:rsidP="00487A85"/>
    <w:p w14:paraId="7F2BFDB2" w14:textId="77777777" w:rsidR="00487A85" w:rsidRPr="0039093A" w:rsidRDefault="00487A85" w:rsidP="00487A85"/>
    <w:p w14:paraId="4A7B2856" w14:textId="78BFFE37" w:rsidR="00674392" w:rsidRPr="0039093A" w:rsidRDefault="00487A85" w:rsidP="00674392">
      <w:pPr>
        <w:ind w:left="5040"/>
        <w:jc w:val="center"/>
      </w:pPr>
      <w:r w:rsidRPr="0039093A">
        <w:t>Humberto Antonio Sierra Porto</w:t>
      </w:r>
    </w:p>
    <w:p w14:paraId="55B0908C" w14:textId="67864B76" w:rsidR="00487A85" w:rsidRPr="008A1DB4" w:rsidRDefault="00F36400" w:rsidP="00674392">
      <w:pPr>
        <w:ind w:left="5040"/>
        <w:jc w:val="center"/>
        <w:rPr>
          <w:lang w:val="en-US"/>
        </w:rPr>
      </w:pPr>
      <w:r w:rsidRPr="008A1DB4">
        <w:rPr>
          <w:lang w:val="en-US"/>
        </w:rPr>
        <w:t>President</w:t>
      </w:r>
    </w:p>
    <w:p w14:paraId="71A62080" w14:textId="77777777" w:rsidR="00487A85" w:rsidRPr="008A1DB4" w:rsidRDefault="00487A85" w:rsidP="00487A85">
      <w:pPr>
        <w:rPr>
          <w:lang w:val="en-US"/>
        </w:rPr>
      </w:pPr>
    </w:p>
    <w:p w14:paraId="0D39BFF2" w14:textId="77777777" w:rsidR="00487A85" w:rsidRPr="008A1DB4" w:rsidRDefault="00487A85" w:rsidP="00487A85">
      <w:pPr>
        <w:rPr>
          <w:lang w:val="en-US"/>
        </w:rPr>
      </w:pPr>
    </w:p>
    <w:p w14:paraId="7B855A89" w14:textId="77777777" w:rsidR="00487A85" w:rsidRPr="008A1DB4" w:rsidRDefault="00487A85" w:rsidP="00487A85">
      <w:pPr>
        <w:rPr>
          <w:lang w:val="en-US"/>
        </w:rPr>
      </w:pPr>
    </w:p>
    <w:p w14:paraId="45EF3FBE" w14:textId="77777777" w:rsidR="00487A85" w:rsidRPr="008A1DB4" w:rsidRDefault="00487A85" w:rsidP="00487A85">
      <w:pPr>
        <w:rPr>
          <w:lang w:val="en-US"/>
        </w:rPr>
      </w:pPr>
    </w:p>
    <w:p w14:paraId="066D2D2D" w14:textId="77777777" w:rsidR="00487A85" w:rsidRPr="008A1DB4" w:rsidRDefault="00487A85" w:rsidP="00674392">
      <w:pPr>
        <w:ind w:right="5322"/>
        <w:jc w:val="center"/>
        <w:rPr>
          <w:lang w:val="en-US"/>
        </w:rPr>
      </w:pPr>
      <w:r w:rsidRPr="008A1DB4">
        <w:rPr>
          <w:lang w:val="en-US"/>
        </w:rPr>
        <w:t xml:space="preserve">Pablo Saavedra </w:t>
      </w:r>
      <w:proofErr w:type="spellStart"/>
      <w:r w:rsidRPr="008A1DB4">
        <w:rPr>
          <w:lang w:val="en-US"/>
        </w:rPr>
        <w:t>Alessandri</w:t>
      </w:r>
      <w:proofErr w:type="spellEnd"/>
    </w:p>
    <w:p w14:paraId="53E43A81" w14:textId="45A43550" w:rsidR="001D2155" w:rsidRDefault="002B47E8" w:rsidP="00970348">
      <w:pPr>
        <w:ind w:right="5322"/>
        <w:jc w:val="center"/>
        <w:rPr>
          <w:lang w:val="en-US"/>
        </w:rPr>
      </w:pPr>
      <w:r>
        <w:rPr>
          <w:lang w:val="en-US"/>
        </w:rPr>
        <w:t>Secretary</w:t>
      </w:r>
    </w:p>
    <w:p w14:paraId="6098715E" w14:textId="77777777" w:rsidR="002B47E8" w:rsidRDefault="002B47E8" w:rsidP="002B47E8">
      <w:pPr>
        <w:ind w:right="5322"/>
        <w:rPr>
          <w:lang w:val="en-US"/>
        </w:rPr>
      </w:pPr>
    </w:p>
    <w:p w14:paraId="0DDED20C" w14:textId="77777777" w:rsidR="002B47E8" w:rsidRDefault="002B47E8" w:rsidP="002B47E8">
      <w:pPr>
        <w:ind w:right="5322"/>
        <w:rPr>
          <w:lang w:val="en-US"/>
        </w:rPr>
      </w:pPr>
    </w:p>
    <w:p w14:paraId="16D69671" w14:textId="77777777" w:rsidR="002B47E8" w:rsidRPr="008A1DB4" w:rsidRDefault="002B47E8" w:rsidP="002B47E8">
      <w:pPr>
        <w:ind w:right="5322"/>
        <w:rPr>
          <w:lang w:val="en-US"/>
        </w:rPr>
        <w:sectPr w:rsidR="002B47E8" w:rsidRPr="008A1DB4" w:rsidSect="00D8105A">
          <w:headerReference w:type="default" r:id="rId9"/>
          <w:pgSz w:w="12240" w:h="15840"/>
          <w:pgMar w:top="1440" w:right="1191" w:bottom="1440" w:left="1191" w:header="720" w:footer="720" w:gutter="0"/>
          <w:cols w:space="720"/>
          <w:titlePg/>
          <w:docGrid w:linePitch="360"/>
        </w:sectPr>
      </w:pPr>
    </w:p>
    <w:p w14:paraId="487EBA1F" w14:textId="77777777" w:rsidR="000F66F8" w:rsidRPr="003D4D09" w:rsidRDefault="000F66F8" w:rsidP="000F66F8">
      <w:pPr>
        <w:jc w:val="center"/>
        <w:rPr>
          <w:b/>
          <w:szCs w:val="20"/>
          <w:lang w:val="en-US"/>
        </w:rPr>
      </w:pPr>
      <w:r w:rsidRPr="003D4D09">
        <w:rPr>
          <w:b/>
          <w:szCs w:val="20"/>
          <w:lang w:val="en-US"/>
        </w:rPr>
        <w:lastRenderedPageBreak/>
        <w:t xml:space="preserve">PARTIALLY DISSENTING OPINION OF JUDGE ALBERTO PÉREZ </w:t>
      </w:r>
      <w:proofErr w:type="spellStart"/>
      <w:r w:rsidRPr="003D4D09">
        <w:rPr>
          <w:b/>
          <w:szCs w:val="20"/>
          <w:lang w:val="en-US"/>
        </w:rPr>
        <w:t>PÉREZ</w:t>
      </w:r>
      <w:proofErr w:type="spellEnd"/>
    </w:p>
    <w:p w14:paraId="40B7033D" w14:textId="77777777" w:rsidR="000F66F8" w:rsidRPr="003D4D09" w:rsidRDefault="000F66F8" w:rsidP="000F66F8">
      <w:pPr>
        <w:jc w:val="center"/>
        <w:rPr>
          <w:b/>
          <w:szCs w:val="20"/>
          <w:lang w:val="en-US"/>
        </w:rPr>
      </w:pPr>
    </w:p>
    <w:p w14:paraId="48041C0B" w14:textId="77777777" w:rsidR="000F66F8" w:rsidRPr="003D4D09" w:rsidRDefault="000F66F8" w:rsidP="000F66F8">
      <w:pPr>
        <w:jc w:val="center"/>
        <w:rPr>
          <w:b/>
          <w:szCs w:val="20"/>
          <w:lang w:val="en-US"/>
        </w:rPr>
      </w:pPr>
      <w:r w:rsidRPr="003D4D09">
        <w:rPr>
          <w:b/>
          <w:szCs w:val="20"/>
          <w:lang w:val="en-US"/>
        </w:rPr>
        <w:t>INTER-AMERICAN COURT OF HUMAN RIGHTS</w:t>
      </w:r>
      <w:r w:rsidRPr="003D4D09">
        <w:rPr>
          <w:b/>
          <w:szCs w:val="20"/>
          <w:lang w:val="en-US"/>
        </w:rPr>
        <w:br/>
      </w:r>
    </w:p>
    <w:p w14:paraId="60B4A683" w14:textId="77777777" w:rsidR="000F66F8" w:rsidRPr="003D4D09" w:rsidRDefault="000F66F8" w:rsidP="000F66F8">
      <w:pPr>
        <w:jc w:val="center"/>
        <w:rPr>
          <w:b/>
          <w:szCs w:val="20"/>
          <w:lang w:val="en-US"/>
        </w:rPr>
      </w:pPr>
      <w:r w:rsidRPr="003D4D09">
        <w:rPr>
          <w:b/>
          <w:szCs w:val="20"/>
          <w:lang w:val="en-US"/>
        </w:rPr>
        <w:t xml:space="preserve">CASE OF WONG HO WING </w:t>
      </w:r>
      <w:r w:rsidRPr="00F84465">
        <w:rPr>
          <w:b/>
          <w:i/>
          <w:szCs w:val="20"/>
          <w:lang w:val="en-US"/>
        </w:rPr>
        <w:t>v</w:t>
      </w:r>
      <w:r w:rsidRPr="003D4D09">
        <w:rPr>
          <w:b/>
          <w:szCs w:val="20"/>
          <w:lang w:val="en-US"/>
        </w:rPr>
        <w:t>. PERU</w:t>
      </w:r>
    </w:p>
    <w:p w14:paraId="0D64EB99" w14:textId="77777777" w:rsidR="000F66F8" w:rsidRPr="003D4D09" w:rsidRDefault="000F66F8" w:rsidP="000F66F8">
      <w:pPr>
        <w:jc w:val="center"/>
        <w:rPr>
          <w:b/>
          <w:szCs w:val="20"/>
          <w:lang w:val="en-US"/>
        </w:rPr>
      </w:pPr>
    </w:p>
    <w:p w14:paraId="73AF17A8" w14:textId="77777777" w:rsidR="000F66F8" w:rsidRPr="003D4D09" w:rsidRDefault="000F66F8" w:rsidP="000F66F8">
      <w:pPr>
        <w:jc w:val="center"/>
        <w:rPr>
          <w:b/>
          <w:szCs w:val="20"/>
          <w:lang w:val="en-US"/>
        </w:rPr>
      </w:pPr>
      <w:r w:rsidRPr="003D4D09">
        <w:rPr>
          <w:b/>
          <w:szCs w:val="20"/>
          <w:lang w:val="en-US"/>
        </w:rPr>
        <w:t>JUDGMENT OF JUNE 30, 2015</w:t>
      </w:r>
    </w:p>
    <w:p w14:paraId="1F2B8863" w14:textId="77777777" w:rsidR="000F66F8" w:rsidRPr="003D4D09" w:rsidRDefault="000F66F8" w:rsidP="000F66F8">
      <w:pPr>
        <w:jc w:val="center"/>
        <w:rPr>
          <w:b/>
          <w:szCs w:val="20"/>
          <w:lang w:val="en-US"/>
        </w:rPr>
      </w:pPr>
    </w:p>
    <w:p w14:paraId="641BF748" w14:textId="77777777" w:rsidR="000F66F8" w:rsidRPr="003D4D09" w:rsidRDefault="000F66F8" w:rsidP="000F66F8">
      <w:pPr>
        <w:jc w:val="center"/>
        <w:rPr>
          <w:b/>
          <w:szCs w:val="20"/>
          <w:lang w:val="en-US"/>
        </w:rPr>
      </w:pPr>
      <w:r w:rsidRPr="003D4D09">
        <w:rPr>
          <w:b/>
          <w:szCs w:val="20"/>
          <w:lang w:val="en-US"/>
        </w:rPr>
        <w:t>(</w:t>
      </w:r>
      <w:r w:rsidRPr="003D4D09">
        <w:rPr>
          <w:b/>
          <w:i/>
          <w:szCs w:val="20"/>
          <w:lang w:val="en-US"/>
        </w:rPr>
        <w:t>Preliminary objection, merits, reparations and costs</w:t>
      </w:r>
      <w:r w:rsidRPr="003D4D09">
        <w:rPr>
          <w:b/>
          <w:szCs w:val="20"/>
          <w:lang w:val="en-US"/>
        </w:rPr>
        <w:t>)</w:t>
      </w:r>
    </w:p>
    <w:p w14:paraId="1FEA83A3" w14:textId="77777777" w:rsidR="000F66F8" w:rsidRPr="003D4D09" w:rsidRDefault="000F66F8" w:rsidP="000F66F8">
      <w:pPr>
        <w:jc w:val="center"/>
        <w:rPr>
          <w:b/>
          <w:szCs w:val="20"/>
          <w:lang w:val="en-US"/>
        </w:rPr>
      </w:pPr>
    </w:p>
    <w:p w14:paraId="02C8CF13"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 xml:space="preserve">I have issued a negative vote in relation to the following operative paragraphs of the judgment in the case of </w:t>
      </w:r>
      <w:r w:rsidRPr="003D4D09">
        <w:rPr>
          <w:i/>
          <w:lang w:val="en-US"/>
        </w:rPr>
        <w:t>Wong Ho Wing v. Peru</w:t>
      </w:r>
      <w:r w:rsidRPr="003D4D09">
        <w:rPr>
          <w:lang w:val="en-US"/>
        </w:rPr>
        <w:t>:</w:t>
      </w:r>
    </w:p>
    <w:p w14:paraId="6CBCAA9F" w14:textId="77777777" w:rsidR="000F66F8" w:rsidRPr="003D4D09" w:rsidRDefault="000F66F8" w:rsidP="000F66F8">
      <w:pPr>
        <w:pStyle w:val="Estilo1"/>
        <w:tabs>
          <w:tab w:val="clear" w:pos="16392"/>
        </w:tabs>
        <w:spacing w:after="0"/>
        <w:rPr>
          <w:lang w:val="en-US"/>
        </w:rPr>
      </w:pPr>
    </w:p>
    <w:p w14:paraId="1CEA81BD" w14:textId="77777777" w:rsidR="000F66F8" w:rsidRPr="003D4D09" w:rsidRDefault="000F66F8" w:rsidP="000F66F8">
      <w:pPr>
        <w:ind w:left="720"/>
        <w:rPr>
          <w:i/>
          <w:szCs w:val="20"/>
          <w:lang w:val="en-US"/>
        </w:rPr>
      </w:pPr>
      <w:r>
        <w:rPr>
          <w:rFonts w:eastAsia="Batang" w:cs="Times"/>
          <w:i/>
          <w:szCs w:val="20"/>
          <w:lang w:val="en-US"/>
        </w:rPr>
        <w:t>Operative</w:t>
      </w:r>
      <w:r w:rsidRPr="003D4D09">
        <w:rPr>
          <w:i/>
          <w:szCs w:val="20"/>
          <w:lang w:val="en-US"/>
        </w:rPr>
        <w:t xml:space="preserve"> paragraph 3:</w:t>
      </w:r>
    </w:p>
    <w:p w14:paraId="6B7FF052" w14:textId="77777777" w:rsidR="000F66F8" w:rsidRPr="003D4D09" w:rsidRDefault="000F66F8" w:rsidP="000F66F8">
      <w:pPr>
        <w:ind w:left="720"/>
        <w:rPr>
          <w:i/>
          <w:szCs w:val="20"/>
          <w:lang w:val="en-US"/>
        </w:rPr>
      </w:pPr>
    </w:p>
    <w:p w14:paraId="263370A1" w14:textId="77777777" w:rsidR="000F66F8" w:rsidRPr="003D4D09" w:rsidRDefault="000F66F8" w:rsidP="000F66F8">
      <w:pPr>
        <w:ind w:left="720"/>
        <w:rPr>
          <w:szCs w:val="20"/>
          <w:lang w:val="en-US"/>
        </w:rPr>
      </w:pPr>
      <w:r w:rsidRPr="003D4D09">
        <w:rPr>
          <w:szCs w:val="20"/>
          <w:lang w:val="en-US"/>
        </w:rPr>
        <w:t>“T</w:t>
      </w:r>
      <w:r w:rsidRPr="003D4D09">
        <w:rPr>
          <w:spacing w:val="-2"/>
          <w:lang w:val="en-US"/>
        </w:rPr>
        <w:t>he State is responsible for the violation of the guarantee of a reasonable time, established in Article 8(1) of the American Convention</w:t>
      </w:r>
      <w:r>
        <w:rPr>
          <w:spacing w:val="-2"/>
          <w:lang w:val="en-US"/>
        </w:rPr>
        <w:t>,</w:t>
      </w:r>
      <w:r w:rsidRPr="003D4D09">
        <w:rPr>
          <w:spacing w:val="-2"/>
          <w:lang w:val="en-US"/>
        </w:rPr>
        <w:t xml:space="preserve"> in r</w:t>
      </w:r>
      <w:r>
        <w:rPr>
          <w:spacing w:val="-2"/>
          <w:lang w:val="en-US"/>
        </w:rPr>
        <w:t>elation to Article 1(1) thereof,</w:t>
      </w:r>
      <w:r w:rsidRPr="003D4D09">
        <w:rPr>
          <w:spacing w:val="-2"/>
          <w:lang w:val="en-US"/>
        </w:rPr>
        <w:t xml:space="preserve"> to the detriment of Wong Ho Wing, in the terms of paragraphs </w:t>
      </w:r>
      <w:r w:rsidRPr="003D4D09">
        <w:rPr>
          <w:spacing w:val="-2"/>
          <w:lang w:val="en-US"/>
        </w:rPr>
        <w:fldChar w:fldCharType="begin"/>
      </w:r>
      <w:r w:rsidRPr="003D4D09">
        <w:rPr>
          <w:spacing w:val="-2"/>
          <w:lang w:val="en-US"/>
        </w:rPr>
        <w:instrText xml:space="preserve"> REF _Ref423345456 \r \h  \* MERGEFORMAT </w:instrText>
      </w:r>
      <w:r w:rsidRPr="003D4D09">
        <w:rPr>
          <w:spacing w:val="-2"/>
          <w:lang w:val="en-US"/>
        </w:rPr>
      </w:r>
      <w:r w:rsidRPr="003D4D09">
        <w:rPr>
          <w:spacing w:val="-2"/>
          <w:lang w:val="en-US"/>
        </w:rPr>
        <w:fldChar w:fldCharType="separate"/>
      </w:r>
      <w:r w:rsidRPr="003D4D09">
        <w:rPr>
          <w:spacing w:val="-2"/>
          <w:lang w:val="en-US"/>
        </w:rPr>
        <w:t>207</w:t>
      </w:r>
      <w:r w:rsidRPr="003D4D09">
        <w:rPr>
          <w:spacing w:val="-2"/>
          <w:lang w:val="en-US"/>
        </w:rPr>
        <w:fldChar w:fldCharType="end"/>
      </w:r>
      <w:r w:rsidRPr="003D4D09">
        <w:rPr>
          <w:spacing w:val="-2"/>
          <w:lang w:val="en-US"/>
        </w:rPr>
        <w:t xml:space="preserve"> to </w:t>
      </w:r>
      <w:r w:rsidRPr="003D4D09">
        <w:rPr>
          <w:spacing w:val="-2"/>
          <w:lang w:val="en-US"/>
        </w:rPr>
        <w:fldChar w:fldCharType="begin"/>
      </w:r>
      <w:r w:rsidRPr="003D4D09">
        <w:rPr>
          <w:spacing w:val="-2"/>
          <w:lang w:val="en-US"/>
        </w:rPr>
        <w:instrText xml:space="preserve"> REF _Ref417307041 \r \h  \* MERGEFORMAT </w:instrText>
      </w:r>
      <w:r w:rsidRPr="003D4D09">
        <w:rPr>
          <w:spacing w:val="-2"/>
          <w:lang w:val="en-US"/>
        </w:rPr>
      </w:r>
      <w:r w:rsidRPr="003D4D09">
        <w:rPr>
          <w:spacing w:val="-2"/>
          <w:lang w:val="en-US"/>
        </w:rPr>
        <w:fldChar w:fldCharType="separate"/>
      </w:r>
      <w:r w:rsidRPr="003D4D09">
        <w:rPr>
          <w:spacing w:val="-2"/>
          <w:lang w:val="en-US"/>
        </w:rPr>
        <w:t>223</w:t>
      </w:r>
      <w:r w:rsidRPr="003D4D09">
        <w:rPr>
          <w:spacing w:val="-2"/>
          <w:lang w:val="en-US"/>
        </w:rPr>
        <w:fldChar w:fldCharType="end"/>
      </w:r>
      <w:r w:rsidRPr="003D4D09">
        <w:rPr>
          <w:spacing w:val="-2"/>
          <w:lang w:val="en-US"/>
        </w:rPr>
        <w:t>.</w:t>
      </w:r>
      <w:r w:rsidRPr="003D4D09">
        <w:rPr>
          <w:szCs w:val="20"/>
          <w:lang w:val="en-US"/>
        </w:rPr>
        <w:t>”</w:t>
      </w:r>
    </w:p>
    <w:p w14:paraId="1E74871D" w14:textId="77777777" w:rsidR="000F66F8" w:rsidRPr="003D4D09" w:rsidRDefault="000F66F8" w:rsidP="000F66F8">
      <w:pPr>
        <w:ind w:left="720"/>
        <w:rPr>
          <w:i/>
          <w:szCs w:val="20"/>
          <w:lang w:val="en-US"/>
        </w:rPr>
      </w:pPr>
    </w:p>
    <w:p w14:paraId="777026F8" w14:textId="77777777" w:rsidR="000F66F8" w:rsidRPr="003D4D09" w:rsidRDefault="000F66F8" w:rsidP="000F66F8">
      <w:pPr>
        <w:ind w:left="720"/>
        <w:rPr>
          <w:i/>
          <w:szCs w:val="20"/>
          <w:lang w:val="en-US"/>
        </w:rPr>
      </w:pPr>
      <w:r>
        <w:rPr>
          <w:rFonts w:eastAsia="Batang" w:cs="Times"/>
          <w:i/>
          <w:szCs w:val="20"/>
          <w:lang w:val="en-US"/>
        </w:rPr>
        <w:t>Operative</w:t>
      </w:r>
      <w:r w:rsidRPr="003D4D09">
        <w:rPr>
          <w:i/>
          <w:szCs w:val="20"/>
          <w:lang w:val="en-US"/>
        </w:rPr>
        <w:t xml:space="preserve"> paragraph 6:</w:t>
      </w:r>
    </w:p>
    <w:p w14:paraId="2493E438" w14:textId="77777777" w:rsidR="000F66F8" w:rsidRPr="003D4D09" w:rsidRDefault="000F66F8" w:rsidP="000F66F8">
      <w:pPr>
        <w:ind w:left="720"/>
        <w:rPr>
          <w:i/>
          <w:szCs w:val="20"/>
          <w:lang w:val="en-US"/>
        </w:rPr>
      </w:pPr>
    </w:p>
    <w:p w14:paraId="58A6F004" w14:textId="77777777" w:rsidR="000F66F8" w:rsidRPr="003D4D09" w:rsidRDefault="000F66F8" w:rsidP="000F66F8">
      <w:pPr>
        <w:ind w:left="720"/>
        <w:rPr>
          <w:rFonts w:eastAsia="Batang" w:cs="Times"/>
          <w:szCs w:val="20"/>
          <w:lang w:val="en-US"/>
        </w:rPr>
      </w:pPr>
      <w:r w:rsidRPr="003D4D09">
        <w:rPr>
          <w:rFonts w:eastAsia="Batang" w:cs="Verdana"/>
          <w:spacing w:val="-2"/>
          <w:szCs w:val="20"/>
          <w:lang w:val="en-US"/>
        </w:rPr>
        <w:t xml:space="preserve">“The State is not responsible for the violation of Article 7(2) of the Convention, in relation to Article 1(1) of this instrument, to the detriment of Wong Ho Wing, </w:t>
      </w:r>
      <w:r w:rsidRPr="003D4D09">
        <w:rPr>
          <w:rFonts w:eastAsia="Batang" w:cs="Times"/>
          <w:spacing w:val="-2"/>
          <w:szCs w:val="20"/>
          <w:lang w:val="en-US"/>
        </w:rPr>
        <w:t xml:space="preserve">in the terms of paragraphs </w:t>
      </w:r>
      <w:r w:rsidRPr="003D4D09">
        <w:rPr>
          <w:spacing w:val="-2"/>
          <w:lang w:val="en-US"/>
        </w:rPr>
        <w:fldChar w:fldCharType="begin"/>
      </w:r>
      <w:r w:rsidRPr="003D4D09">
        <w:rPr>
          <w:spacing w:val="-2"/>
          <w:lang w:val="en-US"/>
        </w:rPr>
        <w:instrText xml:space="preserve"> REF _Ref419392895 \r \h  \* MERGEFORMAT </w:instrText>
      </w:r>
      <w:r w:rsidRPr="003D4D09">
        <w:rPr>
          <w:spacing w:val="-2"/>
          <w:lang w:val="en-US"/>
        </w:rPr>
      </w:r>
      <w:r w:rsidRPr="003D4D09">
        <w:rPr>
          <w:spacing w:val="-2"/>
          <w:lang w:val="en-US"/>
        </w:rPr>
        <w:fldChar w:fldCharType="separate"/>
      </w:r>
      <w:r w:rsidRPr="003D4D09">
        <w:rPr>
          <w:rFonts w:eastAsia="Batang" w:cs="Times"/>
          <w:spacing w:val="-2"/>
          <w:szCs w:val="20"/>
          <w:lang w:val="en-US"/>
        </w:rPr>
        <w:t>259</w:t>
      </w:r>
      <w:r w:rsidRPr="003D4D09">
        <w:rPr>
          <w:spacing w:val="-2"/>
          <w:lang w:val="en-US"/>
        </w:rPr>
        <w:fldChar w:fldCharType="end"/>
      </w:r>
      <w:r w:rsidRPr="003D4D09">
        <w:rPr>
          <w:rFonts w:eastAsia="Batang" w:cs="Times"/>
          <w:spacing w:val="-2"/>
          <w:szCs w:val="20"/>
          <w:lang w:val="en-US"/>
        </w:rPr>
        <w:t xml:space="preserve"> to </w:t>
      </w:r>
      <w:r w:rsidRPr="003D4D09">
        <w:rPr>
          <w:spacing w:val="-2"/>
          <w:lang w:val="en-US"/>
        </w:rPr>
        <w:fldChar w:fldCharType="begin"/>
      </w:r>
      <w:r w:rsidRPr="003D4D09">
        <w:rPr>
          <w:spacing w:val="-2"/>
          <w:lang w:val="en-US"/>
        </w:rPr>
        <w:instrText xml:space="preserve"> REF _Ref419392901 \r \h  \* MERGEFORMAT </w:instrText>
      </w:r>
      <w:r w:rsidRPr="003D4D09">
        <w:rPr>
          <w:spacing w:val="-2"/>
          <w:lang w:val="en-US"/>
        </w:rPr>
      </w:r>
      <w:r w:rsidRPr="003D4D09">
        <w:rPr>
          <w:spacing w:val="-2"/>
          <w:lang w:val="en-US"/>
        </w:rPr>
        <w:fldChar w:fldCharType="separate"/>
      </w:r>
      <w:r w:rsidRPr="003D4D09">
        <w:rPr>
          <w:rFonts w:eastAsia="Batang" w:cs="Times"/>
          <w:spacing w:val="-2"/>
          <w:szCs w:val="20"/>
          <w:lang w:val="en-US"/>
        </w:rPr>
        <w:t>262</w:t>
      </w:r>
      <w:r w:rsidRPr="003D4D09">
        <w:rPr>
          <w:spacing w:val="-2"/>
          <w:lang w:val="en-US"/>
        </w:rPr>
        <w:fldChar w:fldCharType="end"/>
      </w:r>
      <w:r w:rsidRPr="003D4D09">
        <w:rPr>
          <w:spacing w:val="-2"/>
          <w:lang w:val="en-US"/>
        </w:rPr>
        <w:t>.</w:t>
      </w:r>
      <w:r w:rsidRPr="003D4D09">
        <w:rPr>
          <w:rFonts w:eastAsia="Batang" w:cs="Times"/>
          <w:szCs w:val="20"/>
          <w:lang w:val="en-US"/>
        </w:rPr>
        <w:t>”</w:t>
      </w:r>
    </w:p>
    <w:p w14:paraId="1752A1B9" w14:textId="77777777" w:rsidR="000F66F8" w:rsidRPr="003D4D09" w:rsidRDefault="000F66F8" w:rsidP="000F66F8">
      <w:pPr>
        <w:ind w:left="720"/>
        <w:rPr>
          <w:rFonts w:eastAsia="Batang" w:cs="Times"/>
          <w:i/>
          <w:szCs w:val="20"/>
          <w:lang w:val="en-US"/>
        </w:rPr>
      </w:pPr>
    </w:p>
    <w:p w14:paraId="5812E8A2" w14:textId="77777777" w:rsidR="000F66F8" w:rsidRPr="003D4D09" w:rsidRDefault="000F66F8" w:rsidP="000F66F8">
      <w:pPr>
        <w:ind w:left="720"/>
        <w:rPr>
          <w:rFonts w:eastAsia="Batang" w:cs="Times"/>
          <w:i/>
          <w:szCs w:val="20"/>
          <w:lang w:val="en-US"/>
        </w:rPr>
      </w:pPr>
      <w:r>
        <w:rPr>
          <w:rFonts w:eastAsia="Batang" w:cs="Times"/>
          <w:i/>
          <w:szCs w:val="20"/>
          <w:lang w:val="en-US"/>
        </w:rPr>
        <w:t>Operative</w:t>
      </w:r>
      <w:r w:rsidRPr="003D4D09">
        <w:rPr>
          <w:i/>
          <w:szCs w:val="20"/>
          <w:lang w:val="en-US"/>
        </w:rPr>
        <w:t xml:space="preserve"> paragraph </w:t>
      </w:r>
      <w:r w:rsidRPr="003D4D09">
        <w:rPr>
          <w:rFonts w:eastAsia="Batang" w:cs="Times"/>
          <w:i/>
          <w:szCs w:val="20"/>
          <w:lang w:val="en-US"/>
        </w:rPr>
        <w:t>9:</w:t>
      </w:r>
    </w:p>
    <w:p w14:paraId="6873720E" w14:textId="77777777" w:rsidR="000F66F8" w:rsidRPr="003D4D09" w:rsidRDefault="000F66F8" w:rsidP="000F66F8">
      <w:pPr>
        <w:ind w:left="720"/>
        <w:rPr>
          <w:rFonts w:eastAsia="Calibri"/>
          <w:spacing w:val="-2"/>
          <w:szCs w:val="20"/>
          <w:lang w:val="en-US"/>
        </w:rPr>
      </w:pPr>
    </w:p>
    <w:p w14:paraId="2FEB6FCF" w14:textId="77777777" w:rsidR="000F66F8" w:rsidRPr="003D4D09" w:rsidRDefault="000F66F8" w:rsidP="000F66F8">
      <w:pPr>
        <w:ind w:left="720"/>
        <w:rPr>
          <w:rFonts w:eastAsia="Batang" w:cs="Times"/>
          <w:szCs w:val="20"/>
          <w:lang w:val="en-US"/>
        </w:rPr>
      </w:pPr>
      <w:r w:rsidRPr="003D4D09">
        <w:rPr>
          <w:rFonts w:eastAsia="Calibri"/>
          <w:spacing w:val="-2"/>
          <w:szCs w:val="20"/>
          <w:lang w:val="en-US"/>
        </w:rPr>
        <w:t xml:space="preserve">“It is not necessary to issue a ruling on the alleged failure to comply with the obligation to adopt domestic legal provisions, recognized in Article 2 of the Convention, in relation to the arbitrary nature of the detention of Wong Ho Wing, </w:t>
      </w:r>
      <w:r w:rsidRPr="003D4D09">
        <w:rPr>
          <w:rFonts w:eastAsia="Batang" w:cs="Times"/>
          <w:spacing w:val="-2"/>
          <w:szCs w:val="20"/>
          <w:lang w:val="en-US"/>
        </w:rPr>
        <w:t>in the terms of paragraph</w:t>
      </w:r>
      <w:r w:rsidRPr="003D4D09">
        <w:rPr>
          <w:spacing w:val="-2"/>
          <w:szCs w:val="20"/>
          <w:lang w:val="en-US"/>
        </w:rPr>
        <w:t xml:space="preserve"> </w:t>
      </w:r>
      <w:r w:rsidRPr="003D4D09">
        <w:rPr>
          <w:spacing w:val="-2"/>
          <w:szCs w:val="20"/>
          <w:lang w:val="en-US"/>
        </w:rPr>
        <w:fldChar w:fldCharType="begin"/>
      </w:r>
      <w:r w:rsidRPr="003D4D09">
        <w:rPr>
          <w:spacing w:val="-2"/>
          <w:szCs w:val="20"/>
          <w:lang w:val="en-US"/>
        </w:rPr>
        <w:instrText xml:space="preserve"> REF _Ref419392682 \r \h  \* MERGEFORMAT </w:instrText>
      </w:r>
      <w:r w:rsidRPr="003D4D09">
        <w:rPr>
          <w:spacing w:val="-2"/>
          <w:szCs w:val="20"/>
          <w:lang w:val="en-US"/>
        </w:rPr>
      </w:r>
      <w:r w:rsidRPr="003D4D09">
        <w:rPr>
          <w:spacing w:val="-2"/>
          <w:szCs w:val="20"/>
          <w:lang w:val="en-US"/>
        </w:rPr>
        <w:fldChar w:fldCharType="separate"/>
      </w:r>
      <w:r w:rsidRPr="003D4D09">
        <w:rPr>
          <w:spacing w:val="-2"/>
          <w:szCs w:val="20"/>
          <w:lang w:val="en-US"/>
        </w:rPr>
        <w:t>256</w:t>
      </w:r>
      <w:r w:rsidRPr="003D4D09">
        <w:rPr>
          <w:spacing w:val="-2"/>
          <w:szCs w:val="20"/>
          <w:lang w:val="en-US"/>
        </w:rPr>
        <w:fldChar w:fldCharType="end"/>
      </w:r>
      <w:r w:rsidRPr="003D4D09">
        <w:rPr>
          <w:spacing w:val="-2"/>
          <w:szCs w:val="20"/>
          <w:lang w:val="en-US"/>
        </w:rPr>
        <w:t>.</w:t>
      </w:r>
      <w:r w:rsidRPr="003D4D09">
        <w:rPr>
          <w:rFonts w:eastAsia="Batang" w:cs="Times"/>
          <w:szCs w:val="20"/>
          <w:lang w:val="en-US"/>
        </w:rPr>
        <w:t>”</w:t>
      </w:r>
    </w:p>
    <w:p w14:paraId="762D212D" w14:textId="77777777" w:rsidR="000F66F8" w:rsidRPr="003D4D09" w:rsidRDefault="000F66F8" w:rsidP="000F66F8">
      <w:pPr>
        <w:ind w:left="720"/>
        <w:rPr>
          <w:rFonts w:eastAsia="Batang" w:cs="Times"/>
          <w:i/>
          <w:szCs w:val="20"/>
          <w:lang w:val="en-US"/>
        </w:rPr>
      </w:pPr>
    </w:p>
    <w:p w14:paraId="3C5EB867" w14:textId="77777777" w:rsidR="000F66F8" w:rsidRPr="003D4D09" w:rsidRDefault="000F66F8" w:rsidP="000F66F8">
      <w:pPr>
        <w:ind w:left="720"/>
        <w:rPr>
          <w:rFonts w:eastAsia="Batang" w:cs="Times"/>
          <w:i/>
          <w:szCs w:val="20"/>
          <w:lang w:val="en-US"/>
        </w:rPr>
      </w:pPr>
      <w:r>
        <w:rPr>
          <w:rFonts w:eastAsia="Batang" w:cs="Times"/>
          <w:i/>
          <w:szCs w:val="20"/>
          <w:lang w:val="en-US"/>
        </w:rPr>
        <w:t xml:space="preserve">Operative </w:t>
      </w:r>
      <w:r w:rsidRPr="003D4D09">
        <w:rPr>
          <w:rFonts w:eastAsia="Batang" w:cs="Times"/>
          <w:i/>
          <w:szCs w:val="20"/>
          <w:lang w:val="en-US"/>
        </w:rPr>
        <w:t>paragraph 13:</w:t>
      </w:r>
    </w:p>
    <w:p w14:paraId="18D52767" w14:textId="77777777" w:rsidR="000F66F8" w:rsidRPr="003D4D09" w:rsidRDefault="000F66F8" w:rsidP="000F66F8">
      <w:pPr>
        <w:ind w:left="720"/>
        <w:rPr>
          <w:szCs w:val="20"/>
          <w:lang w:val="en-US"/>
        </w:rPr>
      </w:pPr>
    </w:p>
    <w:p w14:paraId="4455680B" w14:textId="77777777" w:rsidR="000F66F8" w:rsidRPr="003D4D09" w:rsidRDefault="000F66F8" w:rsidP="000F66F8">
      <w:pPr>
        <w:ind w:left="720"/>
        <w:rPr>
          <w:szCs w:val="20"/>
          <w:lang w:val="en-US"/>
        </w:rPr>
      </w:pPr>
      <w:r w:rsidRPr="003D4D09">
        <w:rPr>
          <w:szCs w:val="20"/>
          <w:lang w:val="en-US"/>
        </w:rPr>
        <w:t>“</w:t>
      </w:r>
      <w:r w:rsidRPr="003D4D09">
        <w:rPr>
          <w:spacing w:val="-2"/>
          <w:szCs w:val="20"/>
          <w:lang w:val="en-US"/>
        </w:rPr>
        <w:t xml:space="preserve">The State must immediately review </w:t>
      </w:r>
      <w:r w:rsidRPr="003D4D09">
        <w:rPr>
          <w:spacing w:val="-2"/>
          <w:lang w:val="en-US"/>
        </w:rPr>
        <w:t xml:space="preserve">the deprivation of liberty of Wong Ho Wing, as established in paragraph </w:t>
      </w:r>
      <w:r w:rsidRPr="003D4D09">
        <w:rPr>
          <w:spacing w:val="-2"/>
          <w:lang w:val="en-US"/>
        </w:rPr>
        <w:fldChar w:fldCharType="begin"/>
      </w:r>
      <w:r w:rsidRPr="003D4D09">
        <w:rPr>
          <w:spacing w:val="-2"/>
          <w:lang w:val="en-US"/>
        </w:rPr>
        <w:instrText xml:space="preserve"> REF _Ref419393893 \r \h  \* MERGEFORMAT </w:instrText>
      </w:r>
      <w:r w:rsidRPr="003D4D09">
        <w:rPr>
          <w:spacing w:val="-2"/>
          <w:lang w:val="en-US"/>
        </w:rPr>
      </w:r>
      <w:r w:rsidRPr="003D4D09">
        <w:rPr>
          <w:spacing w:val="-2"/>
          <w:lang w:val="en-US"/>
        </w:rPr>
        <w:fldChar w:fldCharType="separate"/>
      </w:r>
      <w:r w:rsidRPr="003D4D09">
        <w:rPr>
          <w:spacing w:val="-2"/>
          <w:lang w:val="en-US"/>
        </w:rPr>
        <w:t>305</w:t>
      </w:r>
      <w:r w:rsidRPr="003D4D09">
        <w:rPr>
          <w:spacing w:val="-2"/>
          <w:lang w:val="en-US"/>
        </w:rPr>
        <w:fldChar w:fldCharType="end"/>
      </w:r>
      <w:r>
        <w:rPr>
          <w:spacing w:val="-2"/>
          <w:lang w:val="en-US"/>
        </w:rPr>
        <w:t>.</w:t>
      </w:r>
      <w:r>
        <w:rPr>
          <w:szCs w:val="20"/>
          <w:lang w:val="en-US"/>
        </w:rPr>
        <w:t>”</w:t>
      </w:r>
    </w:p>
    <w:p w14:paraId="1B854EBB" w14:textId="77777777" w:rsidR="000F66F8" w:rsidRPr="003D4D09" w:rsidRDefault="000F66F8" w:rsidP="000F66F8">
      <w:pPr>
        <w:ind w:left="720"/>
        <w:rPr>
          <w:szCs w:val="20"/>
          <w:lang w:val="en-US"/>
        </w:rPr>
      </w:pPr>
    </w:p>
    <w:p w14:paraId="642A2284"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I will now explain the reasons for these negative votes.</w:t>
      </w:r>
    </w:p>
    <w:p w14:paraId="3F7AFFD7" w14:textId="77777777" w:rsidR="000F66F8" w:rsidRPr="003D4D09" w:rsidRDefault="000F66F8" w:rsidP="000F66F8">
      <w:pPr>
        <w:pStyle w:val="Estilo1"/>
        <w:tabs>
          <w:tab w:val="clear" w:pos="16392"/>
        </w:tabs>
        <w:spacing w:after="0"/>
        <w:rPr>
          <w:lang w:val="en-US"/>
        </w:rPr>
      </w:pPr>
    </w:p>
    <w:p w14:paraId="6CB5A56F" w14:textId="77777777" w:rsidR="000F66F8" w:rsidRPr="003D4D09" w:rsidRDefault="000F66F8" w:rsidP="000F66F8">
      <w:pPr>
        <w:pStyle w:val="Estilo1"/>
        <w:tabs>
          <w:tab w:val="clear" w:pos="16392"/>
        </w:tabs>
        <w:spacing w:after="0"/>
        <w:ind w:firstLine="720"/>
        <w:rPr>
          <w:i/>
          <w:lang w:val="en-US"/>
        </w:rPr>
      </w:pPr>
      <w:r w:rsidRPr="003D4D09">
        <w:rPr>
          <w:i/>
          <w:lang w:val="en-US"/>
        </w:rPr>
        <w:t>No</w:t>
      </w:r>
      <w:r>
        <w:rPr>
          <w:i/>
          <w:lang w:val="en-US"/>
        </w:rPr>
        <w:t>n-</w:t>
      </w:r>
      <w:r w:rsidRPr="003D4D09">
        <w:rPr>
          <w:i/>
          <w:lang w:val="en-US"/>
        </w:rPr>
        <w:t>violation of the right to a reasonable time</w:t>
      </w:r>
    </w:p>
    <w:p w14:paraId="0F98745C" w14:textId="77777777" w:rsidR="000F66F8" w:rsidRPr="003D4D09" w:rsidRDefault="000F66F8" w:rsidP="000F66F8">
      <w:pPr>
        <w:pStyle w:val="Estilo1"/>
        <w:tabs>
          <w:tab w:val="clear" w:pos="16392"/>
        </w:tabs>
        <w:spacing w:after="0"/>
        <w:ind w:firstLine="720"/>
        <w:rPr>
          <w:lang w:val="en-US"/>
        </w:rPr>
      </w:pPr>
    </w:p>
    <w:p w14:paraId="66B4A996"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According to the judgment (para. 220, and</w:t>
      </w:r>
      <w:r>
        <w:rPr>
          <w:lang w:val="en-US"/>
        </w:rPr>
        <w:t xml:space="preserve"> also</w:t>
      </w:r>
      <w:r w:rsidRPr="003D4D09">
        <w:rPr>
          <w:lang w:val="en-US"/>
        </w:rPr>
        <w:t xml:space="preserve"> para. 223), the right to a reasonable time (Art. 8(1) of the Convention) was violated owing to the “</w:t>
      </w:r>
      <w:r w:rsidRPr="003D4D09">
        <w:rPr>
          <w:spacing w:val="-2"/>
          <w:lang w:val="en-US"/>
        </w:rPr>
        <w:t>delay in the final settlement of the extradition process, which can be attributed to the actions of the State authorities.” However, as of May 2010, this Court had ordered numerous</w:t>
      </w:r>
      <w:r w:rsidRPr="003D4D09">
        <w:rPr>
          <w:lang w:val="en-US"/>
        </w:rPr>
        <w:t xml:space="preserve"> provisional measures in favor of Wong Ho Wing</w:t>
      </w:r>
      <w:r w:rsidRPr="003D4D09">
        <w:rPr>
          <w:rStyle w:val="FootnoteReference"/>
          <w:lang w:val="en-US"/>
        </w:rPr>
        <w:footnoteReference w:id="404"/>
      </w:r>
      <w:r w:rsidRPr="003D4D09">
        <w:rPr>
          <w:lang w:val="en-US"/>
        </w:rPr>
        <w:t xml:space="preserve"> in which it had required the State to </w:t>
      </w:r>
      <w:r w:rsidRPr="003D4D09">
        <w:rPr>
          <w:lang w:val="en-US"/>
        </w:rPr>
        <w:lastRenderedPageBreak/>
        <w:t>“</w:t>
      </w:r>
      <w:r w:rsidRPr="003D4D09">
        <w:rPr>
          <w:i/>
          <w:lang w:val="en-US"/>
        </w:rPr>
        <w:t>refrain from</w:t>
      </w:r>
      <w:r w:rsidRPr="003D4D09">
        <w:rPr>
          <w:lang w:val="en-US"/>
        </w:rPr>
        <w:t xml:space="preserve"> </w:t>
      </w:r>
      <w:r w:rsidRPr="003D4D09">
        <w:rPr>
          <w:i/>
          <w:lang w:val="en-US"/>
        </w:rPr>
        <w:t>extraditing Wong Ho Wing until the organs of the inter-American human rights system had examined and rule</w:t>
      </w:r>
      <w:r>
        <w:rPr>
          <w:i/>
          <w:lang w:val="en-US"/>
        </w:rPr>
        <w:t>d</w:t>
      </w:r>
      <w:r w:rsidRPr="003D4D09">
        <w:rPr>
          <w:i/>
          <w:lang w:val="en-US"/>
        </w:rPr>
        <w:t xml:space="preserve"> on the [case].” </w:t>
      </w:r>
      <w:r w:rsidRPr="003D4D09">
        <w:rPr>
          <w:lang w:val="en-US"/>
        </w:rPr>
        <w:t>That ruling has b</w:t>
      </w:r>
      <w:r>
        <w:rPr>
          <w:lang w:val="en-US"/>
        </w:rPr>
        <w:t>een made today by this Judgment; thus,</w:t>
      </w:r>
      <w:r w:rsidRPr="003D4D09">
        <w:rPr>
          <w:lang w:val="en-US"/>
        </w:rPr>
        <w:t xml:space="preserve"> up until this time, </w:t>
      </w:r>
      <w:r w:rsidRPr="003D4D09">
        <w:rPr>
          <w:i/>
          <w:lang w:val="en-US"/>
        </w:rPr>
        <w:t>there has been no delay in adopting the final decision on the extradition</w:t>
      </w:r>
      <w:r>
        <w:rPr>
          <w:i/>
          <w:lang w:val="en-US"/>
        </w:rPr>
        <w:t>,</w:t>
      </w:r>
      <w:r w:rsidRPr="003D4D09">
        <w:rPr>
          <w:i/>
          <w:lang w:val="en-US"/>
        </w:rPr>
        <w:t xml:space="preserve"> and the time frame for adopting this decision has not yet commenced.</w:t>
      </w:r>
      <w:r w:rsidRPr="003D4D09">
        <w:rPr>
          <w:lang w:val="en-US"/>
        </w:rPr>
        <w:t xml:space="preserve"> Abstract considerations regarding delays in extradition proceedings, the eventual possibility that these may be attributed to the </w:t>
      </w:r>
      <w:proofErr w:type="gramStart"/>
      <w:r w:rsidRPr="003D4D09">
        <w:rPr>
          <w:lang w:val="en-US"/>
        </w:rPr>
        <w:t>State,</w:t>
      </w:r>
      <w:proofErr w:type="gramEnd"/>
      <w:r w:rsidRPr="003D4D09">
        <w:rPr>
          <w:lang w:val="en-US"/>
        </w:rPr>
        <w:t xml:space="preserve"> and elements that may make these delays unreasonable are interesti</w:t>
      </w:r>
      <w:r>
        <w:rPr>
          <w:lang w:val="en-US"/>
        </w:rPr>
        <w:t xml:space="preserve">ng, but </w:t>
      </w:r>
      <w:r w:rsidRPr="003D4D09">
        <w:rPr>
          <w:lang w:val="en-US"/>
        </w:rPr>
        <w:t>are entirely inapplicable to this case.</w:t>
      </w:r>
    </w:p>
    <w:p w14:paraId="3BDADA3A" w14:textId="77777777" w:rsidR="000F66F8" w:rsidRPr="003D4D09" w:rsidRDefault="000F66F8" w:rsidP="000F66F8">
      <w:pPr>
        <w:pStyle w:val="Estilo1"/>
        <w:tabs>
          <w:tab w:val="clear" w:pos="16392"/>
        </w:tabs>
        <w:spacing w:after="0"/>
        <w:rPr>
          <w:lang w:val="en-US"/>
        </w:rPr>
      </w:pPr>
    </w:p>
    <w:p w14:paraId="55F2AAC7"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Furthermore, the analysis of the requirement concerning the complexity of the matter,</w:t>
      </w:r>
      <w:r>
        <w:rPr>
          <w:lang w:val="en-US"/>
        </w:rPr>
        <w:t xml:space="preserve"> which concluded</w:t>
      </w:r>
      <w:r w:rsidRPr="003D4D09">
        <w:rPr>
          <w:lang w:val="en-US"/>
        </w:rPr>
        <w:t xml:space="preserve"> with the mere recognition that “the case is complex,” </w:t>
      </w:r>
      <w:r>
        <w:rPr>
          <w:lang w:val="en-US"/>
        </w:rPr>
        <w:t>does not accord</w:t>
      </w:r>
      <w:r w:rsidRPr="003D4D09">
        <w:rPr>
          <w:lang w:val="en-US"/>
        </w:rPr>
        <w:t xml:space="preserve"> with the extreme complexity of the case </w:t>
      </w:r>
      <w:r>
        <w:rPr>
          <w:lang w:val="en-US"/>
        </w:rPr>
        <w:t xml:space="preserve">owing to </w:t>
      </w:r>
      <w:r w:rsidRPr="003D4D09">
        <w:rPr>
          <w:lang w:val="en-US"/>
        </w:rPr>
        <w:t xml:space="preserve">the </w:t>
      </w:r>
      <w:r w:rsidRPr="004B6D8E">
        <w:rPr>
          <w:lang w:val="en-US"/>
        </w:rPr>
        <w:t>alternatives</w:t>
      </w:r>
      <w:r>
        <w:rPr>
          <w:lang w:val="en-US"/>
        </w:rPr>
        <w:t xml:space="preserve"> resulting from</w:t>
      </w:r>
      <w:r w:rsidRPr="003D4D09">
        <w:rPr>
          <w:lang w:val="en-US"/>
        </w:rPr>
        <w:t xml:space="preserve"> the determination of whether or not the offense for which extradition to the People’s Republ</w:t>
      </w:r>
      <w:r>
        <w:rPr>
          <w:lang w:val="en-US"/>
        </w:rPr>
        <w:t>ic of China could be granted was or is</w:t>
      </w:r>
      <w:r w:rsidRPr="003D4D09">
        <w:rPr>
          <w:lang w:val="en-US"/>
        </w:rPr>
        <w:t xml:space="preserve"> punished by the death penalty, and to the difficulties in obtaining an accurate translation from Chinese (paras. 60 to 93 of the Judgment).</w:t>
      </w:r>
      <w:r>
        <w:rPr>
          <w:lang w:val="en-US"/>
        </w:rPr>
        <w:t xml:space="preserve"> </w:t>
      </w:r>
    </w:p>
    <w:p w14:paraId="598E679D" w14:textId="77777777" w:rsidR="000F66F8" w:rsidRPr="003D4D09" w:rsidRDefault="000F66F8" w:rsidP="000F66F8">
      <w:pPr>
        <w:pStyle w:val="Estilo1"/>
        <w:tabs>
          <w:tab w:val="clear" w:pos="16392"/>
        </w:tabs>
        <w:spacing w:after="0"/>
        <w:rPr>
          <w:lang w:val="en-US"/>
        </w:rPr>
      </w:pPr>
    </w:p>
    <w:p w14:paraId="4729CB46" w14:textId="77777777" w:rsidR="000F66F8" w:rsidRPr="003D4D09" w:rsidRDefault="000F66F8" w:rsidP="000F66F8">
      <w:pPr>
        <w:pStyle w:val="Estilo1"/>
        <w:tabs>
          <w:tab w:val="clear" w:pos="16392"/>
        </w:tabs>
        <w:spacing w:after="0"/>
        <w:ind w:firstLine="720"/>
        <w:rPr>
          <w:i/>
          <w:lang w:val="en-US"/>
        </w:rPr>
      </w:pPr>
      <w:r w:rsidRPr="003D4D09">
        <w:rPr>
          <w:i/>
          <w:lang w:val="en-US"/>
        </w:rPr>
        <w:t>Violation of Article 7(2) of the Convention</w:t>
      </w:r>
    </w:p>
    <w:p w14:paraId="29682315" w14:textId="77777777" w:rsidR="000F66F8" w:rsidRPr="003D4D09" w:rsidRDefault="000F66F8" w:rsidP="000F66F8">
      <w:pPr>
        <w:pStyle w:val="Estilo1"/>
        <w:tabs>
          <w:tab w:val="clear" w:pos="16392"/>
        </w:tabs>
        <w:spacing w:after="0"/>
        <w:ind w:firstLine="720"/>
        <w:rPr>
          <w:lang w:val="en-US"/>
        </w:rPr>
      </w:pPr>
    </w:p>
    <w:p w14:paraId="1B16B0A0"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According to the Judgment (paras. 259 to 262), the State did not violate Article 7(2) of the Convention, which establishes that: “</w:t>
      </w:r>
      <w:r w:rsidRPr="003D4D09">
        <w:rPr>
          <w:spacing w:val="-3"/>
          <w:lang w:val="en-US"/>
        </w:rPr>
        <w:t>No one shall be deprived of his physical liberty except for the reasons and under the conditions established beforehand by the Constitution of the State Party concerned or by a law established pursuant thereto.” The Judgment does not refer to any legal or constitut</w:t>
      </w:r>
      <w:r>
        <w:rPr>
          <w:spacing w:val="-3"/>
          <w:lang w:val="en-US"/>
        </w:rPr>
        <w:t>ional provision that authorizes</w:t>
      </w:r>
      <w:r w:rsidRPr="003D4D09">
        <w:rPr>
          <w:spacing w:val="-3"/>
          <w:lang w:val="en-US"/>
        </w:rPr>
        <w:t xml:space="preserve"> this deprivation of liberty. </w:t>
      </w:r>
      <w:r w:rsidRPr="003D4D09">
        <w:rPr>
          <w:lang w:val="en-US"/>
        </w:rPr>
        <w:t>First, article 2.24</w:t>
      </w:r>
      <w:r>
        <w:rPr>
          <w:lang w:val="en-US"/>
        </w:rPr>
        <w:t xml:space="preserve"> </w:t>
      </w:r>
      <w:r w:rsidRPr="003D4D09">
        <w:rPr>
          <w:lang w:val="en-US"/>
        </w:rPr>
        <w:t xml:space="preserve">(f) of the Constitution (cited in para. 240 of the Judgment) contains no reference to </w:t>
      </w:r>
      <w:r>
        <w:rPr>
          <w:lang w:val="en-US"/>
        </w:rPr>
        <w:t>an</w:t>
      </w:r>
      <w:r w:rsidRPr="003D4D09">
        <w:rPr>
          <w:lang w:val="en-US"/>
        </w:rPr>
        <w:t xml:space="preserve"> extradition request as a legitimate reason for deprivation of liberty. Second, both the legal provision cited in para. 241 (article 523 of the Peruvian Code of Criminal Procedure) and the Extradition Treaty between China and Peru (article 9, cited in para. 239) refer to a different situati</w:t>
      </w:r>
      <w:r>
        <w:rPr>
          <w:lang w:val="en-US"/>
        </w:rPr>
        <w:t>on to that of this case: to what</w:t>
      </w:r>
      <w:r w:rsidRPr="003D4D09">
        <w:rPr>
          <w:lang w:val="en-US"/>
        </w:rPr>
        <w:t xml:space="preserve"> Peru’s domestic laws call “provisional or pre-extradition arrest” and the treaty calls “preventive detention” requested “before the presentation of the extradition request,” which should cease when “30 days have passed without the formal submission of the extradition request” (article 523.6 of the Peruvian Code of Criminal Procedure) or “if the competent authority of the Requested Party has not received the formal extradition request within 60 days of the detention of the person sought,” which “</w:t>
      </w:r>
      <w:r w:rsidRPr="003D4D09">
        <w:rPr>
          <w:rFonts w:cs="Callibri"/>
          <w:spacing w:val="-2"/>
          <w:lang w:val="en-US" w:bidi="en-US"/>
        </w:rPr>
        <w:t>may be extended for a further 30 days when the Requesting Party provides reasons that justify this</w:t>
      </w:r>
      <w:r w:rsidRPr="003D4D09">
        <w:rPr>
          <w:lang w:val="en-US"/>
        </w:rPr>
        <w:t>” (article 9.4 of the Extradition Treaty between China and Peru).</w:t>
      </w:r>
    </w:p>
    <w:p w14:paraId="5082B55A" w14:textId="77777777" w:rsidR="000F66F8" w:rsidRPr="003D4D09" w:rsidRDefault="000F66F8" w:rsidP="000F66F8">
      <w:pPr>
        <w:pStyle w:val="Estilo1"/>
        <w:tabs>
          <w:tab w:val="clear" w:pos="16392"/>
        </w:tabs>
        <w:spacing w:after="0"/>
        <w:rPr>
          <w:lang w:val="en-US"/>
        </w:rPr>
      </w:pPr>
    </w:p>
    <w:p w14:paraId="4174259F"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Consequently, there were no legal or constitutional grounds for the deprivation of liberty. For it to have been lawful, a legislative norm would have to have existed establishing the conditions for deprivation of liberty in the case of an extradition request. Thus, Article 7(2) of the Convention was violated.</w:t>
      </w:r>
    </w:p>
    <w:p w14:paraId="1FD41C21" w14:textId="77777777" w:rsidR="000F66F8" w:rsidRPr="003D4D09" w:rsidRDefault="000F66F8" w:rsidP="000F66F8">
      <w:pPr>
        <w:pStyle w:val="Estilo1"/>
        <w:tabs>
          <w:tab w:val="clear" w:pos="16392"/>
        </w:tabs>
        <w:spacing w:after="0"/>
        <w:rPr>
          <w:lang w:val="en-US"/>
        </w:rPr>
      </w:pPr>
    </w:p>
    <w:p w14:paraId="2747EFE3" w14:textId="77777777" w:rsidR="000F66F8" w:rsidRPr="003D4D09" w:rsidRDefault="000F66F8" w:rsidP="000F66F8">
      <w:pPr>
        <w:pStyle w:val="Estilo1"/>
        <w:tabs>
          <w:tab w:val="clear" w:pos="16392"/>
        </w:tabs>
        <w:spacing w:after="0"/>
        <w:ind w:firstLine="720"/>
        <w:rPr>
          <w:i/>
          <w:lang w:val="en-US"/>
        </w:rPr>
      </w:pPr>
      <w:r w:rsidRPr="003D4D09">
        <w:rPr>
          <w:i/>
          <w:lang w:val="en-US"/>
        </w:rPr>
        <w:t>Non-compliance with Article 2 of the Convention</w:t>
      </w:r>
    </w:p>
    <w:p w14:paraId="0DCA9F66" w14:textId="77777777" w:rsidR="000F66F8" w:rsidRPr="003D4D09" w:rsidRDefault="000F66F8" w:rsidP="000F66F8">
      <w:pPr>
        <w:pStyle w:val="Estilo1"/>
        <w:tabs>
          <w:tab w:val="clear" w:pos="16392"/>
        </w:tabs>
        <w:spacing w:after="0"/>
        <w:ind w:firstLine="720"/>
        <w:rPr>
          <w:lang w:val="en-US"/>
        </w:rPr>
      </w:pPr>
    </w:p>
    <w:p w14:paraId="3151CDEB"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 xml:space="preserve">The considerations in the previous section reveal that the Peruvian State failed to comply with its obligation to adopt domestic legal provisions, inasmuch as its practice </w:t>
      </w:r>
      <w:r w:rsidRPr="003D4D09">
        <w:rPr>
          <w:lang w:val="en-US"/>
        </w:rPr>
        <w:lastRenderedPageBreak/>
        <w:t xml:space="preserve">in relation to extradition includes the deprivation of liberty of the person whose extradition is requested, without establishing the conditions in which this detention can be </w:t>
      </w:r>
      <w:r>
        <w:rPr>
          <w:lang w:val="en-US"/>
        </w:rPr>
        <w:t>implemented</w:t>
      </w:r>
      <w:r w:rsidRPr="003D4D09">
        <w:rPr>
          <w:lang w:val="en-US"/>
        </w:rPr>
        <w:t>, or the conditions of the deprivation of liberty, or its duration</w:t>
      </w:r>
      <w:r>
        <w:rPr>
          <w:lang w:val="en-US"/>
        </w:rPr>
        <w:t>,</w:t>
      </w:r>
      <w:r w:rsidRPr="003D4D09">
        <w:rPr>
          <w:lang w:val="en-US"/>
        </w:rPr>
        <w:t xml:space="preserve"> or the possibility of </w:t>
      </w:r>
      <w:r>
        <w:rPr>
          <w:lang w:val="en-US"/>
        </w:rPr>
        <w:t xml:space="preserve">securing </w:t>
      </w:r>
      <w:r w:rsidRPr="003D4D09">
        <w:rPr>
          <w:lang w:val="en-US"/>
        </w:rPr>
        <w:t>the person using means other than deprivation of liberty or less harmful that this (such as the house arrest to which Wong Ho Wing is currently subject).</w:t>
      </w:r>
    </w:p>
    <w:p w14:paraId="2A557D40" w14:textId="77777777" w:rsidR="000F66F8" w:rsidRPr="003D4D09" w:rsidRDefault="000F66F8" w:rsidP="000F66F8">
      <w:pPr>
        <w:pStyle w:val="Estilo1"/>
        <w:tabs>
          <w:tab w:val="clear" w:pos="16392"/>
        </w:tabs>
        <w:spacing w:after="0"/>
        <w:rPr>
          <w:lang w:val="en-US"/>
        </w:rPr>
      </w:pPr>
    </w:p>
    <w:p w14:paraId="2CB2C1AA" w14:textId="77777777" w:rsidR="000F66F8" w:rsidRPr="003D4D09" w:rsidRDefault="000F66F8" w:rsidP="000F66F8">
      <w:pPr>
        <w:pStyle w:val="Estilo1"/>
        <w:tabs>
          <w:tab w:val="clear" w:pos="16392"/>
        </w:tabs>
        <w:spacing w:after="0"/>
        <w:ind w:left="720"/>
        <w:rPr>
          <w:i/>
          <w:lang w:val="en-US"/>
        </w:rPr>
      </w:pPr>
      <w:r w:rsidRPr="003D4D09">
        <w:rPr>
          <w:i/>
          <w:lang w:val="en-US"/>
        </w:rPr>
        <w:t>Inexistence of the obligation to make an immediate review</w:t>
      </w:r>
      <w:r>
        <w:rPr>
          <w:i/>
          <w:lang w:val="en-US"/>
        </w:rPr>
        <w:t xml:space="preserve"> of</w:t>
      </w:r>
      <w:r w:rsidRPr="003D4D09">
        <w:rPr>
          <w:i/>
          <w:lang w:val="en-US"/>
        </w:rPr>
        <w:t xml:space="preserve"> the deprivation of liberty of Wong Ho Wing</w:t>
      </w:r>
    </w:p>
    <w:p w14:paraId="60BC6030" w14:textId="77777777" w:rsidR="000F66F8" w:rsidRPr="003D4D09" w:rsidRDefault="000F66F8" w:rsidP="000F66F8">
      <w:pPr>
        <w:pStyle w:val="Estilo1"/>
        <w:tabs>
          <w:tab w:val="clear" w:pos="16392"/>
        </w:tabs>
        <w:spacing w:after="0"/>
        <w:ind w:left="720"/>
        <w:rPr>
          <w:i/>
          <w:lang w:val="en-US"/>
        </w:rPr>
      </w:pPr>
    </w:p>
    <w:p w14:paraId="35C2EB94" w14:textId="77777777" w:rsidR="000F66F8" w:rsidRPr="003D4D09" w:rsidRDefault="000F66F8" w:rsidP="000F66F8">
      <w:pPr>
        <w:pStyle w:val="Estilo1"/>
        <w:numPr>
          <w:ilvl w:val="0"/>
          <w:numId w:val="19"/>
        </w:numPr>
        <w:tabs>
          <w:tab w:val="clear" w:pos="567"/>
          <w:tab w:val="clear" w:pos="1134"/>
        </w:tabs>
        <w:spacing w:after="0"/>
        <w:ind w:left="0" w:firstLine="0"/>
        <w:rPr>
          <w:lang w:val="en-US"/>
        </w:rPr>
      </w:pPr>
      <w:r w:rsidRPr="003D4D09">
        <w:rPr>
          <w:lang w:val="en-US"/>
        </w:rPr>
        <w:t>Lastly, I understand that the Peruvian State’s obligation is no</w:t>
      </w:r>
      <w:r>
        <w:rPr>
          <w:lang w:val="en-US"/>
        </w:rPr>
        <w:t>t</w:t>
      </w:r>
      <w:r w:rsidRPr="003D4D09">
        <w:rPr>
          <w:lang w:val="en-US"/>
        </w:rPr>
        <w:t xml:space="preserve"> to “immediately review the deprivation of liberty of Wong Ho Wing,” but rather to make a prompt final decision on the extradition request. If it is denied, Wong Ho Wing will be released automatically; if it is granted, Wong Ho Wing must be handed over to the Chinese authorities.</w:t>
      </w:r>
    </w:p>
    <w:p w14:paraId="11D453F3" w14:textId="77777777" w:rsidR="000F66F8" w:rsidRPr="003D4D09" w:rsidRDefault="000F66F8" w:rsidP="000F66F8">
      <w:pPr>
        <w:pStyle w:val="Estilo1"/>
        <w:tabs>
          <w:tab w:val="clear" w:pos="16392"/>
        </w:tabs>
        <w:spacing w:after="0"/>
        <w:rPr>
          <w:i/>
          <w:lang w:val="en-US"/>
        </w:rPr>
      </w:pPr>
    </w:p>
    <w:p w14:paraId="19A55A2F" w14:textId="77777777" w:rsidR="000F66F8" w:rsidRPr="003D4D09" w:rsidRDefault="000F66F8" w:rsidP="000F66F8">
      <w:pPr>
        <w:pStyle w:val="Estilo1"/>
        <w:tabs>
          <w:tab w:val="clear" w:pos="16392"/>
        </w:tabs>
        <w:spacing w:after="0"/>
        <w:rPr>
          <w:i/>
          <w:lang w:val="en-US"/>
        </w:rPr>
      </w:pPr>
    </w:p>
    <w:p w14:paraId="77818CCB" w14:textId="77777777" w:rsidR="000F66F8" w:rsidRPr="003D4D09" w:rsidRDefault="000F66F8" w:rsidP="000F66F8">
      <w:pPr>
        <w:pStyle w:val="Estilo1"/>
        <w:tabs>
          <w:tab w:val="clear" w:pos="16392"/>
        </w:tabs>
        <w:spacing w:after="0"/>
        <w:rPr>
          <w:i/>
          <w:lang w:val="en-US"/>
        </w:rPr>
      </w:pPr>
    </w:p>
    <w:p w14:paraId="40035224" w14:textId="77777777" w:rsidR="000F66F8" w:rsidRPr="003D4D09" w:rsidRDefault="000F66F8" w:rsidP="000F66F8">
      <w:pPr>
        <w:pStyle w:val="Estilo1"/>
        <w:tabs>
          <w:tab w:val="clear" w:pos="16392"/>
        </w:tabs>
        <w:spacing w:after="0"/>
        <w:rPr>
          <w:i/>
          <w:lang w:val="en-US"/>
        </w:rPr>
      </w:pPr>
    </w:p>
    <w:p w14:paraId="5A72F56F" w14:textId="77777777" w:rsidR="000F66F8" w:rsidRPr="003D4D09" w:rsidRDefault="000F66F8" w:rsidP="000F66F8">
      <w:pPr>
        <w:pStyle w:val="Estilo1"/>
        <w:tabs>
          <w:tab w:val="clear" w:pos="16392"/>
        </w:tabs>
        <w:spacing w:after="0"/>
        <w:rPr>
          <w:i/>
          <w:lang w:val="en-US"/>
        </w:rPr>
      </w:pPr>
    </w:p>
    <w:p w14:paraId="073E92AC" w14:textId="77777777" w:rsidR="000F66F8" w:rsidRPr="003D4D09" w:rsidRDefault="000F66F8" w:rsidP="000F66F8">
      <w:pPr>
        <w:rPr>
          <w:rFonts w:cs="Calibri"/>
          <w:szCs w:val="20"/>
          <w:lang w:val="en-US"/>
        </w:rPr>
      </w:pPr>
    </w:p>
    <w:p w14:paraId="068D80D1" w14:textId="77777777" w:rsidR="000F66F8" w:rsidRPr="004B6D8E" w:rsidRDefault="000F66F8" w:rsidP="000F66F8">
      <w:pPr>
        <w:ind w:left="5103"/>
        <w:jc w:val="center"/>
        <w:rPr>
          <w:rFonts w:cs="Calibri"/>
          <w:szCs w:val="20"/>
        </w:rPr>
      </w:pPr>
      <w:r w:rsidRPr="004B6D8E">
        <w:rPr>
          <w:szCs w:val="20"/>
        </w:rPr>
        <w:t xml:space="preserve">Alberto Pérez </w:t>
      </w:r>
      <w:proofErr w:type="spellStart"/>
      <w:r w:rsidRPr="004B6D8E">
        <w:rPr>
          <w:szCs w:val="20"/>
        </w:rPr>
        <w:t>Pérez</w:t>
      </w:r>
      <w:proofErr w:type="spellEnd"/>
    </w:p>
    <w:p w14:paraId="7D938B78" w14:textId="77777777" w:rsidR="000F66F8" w:rsidRPr="004B6D8E" w:rsidRDefault="000F66F8" w:rsidP="000F66F8">
      <w:pPr>
        <w:ind w:left="5103"/>
        <w:jc w:val="center"/>
        <w:rPr>
          <w:rFonts w:cs="Calibri"/>
          <w:szCs w:val="20"/>
        </w:rPr>
      </w:pPr>
      <w:proofErr w:type="spellStart"/>
      <w:r w:rsidRPr="004B6D8E">
        <w:rPr>
          <w:rFonts w:cs="Calibri"/>
          <w:szCs w:val="20"/>
        </w:rPr>
        <w:t>Judge</w:t>
      </w:r>
      <w:proofErr w:type="spellEnd"/>
    </w:p>
    <w:p w14:paraId="205A679E" w14:textId="77777777" w:rsidR="000F66F8" w:rsidRPr="004B6D8E" w:rsidRDefault="000F66F8" w:rsidP="000F66F8">
      <w:pPr>
        <w:rPr>
          <w:szCs w:val="20"/>
        </w:rPr>
      </w:pPr>
    </w:p>
    <w:p w14:paraId="4745D6F7" w14:textId="77777777" w:rsidR="000F66F8" w:rsidRPr="004B6D8E" w:rsidRDefault="000F66F8" w:rsidP="000F66F8">
      <w:pPr>
        <w:pStyle w:val="ListParagraph"/>
        <w:ind w:left="0"/>
        <w:rPr>
          <w:rFonts w:cs="Verdana"/>
          <w:szCs w:val="20"/>
          <w:lang w:eastAsia="es-MX"/>
        </w:rPr>
      </w:pPr>
    </w:p>
    <w:p w14:paraId="5D548EE8" w14:textId="77777777" w:rsidR="000F66F8" w:rsidRPr="004B6D8E" w:rsidRDefault="000F66F8" w:rsidP="000F66F8">
      <w:pPr>
        <w:pStyle w:val="ListParagraph"/>
        <w:ind w:left="0" w:right="4585"/>
        <w:rPr>
          <w:rFonts w:cs="Verdana"/>
          <w:szCs w:val="20"/>
          <w:lang w:eastAsia="es-MX"/>
        </w:rPr>
      </w:pPr>
      <w:r w:rsidRPr="004B6D8E">
        <w:rPr>
          <w:rFonts w:cs="Verdana"/>
          <w:szCs w:val="20"/>
          <w:lang w:eastAsia="es-MX"/>
        </w:rPr>
        <w:t>Pablo Saavedra Alessandri</w:t>
      </w:r>
    </w:p>
    <w:p w14:paraId="0FFB3792" w14:textId="77777777" w:rsidR="000F66F8" w:rsidRPr="003D4D09" w:rsidRDefault="000F66F8" w:rsidP="000F66F8">
      <w:pPr>
        <w:pStyle w:val="ListParagraph"/>
        <w:ind w:left="0" w:right="4585" w:firstLine="720"/>
        <w:rPr>
          <w:lang w:val="en-US"/>
        </w:rPr>
      </w:pPr>
      <w:r w:rsidRPr="003D4D09">
        <w:rPr>
          <w:rFonts w:cs="Verdana"/>
          <w:szCs w:val="20"/>
          <w:lang w:val="en-US" w:eastAsia="es-MX"/>
        </w:rPr>
        <w:t>Secretary</w:t>
      </w:r>
    </w:p>
    <w:p w14:paraId="3BC65E39" w14:textId="13DBD41B" w:rsidR="000F66F8" w:rsidRDefault="000F66F8" w:rsidP="00970348">
      <w:pPr>
        <w:spacing w:line="23" w:lineRule="atLeast"/>
        <w:ind w:right="4585"/>
        <w:rPr>
          <w:rFonts w:cs="Verdana"/>
          <w:spacing w:val="-2"/>
          <w:szCs w:val="20"/>
          <w:lang w:val="en-US"/>
        </w:rPr>
      </w:pPr>
    </w:p>
    <w:p w14:paraId="6A58A33A" w14:textId="77777777" w:rsidR="000F66F8" w:rsidRPr="000F66F8" w:rsidRDefault="000F66F8" w:rsidP="000F66F8">
      <w:pPr>
        <w:rPr>
          <w:rFonts w:cs="Verdana"/>
          <w:szCs w:val="20"/>
          <w:lang w:val="en-US"/>
        </w:rPr>
      </w:pPr>
    </w:p>
    <w:p w14:paraId="35BDA7A8" w14:textId="77777777" w:rsidR="000F66F8" w:rsidRPr="000F66F8" w:rsidRDefault="000F66F8" w:rsidP="000F66F8">
      <w:pPr>
        <w:rPr>
          <w:rFonts w:cs="Verdana"/>
          <w:szCs w:val="20"/>
          <w:lang w:val="en-US"/>
        </w:rPr>
      </w:pPr>
    </w:p>
    <w:p w14:paraId="6A945B03" w14:textId="77777777" w:rsidR="000F66F8" w:rsidRPr="000F66F8" w:rsidRDefault="000F66F8" w:rsidP="000F66F8">
      <w:pPr>
        <w:rPr>
          <w:rFonts w:cs="Verdana"/>
          <w:szCs w:val="20"/>
          <w:lang w:val="en-US"/>
        </w:rPr>
      </w:pPr>
    </w:p>
    <w:p w14:paraId="052AF1CA" w14:textId="77777777" w:rsidR="000F66F8" w:rsidRPr="000F66F8" w:rsidRDefault="000F66F8" w:rsidP="000F66F8">
      <w:pPr>
        <w:rPr>
          <w:rFonts w:cs="Verdana"/>
          <w:szCs w:val="20"/>
          <w:lang w:val="en-US"/>
        </w:rPr>
      </w:pPr>
    </w:p>
    <w:p w14:paraId="6BDC5EFD" w14:textId="77777777" w:rsidR="000F66F8" w:rsidRPr="000F66F8" w:rsidRDefault="000F66F8" w:rsidP="000F66F8">
      <w:pPr>
        <w:rPr>
          <w:rFonts w:cs="Verdana"/>
          <w:szCs w:val="20"/>
          <w:lang w:val="en-US"/>
        </w:rPr>
      </w:pPr>
    </w:p>
    <w:p w14:paraId="0CA71215" w14:textId="77777777" w:rsidR="000F66F8" w:rsidRPr="000F66F8" w:rsidRDefault="000F66F8" w:rsidP="000F66F8">
      <w:pPr>
        <w:rPr>
          <w:rFonts w:cs="Verdana"/>
          <w:szCs w:val="20"/>
          <w:lang w:val="en-US"/>
        </w:rPr>
      </w:pPr>
    </w:p>
    <w:p w14:paraId="7F21071F" w14:textId="77777777" w:rsidR="000F66F8" w:rsidRPr="000F66F8" w:rsidRDefault="000F66F8" w:rsidP="000F66F8">
      <w:pPr>
        <w:rPr>
          <w:rFonts w:cs="Verdana"/>
          <w:szCs w:val="20"/>
          <w:lang w:val="en-US"/>
        </w:rPr>
      </w:pPr>
    </w:p>
    <w:p w14:paraId="7B2E95AD" w14:textId="77777777" w:rsidR="000F66F8" w:rsidRPr="000F66F8" w:rsidRDefault="000F66F8" w:rsidP="000F66F8">
      <w:pPr>
        <w:rPr>
          <w:rFonts w:cs="Verdana"/>
          <w:szCs w:val="20"/>
          <w:lang w:val="en-US"/>
        </w:rPr>
      </w:pPr>
    </w:p>
    <w:p w14:paraId="073F6B87" w14:textId="77777777" w:rsidR="000F66F8" w:rsidRPr="000F66F8" w:rsidRDefault="000F66F8" w:rsidP="000F66F8">
      <w:pPr>
        <w:rPr>
          <w:rFonts w:cs="Verdana"/>
          <w:szCs w:val="20"/>
          <w:lang w:val="en-US"/>
        </w:rPr>
      </w:pPr>
    </w:p>
    <w:p w14:paraId="2F1BB12C" w14:textId="77777777" w:rsidR="000F66F8" w:rsidRPr="000F66F8" w:rsidRDefault="000F66F8" w:rsidP="000F66F8">
      <w:pPr>
        <w:rPr>
          <w:rFonts w:cs="Verdana"/>
          <w:szCs w:val="20"/>
          <w:lang w:val="en-US"/>
        </w:rPr>
      </w:pPr>
    </w:p>
    <w:p w14:paraId="51DD9148" w14:textId="77777777" w:rsidR="000F66F8" w:rsidRPr="000F66F8" w:rsidRDefault="000F66F8" w:rsidP="000F66F8">
      <w:pPr>
        <w:rPr>
          <w:rFonts w:cs="Verdana"/>
          <w:szCs w:val="20"/>
          <w:lang w:val="en-US"/>
        </w:rPr>
      </w:pPr>
    </w:p>
    <w:p w14:paraId="7DD705A0" w14:textId="77777777" w:rsidR="000F66F8" w:rsidRPr="000F66F8" w:rsidRDefault="000F66F8" w:rsidP="000F66F8">
      <w:pPr>
        <w:rPr>
          <w:rFonts w:cs="Verdana"/>
          <w:szCs w:val="20"/>
          <w:lang w:val="en-US"/>
        </w:rPr>
      </w:pPr>
    </w:p>
    <w:p w14:paraId="3C75C3B2" w14:textId="77777777" w:rsidR="000F66F8" w:rsidRPr="000F66F8" w:rsidRDefault="000F66F8" w:rsidP="000F66F8">
      <w:pPr>
        <w:rPr>
          <w:rFonts w:cs="Verdana"/>
          <w:szCs w:val="20"/>
          <w:lang w:val="en-US"/>
        </w:rPr>
      </w:pPr>
    </w:p>
    <w:p w14:paraId="3D4E49B7" w14:textId="77777777" w:rsidR="000F66F8" w:rsidRPr="000F66F8" w:rsidRDefault="000F66F8" w:rsidP="000F66F8">
      <w:pPr>
        <w:rPr>
          <w:rFonts w:cs="Verdana"/>
          <w:szCs w:val="20"/>
          <w:lang w:val="en-US"/>
        </w:rPr>
      </w:pPr>
    </w:p>
    <w:p w14:paraId="595DF03E" w14:textId="77777777" w:rsidR="000F66F8" w:rsidRPr="000F66F8" w:rsidRDefault="000F66F8" w:rsidP="000F66F8">
      <w:pPr>
        <w:rPr>
          <w:rFonts w:cs="Verdana"/>
          <w:szCs w:val="20"/>
          <w:lang w:val="en-US"/>
        </w:rPr>
      </w:pPr>
    </w:p>
    <w:p w14:paraId="5354E417" w14:textId="77777777" w:rsidR="000F66F8" w:rsidRPr="000F66F8" w:rsidRDefault="000F66F8" w:rsidP="000F66F8">
      <w:pPr>
        <w:rPr>
          <w:rFonts w:cs="Verdana"/>
          <w:szCs w:val="20"/>
          <w:lang w:val="en-US"/>
        </w:rPr>
      </w:pPr>
    </w:p>
    <w:p w14:paraId="12D55DBC" w14:textId="77777777" w:rsidR="000F66F8" w:rsidRPr="000F66F8" w:rsidRDefault="000F66F8" w:rsidP="000F66F8">
      <w:pPr>
        <w:rPr>
          <w:rFonts w:cs="Verdana"/>
          <w:szCs w:val="20"/>
          <w:lang w:val="en-US"/>
        </w:rPr>
      </w:pPr>
    </w:p>
    <w:p w14:paraId="3C01C8F7" w14:textId="77777777" w:rsidR="000F66F8" w:rsidRPr="000F66F8" w:rsidRDefault="000F66F8" w:rsidP="000F66F8">
      <w:pPr>
        <w:rPr>
          <w:rFonts w:cs="Verdana"/>
          <w:szCs w:val="20"/>
          <w:lang w:val="en-US"/>
        </w:rPr>
      </w:pPr>
    </w:p>
    <w:p w14:paraId="7364D304" w14:textId="2B877D2E" w:rsidR="000F66F8" w:rsidRDefault="000F66F8" w:rsidP="000F66F8">
      <w:pPr>
        <w:rPr>
          <w:rFonts w:cs="Verdana"/>
          <w:szCs w:val="20"/>
          <w:lang w:val="en-US"/>
        </w:rPr>
      </w:pPr>
    </w:p>
    <w:p w14:paraId="07DA1233" w14:textId="53F8E2C0" w:rsidR="00487A85" w:rsidRDefault="000F66F8" w:rsidP="000F66F8">
      <w:pPr>
        <w:tabs>
          <w:tab w:val="left" w:pos="3000"/>
        </w:tabs>
        <w:rPr>
          <w:rFonts w:cs="Verdana"/>
          <w:szCs w:val="20"/>
          <w:lang w:val="en-US"/>
        </w:rPr>
      </w:pPr>
      <w:r>
        <w:rPr>
          <w:rFonts w:cs="Verdana"/>
          <w:szCs w:val="20"/>
          <w:lang w:val="en-US"/>
        </w:rPr>
        <w:tab/>
      </w:r>
    </w:p>
    <w:p w14:paraId="0E1FD0BF" w14:textId="77777777" w:rsidR="000F66F8" w:rsidRDefault="000F66F8" w:rsidP="000F66F8">
      <w:pPr>
        <w:tabs>
          <w:tab w:val="left" w:pos="3000"/>
        </w:tabs>
        <w:rPr>
          <w:rFonts w:cs="Verdana"/>
          <w:szCs w:val="20"/>
          <w:lang w:val="en-US"/>
        </w:rPr>
      </w:pPr>
    </w:p>
    <w:p w14:paraId="7597DF90" w14:textId="77777777" w:rsidR="000F66F8" w:rsidRDefault="000F66F8" w:rsidP="000F66F8">
      <w:pPr>
        <w:tabs>
          <w:tab w:val="left" w:pos="3000"/>
        </w:tabs>
        <w:rPr>
          <w:rFonts w:cs="Verdana"/>
          <w:szCs w:val="20"/>
          <w:lang w:val="en-US"/>
        </w:rPr>
      </w:pPr>
    </w:p>
    <w:p w14:paraId="5E688FA5" w14:textId="77777777" w:rsidR="000F66F8" w:rsidRDefault="000F66F8" w:rsidP="000F66F8">
      <w:pPr>
        <w:tabs>
          <w:tab w:val="left" w:pos="3000"/>
        </w:tabs>
        <w:rPr>
          <w:rFonts w:cs="Verdana"/>
          <w:szCs w:val="20"/>
          <w:lang w:val="en-US"/>
        </w:rPr>
      </w:pPr>
    </w:p>
    <w:p w14:paraId="6C5BA234" w14:textId="77777777" w:rsidR="000F66F8" w:rsidRDefault="000F66F8" w:rsidP="000F66F8">
      <w:pPr>
        <w:tabs>
          <w:tab w:val="left" w:pos="3000"/>
        </w:tabs>
        <w:rPr>
          <w:rFonts w:cs="Verdana"/>
          <w:szCs w:val="20"/>
          <w:lang w:val="en-US"/>
        </w:rPr>
      </w:pPr>
    </w:p>
    <w:p w14:paraId="613BB908" w14:textId="77777777" w:rsidR="000F66F8" w:rsidRDefault="000F66F8" w:rsidP="000F66F8">
      <w:pPr>
        <w:tabs>
          <w:tab w:val="left" w:pos="3000"/>
        </w:tabs>
        <w:rPr>
          <w:rFonts w:cs="Verdana"/>
          <w:szCs w:val="20"/>
          <w:lang w:val="en-US"/>
        </w:rPr>
        <w:sectPr w:rsidR="000F66F8" w:rsidSect="00F84465">
          <w:footerReference w:type="default" r:id="rId10"/>
          <w:footerReference w:type="first" r:id="rId11"/>
          <w:footnotePr>
            <w:numRestart w:val="eachSect"/>
          </w:footnotePr>
          <w:pgSz w:w="12240" w:h="15840"/>
          <w:pgMar w:top="1418" w:right="1608" w:bottom="1418" w:left="1701" w:header="709" w:footer="709" w:gutter="0"/>
          <w:pgNumType w:start="1"/>
          <w:cols w:space="708"/>
          <w:titlePg/>
          <w:docGrid w:linePitch="360"/>
        </w:sectPr>
      </w:pPr>
    </w:p>
    <w:p w14:paraId="69EC18A1" w14:textId="77777777" w:rsidR="000F66F8" w:rsidRPr="003D4D09" w:rsidRDefault="000F66F8" w:rsidP="000F66F8">
      <w:pPr>
        <w:keepNext/>
        <w:jc w:val="center"/>
        <w:rPr>
          <w:rFonts w:cs="Calibri"/>
          <w:b/>
          <w:szCs w:val="20"/>
          <w:lang w:val="en-US"/>
        </w:rPr>
      </w:pPr>
      <w:r w:rsidRPr="003D4D09">
        <w:rPr>
          <w:rFonts w:cs="Calibri"/>
          <w:b/>
          <w:szCs w:val="20"/>
          <w:lang w:val="en-US"/>
        </w:rPr>
        <w:lastRenderedPageBreak/>
        <w:t xml:space="preserve">SEPARATE DISSENTING OPINION OF </w:t>
      </w:r>
      <w:bookmarkStart w:id="1431" w:name="_Toc301370523"/>
      <w:r w:rsidRPr="003D4D09">
        <w:rPr>
          <w:rFonts w:cs="Calibri"/>
          <w:b/>
          <w:szCs w:val="20"/>
          <w:lang w:val="en-US"/>
        </w:rPr>
        <w:t>JUDGE EDUARDO VIO GROSSI</w:t>
      </w:r>
    </w:p>
    <w:p w14:paraId="2179D5C5" w14:textId="77777777" w:rsidR="000F66F8" w:rsidRPr="003D4D09" w:rsidRDefault="000F66F8" w:rsidP="000F66F8">
      <w:pPr>
        <w:keepNext/>
        <w:jc w:val="center"/>
        <w:rPr>
          <w:rFonts w:cs="Calibri"/>
          <w:b/>
          <w:snapToGrid w:val="0"/>
          <w:szCs w:val="20"/>
          <w:lang w:val="en-US"/>
        </w:rPr>
      </w:pPr>
      <w:r w:rsidRPr="003D4D09">
        <w:rPr>
          <w:rFonts w:cs="Calibri"/>
          <w:b/>
          <w:snapToGrid w:val="0"/>
          <w:szCs w:val="20"/>
          <w:lang w:val="en-US"/>
        </w:rPr>
        <w:t>INTER-AMERICAN COURT OF HUMAN RIGHTS</w:t>
      </w:r>
    </w:p>
    <w:p w14:paraId="5A0AB504" w14:textId="77777777" w:rsidR="000F66F8" w:rsidRPr="003D4D09" w:rsidRDefault="000F66F8" w:rsidP="000F66F8">
      <w:pPr>
        <w:keepNext/>
        <w:jc w:val="center"/>
        <w:rPr>
          <w:rFonts w:cs="Calibri"/>
          <w:b/>
          <w:snapToGrid w:val="0"/>
          <w:szCs w:val="20"/>
          <w:lang w:val="en-US"/>
        </w:rPr>
      </w:pPr>
      <w:r w:rsidRPr="003D4D09">
        <w:rPr>
          <w:rFonts w:cs="Calibri"/>
          <w:b/>
          <w:snapToGrid w:val="0"/>
          <w:szCs w:val="20"/>
          <w:lang w:val="en-US"/>
        </w:rPr>
        <w:t xml:space="preserve">CASE OF WONG HO WING </w:t>
      </w:r>
      <w:r w:rsidRPr="005C7A0A">
        <w:rPr>
          <w:rFonts w:cs="Calibri"/>
          <w:b/>
          <w:i/>
          <w:snapToGrid w:val="0"/>
          <w:szCs w:val="20"/>
          <w:lang w:val="en-US"/>
        </w:rPr>
        <w:t>v</w:t>
      </w:r>
      <w:r w:rsidRPr="003D4D09">
        <w:rPr>
          <w:rFonts w:cs="Calibri"/>
          <w:b/>
          <w:i/>
          <w:snapToGrid w:val="0"/>
          <w:szCs w:val="20"/>
          <w:lang w:val="en-US"/>
        </w:rPr>
        <w:t xml:space="preserve">. </w:t>
      </w:r>
      <w:r w:rsidRPr="003D4D09">
        <w:rPr>
          <w:rFonts w:cs="Calibri"/>
          <w:b/>
          <w:snapToGrid w:val="0"/>
          <w:szCs w:val="20"/>
          <w:lang w:val="en-US"/>
        </w:rPr>
        <w:t>PERU</w:t>
      </w:r>
    </w:p>
    <w:p w14:paraId="67CF3B1C" w14:textId="77777777" w:rsidR="000F66F8" w:rsidRPr="003D4D09" w:rsidRDefault="000F66F8" w:rsidP="000F66F8">
      <w:pPr>
        <w:keepNext/>
        <w:jc w:val="center"/>
        <w:rPr>
          <w:rFonts w:cs="Calibri"/>
          <w:b/>
          <w:snapToGrid w:val="0"/>
          <w:szCs w:val="20"/>
          <w:lang w:val="en-US"/>
        </w:rPr>
      </w:pPr>
      <w:r w:rsidRPr="003D4D09">
        <w:rPr>
          <w:rFonts w:cs="Calibri"/>
          <w:b/>
          <w:snapToGrid w:val="0"/>
          <w:szCs w:val="20"/>
          <w:lang w:val="en-US"/>
        </w:rPr>
        <w:t>JUDGMENT OF JUNE 30, 2015</w:t>
      </w:r>
    </w:p>
    <w:p w14:paraId="141B8727" w14:textId="77777777" w:rsidR="000F66F8" w:rsidRPr="003D4D09" w:rsidRDefault="000F66F8" w:rsidP="000F66F8">
      <w:pPr>
        <w:keepNext/>
        <w:jc w:val="center"/>
        <w:rPr>
          <w:rFonts w:cs="Calibri"/>
          <w:b/>
          <w:caps/>
          <w:snapToGrid w:val="0"/>
          <w:szCs w:val="20"/>
          <w:lang w:val="en-US"/>
        </w:rPr>
      </w:pPr>
      <w:r w:rsidRPr="003D4D09">
        <w:rPr>
          <w:rFonts w:cs="Calibri"/>
          <w:b/>
          <w:snapToGrid w:val="0"/>
          <w:szCs w:val="20"/>
          <w:lang w:val="en-US"/>
        </w:rPr>
        <w:t>(Preliminary objection, merits, reparations and costs</w:t>
      </w:r>
      <w:r w:rsidRPr="003D4D09">
        <w:rPr>
          <w:rFonts w:cs="Calibri"/>
          <w:b/>
          <w:caps/>
          <w:snapToGrid w:val="0"/>
          <w:szCs w:val="20"/>
          <w:lang w:val="en-US"/>
        </w:rPr>
        <w:t>)</w:t>
      </w:r>
    </w:p>
    <w:bookmarkEnd w:id="1431"/>
    <w:p w14:paraId="7F1C9ECF" w14:textId="77777777" w:rsidR="000F66F8" w:rsidRPr="003D4D09" w:rsidRDefault="000F66F8" w:rsidP="000F66F8">
      <w:pPr>
        <w:keepNext/>
        <w:rPr>
          <w:rFonts w:cs="Calibri"/>
          <w:szCs w:val="20"/>
          <w:lang w:val="en-US"/>
        </w:rPr>
      </w:pPr>
    </w:p>
    <w:p w14:paraId="08055B85" w14:textId="77777777" w:rsidR="000F66F8" w:rsidRPr="003D4D09" w:rsidRDefault="000F66F8" w:rsidP="000F66F8">
      <w:pPr>
        <w:keepNext/>
        <w:rPr>
          <w:rFonts w:cs="Calibri"/>
          <w:b/>
          <w:szCs w:val="20"/>
          <w:lang w:val="en-US"/>
        </w:rPr>
      </w:pPr>
    </w:p>
    <w:p w14:paraId="5094BB95" w14:textId="77777777" w:rsidR="000F66F8" w:rsidRPr="003D4D09" w:rsidRDefault="000F66F8" w:rsidP="000F66F8">
      <w:pPr>
        <w:keepNext/>
        <w:rPr>
          <w:rFonts w:cs="Calibri"/>
          <w:b/>
          <w:szCs w:val="20"/>
          <w:lang w:val="en-US"/>
        </w:rPr>
      </w:pPr>
      <w:r w:rsidRPr="003D4D09">
        <w:rPr>
          <w:rFonts w:cs="Calibri"/>
          <w:b/>
          <w:szCs w:val="20"/>
          <w:lang w:val="en-US"/>
        </w:rPr>
        <w:t>INTRODUCTION</w:t>
      </w:r>
    </w:p>
    <w:p w14:paraId="74ED1ACB" w14:textId="77777777" w:rsidR="000F66F8" w:rsidRPr="003D4D09" w:rsidRDefault="000F66F8" w:rsidP="000F66F8">
      <w:pPr>
        <w:keepNext/>
        <w:rPr>
          <w:rFonts w:cs="Calibri"/>
          <w:szCs w:val="20"/>
          <w:lang w:val="en-US"/>
        </w:rPr>
      </w:pPr>
    </w:p>
    <w:p w14:paraId="4729CB84" w14:textId="77777777" w:rsidR="000F66F8" w:rsidRPr="003D4D09" w:rsidRDefault="000F66F8" w:rsidP="000F66F8">
      <w:pPr>
        <w:keepNext/>
        <w:rPr>
          <w:rFonts w:cs="Calibri"/>
          <w:szCs w:val="20"/>
          <w:lang w:val="en-US"/>
        </w:rPr>
      </w:pPr>
      <w:r w:rsidRPr="003D4D09">
        <w:rPr>
          <w:rFonts w:cs="Calibri"/>
          <w:szCs w:val="20"/>
          <w:lang w:val="en-US"/>
        </w:rPr>
        <w:t>This dissenting opinion</w:t>
      </w:r>
      <w:r w:rsidRPr="003D4D09">
        <w:rPr>
          <w:rStyle w:val="FootnoteReference"/>
          <w:rFonts w:cs="Calibri"/>
          <w:szCs w:val="20"/>
          <w:lang w:val="en-US"/>
        </w:rPr>
        <w:footnoteReference w:id="405"/>
      </w:r>
      <w:r w:rsidRPr="003D4D09">
        <w:rPr>
          <w:rFonts w:cs="Calibri"/>
          <w:szCs w:val="20"/>
          <w:lang w:val="en-US"/>
        </w:rPr>
        <w:t xml:space="preserve"> to the Judgment indicated above</w:t>
      </w:r>
      <w:r w:rsidRPr="003D4D09">
        <w:rPr>
          <w:rStyle w:val="FootnoteReference"/>
          <w:rFonts w:cs="Calibri"/>
          <w:szCs w:val="20"/>
          <w:lang w:val="en-US"/>
        </w:rPr>
        <w:footnoteReference w:id="406"/>
      </w:r>
      <w:r w:rsidRPr="003D4D09">
        <w:rPr>
          <w:rFonts w:cs="Calibri"/>
          <w:szCs w:val="20"/>
          <w:lang w:val="en-US"/>
        </w:rPr>
        <w:t xml:space="preserve"> is issued because the Judgment rejected the preliminary objection concerning failure to comply with the rule of prior exhaustion of domestic remedies filed by the Republic of Peru.</w:t>
      </w:r>
      <w:r w:rsidRPr="003D4D09">
        <w:rPr>
          <w:rStyle w:val="FootnoteReference"/>
          <w:rFonts w:cs="Calibri"/>
          <w:szCs w:val="20"/>
          <w:lang w:val="en-US"/>
        </w:rPr>
        <w:footnoteReference w:id="407"/>
      </w:r>
      <w:r w:rsidRPr="003D4D09">
        <w:rPr>
          <w:rFonts w:cs="Calibri"/>
          <w:szCs w:val="20"/>
          <w:lang w:val="en-US"/>
        </w:rPr>
        <w:t xml:space="preserve"> The grounds for this dissent relate to the moment at which this rule</w:t>
      </w:r>
      <w:r>
        <w:rPr>
          <w:rFonts w:cs="Calibri"/>
          <w:szCs w:val="20"/>
          <w:lang w:val="en-US"/>
        </w:rPr>
        <w:t xml:space="preserve"> should be complied with. T</w:t>
      </w:r>
      <w:r w:rsidRPr="003D4D09">
        <w:rPr>
          <w:rFonts w:cs="Calibri"/>
          <w:szCs w:val="20"/>
          <w:lang w:val="en-US"/>
        </w:rPr>
        <w:t>he Judgment takes the view that this should be, at the latest, when the Inter-American Commission on Human Rights</w:t>
      </w:r>
      <w:r w:rsidRPr="003D4D09">
        <w:rPr>
          <w:rStyle w:val="FootnoteReference"/>
          <w:rFonts w:cs="Calibri"/>
          <w:szCs w:val="20"/>
          <w:lang w:val="en-US"/>
        </w:rPr>
        <w:footnoteReference w:id="408"/>
      </w:r>
      <w:r w:rsidRPr="003D4D09">
        <w:rPr>
          <w:rFonts w:cs="Calibri"/>
          <w:szCs w:val="20"/>
          <w:lang w:val="en-US"/>
        </w:rPr>
        <w:t xml:space="preserve"> </w:t>
      </w:r>
      <w:r>
        <w:rPr>
          <w:rFonts w:cs="Calibri"/>
          <w:szCs w:val="20"/>
          <w:lang w:val="en-US"/>
        </w:rPr>
        <w:t>takes a decision</w:t>
      </w:r>
      <w:r w:rsidRPr="003D4D09">
        <w:rPr>
          <w:rFonts w:cs="Calibri"/>
          <w:szCs w:val="20"/>
          <w:lang w:val="en-US"/>
        </w:rPr>
        <w:t xml:space="preserve"> on the admissibility of the petition or communication</w:t>
      </w:r>
      <w:r w:rsidRPr="003D4D09">
        <w:rPr>
          <w:rStyle w:val="FootnoteReference"/>
          <w:rFonts w:cs="Calibri"/>
          <w:szCs w:val="20"/>
          <w:lang w:val="en-US"/>
        </w:rPr>
        <w:footnoteReference w:id="409"/>
      </w:r>
      <w:r w:rsidRPr="003D4D09">
        <w:rPr>
          <w:rFonts w:cs="Calibri"/>
          <w:szCs w:val="20"/>
          <w:lang w:val="en-US"/>
        </w:rPr>
        <w:t xml:space="preserve"> that has given rise to the corresponding case;</w:t>
      </w:r>
      <w:r w:rsidRPr="003D4D09">
        <w:rPr>
          <w:rStyle w:val="FootnoteReference"/>
          <w:rFonts w:cs="Calibri"/>
          <w:szCs w:val="20"/>
          <w:lang w:val="en-US"/>
        </w:rPr>
        <w:footnoteReference w:id="410"/>
      </w:r>
      <w:r w:rsidRPr="003D4D09">
        <w:rPr>
          <w:rFonts w:cs="Calibri"/>
          <w:szCs w:val="20"/>
          <w:lang w:val="en-US"/>
        </w:rPr>
        <w:t xml:space="preserve"> to the contrary, in this </w:t>
      </w:r>
      <w:r>
        <w:rPr>
          <w:rFonts w:cs="Calibri"/>
          <w:szCs w:val="20"/>
          <w:lang w:val="en-US"/>
        </w:rPr>
        <w:t>opinion</w:t>
      </w:r>
      <w:r w:rsidRPr="003D4D09">
        <w:rPr>
          <w:rFonts w:cs="Calibri"/>
          <w:szCs w:val="20"/>
          <w:lang w:val="en-US"/>
        </w:rPr>
        <w:t xml:space="preserve">, I maintain that this rule should be complied with at the time the petition is lodged, and this should be verified by the Commission </w:t>
      </w:r>
      <w:r>
        <w:rPr>
          <w:rFonts w:cs="Calibri"/>
          <w:szCs w:val="20"/>
          <w:lang w:val="en-US"/>
        </w:rPr>
        <w:t>both when this occurs and</w:t>
      </w:r>
      <w:r w:rsidRPr="003D4D09">
        <w:rPr>
          <w:rFonts w:cs="Calibri"/>
          <w:szCs w:val="20"/>
          <w:lang w:val="en-US"/>
        </w:rPr>
        <w:t xml:space="preserve"> when </w:t>
      </w:r>
      <w:r>
        <w:rPr>
          <w:rFonts w:cs="Calibri"/>
          <w:szCs w:val="20"/>
          <w:lang w:val="en-US"/>
        </w:rPr>
        <w:t>deciding on the petition’s</w:t>
      </w:r>
      <w:r w:rsidRPr="003D4D09">
        <w:rPr>
          <w:rFonts w:cs="Calibri"/>
          <w:szCs w:val="20"/>
          <w:lang w:val="en-US"/>
        </w:rPr>
        <w:t xml:space="preserve"> admissibility. In other words, while the Judgment conside</w:t>
      </w:r>
      <w:r>
        <w:rPr>
          <w:rFonts w:cs="Calibri"/>
          <w:szCs w:val="20"/>
          <w:lang w:val="en-US"/>
        </w:rPr>
        <w:t>rs that compliance with this</w:t>
      </w:r>
      <w:r w:rsidRPr="003D4D09">
        <w:rPr>
          <w:rFonts w:cs="Calibri"/>
          <w:szCs w:val="20"/>
          <w:lang w:val="en-US"/>
        </w:rPr>
        <w:t xml:space="preserve"> rule is a requirement for the admissibility of the petition, in this opinion, I consider that compliance</w:t>
      </w:r>
      <w:r>
        <w:rPr>
          <w:rFonts w:cs="Calibri"/>
          <w:szCs w:val="20"/>
          <w:lang w:val="en-US"/>
        </w:rPr>
        <w:t xml:space="preserve"> with the rule is a requirement</w:t>
      </w:r>
      <w:r w:rsidRPr="003D4D09">
        <w:rPr>
          <w:rFonts w:cs="Calibri"/>
          <w:szCs w:val="20"/>
          <w:lang w:val="en-US"/>
        </w:rPr>
        <w:t xml:space="preserve"> for its presentation and, consequently, to enable it to be processed.</w:t>
      </w:r>
    </w:p>
    <w:p w14:paraId="297164D7" w14:textId="77777777" w:rsidR="000F66F8" w:rsidRPr="003D4D09" w:rsidRDefault="000F66F8" w:rsidP="000F66F8">
      <w:pPr>
        <w:keepNext/>
        <w:rPr>
          <w:rFonts w:cs="Calibri"/>
          <w:b/>
          <w:szCs w:val="20"/>
          <w:lang w:val="en-US"/>
        </w:rPr>
      </w:pPr>
    </w:p>
    <w:p w14:paraId="7E36566E" w14:textId="77777777" w:rsidR="000F66F8" w:rsidRPr="003D4D09" w:rsidRDefault="000F66F8" w:rsidP="000F66F8">
      <w:pPr>
        <w:keepNext/>
        <w:rPr>
          <w:rFonts w:cs="Calibri"/>
          <w:szCs w:val="20"/>
          <w:lang w:val="en-US"/>
        </w:rPr>
      </w:pPr>
      <w:r w:rsidRPr="003D4D09">
        <w:rPr>
          <w:rFonts w:cs="Calibri"/>
          <w:szCs w:val="20"/>
          <w:lang w:val="en-US"/>
        </w:rPr>
        <w:t xml:space="preserve">Bearing in mind the provisions of Article 65(2) of the Court’s Rules of Procedure, this opinion refers only and exclusively to the reasons why the undersigned considers that the Judgment should have admitted the preliminary objection concerning the lack of prior exhaustion of domestic remedies filed by the State and, consequently, </w:t>
      </w:r>
      <w:r>
        <w:rPr>
          <w:rFonts w:cs="Calibri"/>
          <w:szCs w:val="20"/>
          <w:lang w:val="en-US"/>
        </w:rPr>
        <w:t>must</w:t>
      </w:r>
      <w:r w:rsidRPr="003D4D09">
        <w:rPr>
          <w:rFonts w:cs="Calibri"/>
          <w:szCs w:val="20"/>
          <w:lang w:val="en-US"/>
        </w:rPr>
        <w:t xml:space="preserve"> refrain from commenting on the merits of the case. Therefore, this </w:t>
      </w:r>
      <w:proofErr w:type="gramStart"/>
      <w:r w:rsidRPr="003D4D09">
        <w:rPr>
          <w:rFonts w:cs="Calibri"/>
          <w:szCs w:val="20"/>
          <w:lang w:val="en-US"/>
        </w:rPr>
        <w:t>opinions</w:t>
      </w:r>
      <w:proofErr w:type="gramEnd"/>
      <w:r w:rsidRPr="003D4D09">
        <w:rPr>
          <w:rFonts w:cs="Calibri"/>
          <w:szCs w:val="20"/>
          <w:lang w:val="en-US"/>
        </w:rPr>
        <w:t xml:space="preserve"> is limited to the operative paragraph on this point adopted in the Judgment. </w:t>
      </w:r>
    </w:p>
    <w:p w14:paraId="059EC15C" w14:textId="77777777" w:rsidR="000F66F8" w:rsidRPr="003D4D09" w:rsidRDefault="000F66F8" w:rsidP="000F66F8">
      <w:pPr>
        <w:keepNext/>
        <w:rPr>
          <w:rFonts w:cs="Calibri"/>
          <w:szCs w:val="20"/>
          <w:lang w:val="en-US"/>
        </w:rPr>
      </w:pPr>
    </w:p>
    <w:p w14:paraId="366CA297" w14:textId="77777777" w:rsidR="000F66F8" w:rsidRPr="003D4D09" w:rsidRDefault="000F66F8" w:rsidP="000F66F8">
      <w:pPr>
        <w:keepNext/>
        <w:rPr>
          <w:rFonts w:cs="Calibri"/>
          <w:szCs w:val="20"/>
          <w:lang w:val="en-US"/>
        </w:rPr>
      </w:pPr>
      <w:r w:rsidRPr="003D4D09">
        <w:rPr>
          <w:rFonts w:cs="Calibri"/>
          <w:szCs w:val="20"/>
          <w:lang w:val="en-US"/>
        </w:rPr>
        <w:t>Nevertheless, I wish to record that the undersigned, as in other cases,</w:t>
      </w:r>
      <w:r w:rsidRPr="003D4D09">
        <w:rPr>
          <w:rStyle w:val="FootnoteReference"/>
          <w:rFonts w:cs="Calibri"/>
          <w:szCs w:val="20"/>
          <w:lang w:val="en-US"/>
        </w:rPr>
        <w:footnoteReference w:id="411"/>
      </w:r>
      <w:r w:rsidRPr="003D4D09">
        <w:rPr>
          <w:rFonts w:cs="Calibri"/>
          <w:szCs w:val="20"/>
          <w:lang w:val="en-US"/>
        </w:rPr>
        <w:t xml:space="preserve"> has participated </w:t>
      </w:r>
      <w:r>
        <w:rPr>
          <w:rFonts w:cs="Calibri"/>
          <w:szCs w:val="20"/>
          <w:lang w:val="en-US"/>
        </w:rPr>
        <w:t xml:space="preserve">in both the deliberation and </w:t>
      </w:r>
      <w:r w:rsidRPr="003D4D09">
        <w:rPr>
          <w:rFonts w:cs="Calibri"/>
          <w:szCs w:val="20"/>
          <w:lang w:val="en-US"/>
        </w:rPr>
        <w:t xml:space="preserve">the voting by the Court with regard to each operative </w:t>
      </w:r>
      <w:r w:rsidRPr="003D4D09">
        <w:rPr>
          <w:rFonts w:cs="Calibri"/>
          <w:szCs w:val="20"/>
          <w:lang w:val="en-US"/>
        </w:rPr>
        <w:lastRenderedPageBreak/>
        <w:t xml:space="preserve">paragraph of the Judgment and has done so, however, without issuing a separate opinion </w:t>
      </w:r>
      <w:r>
        <w:rPr>
          <w:rFonts w:cs="Calibri"/>
          <w:szCs w:val="20"/>
          <w:lang w:val="en-US"/>
        </w:rPr>
        <w:t>on</w:t>
      </w:r>
      <w:r w:rsidRPr="003D4D09">
        <w:rPr>
          <w:rFonts w:cs="Calibri"/>
          <w:szCs w:val="20"/>
          <w:lang w:val="en-US"/>
        </w:rPr>
        <w:t xml:space="preserve"> them.</w:t>
      </w:r>
    </w:p>
    <w:p w14:paraId="00A64F3B" w14:textId="77777777" w:rsidR="000F66F8" w:rsidRPr="003D4D09" w:rsidRDefault="000F66F8" w:rsidP="000F66F8">
      <w:pPr>
        <w:keepNext/>
        <w:rPr>
          <w:rFonts w:cs="Calibri"/>
          <w:szCs w:val="20"/>
          <w:lang w:val="en-US"/>
        </w:rPr>
      </w:pPr>
    </w:p>
    <w:p w14:paraId="073A2BC8" w14:textId="77777777" w:rsidR="000F66F8" w:rsidRPr="003D4D09" w:rsidRDefault="000F66F8" w:rsidP="000F66F8">
      <w:pPr>
        <w:keepNext/>
        <w:rPr>
          <w:rFonts w:cs="Calibri"/>
          <w:szCs w:val="20"/>
          <w:lang w:val="en-US"/>
        </w:rPr>
      </w:pPr>
      <w:r w:rsidRPr="003D4D09">
        <w:rPr>
          <w:rFonts w:cs="Calibri"/>
          <w:szCs w:val="20"/>
          <w:lang w:val="en-US"/>
        </w:rPr>
        <w:t xml:space="preserve">Consequently, and </w:t>
      </w:r>
      <w:r>
        <w:rPr>
          <w:rFonts w:cs="Calibri"/>
          <w:szCs w:val="20"/>
          <w:lang w:val="en-US"/>
        </w:rPr>
        <w:t>pursuant to</w:t>
      </w:r>
      <w:r w:rsidRPr="003D4D09">
        <w:rPr>
          <w:rFonts w:cs="Calibri"/>
          <w:szCs w:val="20"/>
          <w:lang w:val="en-US"/>
        </w:rPr>
        <w:t xml:space="preserve"> the provision of Article 65(2) of the Rules of Procedure that, if a separate concurring or dissenting opinion is issued, it should include the reasoning; then, to the contrary, if no separate opinion is issued, there is no obligation to provide the reasons for the positive or negative vote. Thus, considering that this opinion relates solely and exclusively to the operative paragraph adopted in the Judgment with regard to the said preliminary objection, the undersigned is not obliged to explain the reasons why he voted negatively with regard to the other paragraphs of the Judgment; namely, the operative paragraphs. </w:t>
      </w:r>
    </w:p>
    <w:p w14:paraId="5DAE449D" w14:textId="77777777" w:rsidR="000F66F8" w:rsidRPr="003D4D09" w:rsidRDefault="000F66F8" w:rsidP="000F66F8">
      <w:pPr>
        <w:keepNext/>
        <w:rPr>
          <w:rFonts w:cs="Calibri"/>
          <w:szCs w:val="20"/>
          <w:lang w:val="en-US"/>
        </w:rPr>
      </w:pPr>
    </w:p>
    <w:p w14:paraId="018B1FC8" w14:textId="77777777" w:rsidR="000F66F8" w:rsidRPr="003D4D09" w:rsidRDefault="000F66F8" w:rsidP="000F66F8">
      <w:pPr>
        <w:keepNext/>
        <w:rPr>
          <w:rFonts w:cs="Calibri"/>
          <w:szCs w:val="20"/>
          <w:lang w:val="en-US"/>
        </w:rPr>
      </w:pPr>
      <w:r w:rsidRPr="003D4D09">
        <w:rPr>
          <w:rFonts w:cs="Calibri"/>
          <w:szCs w:val="20"/>
          <w:lang w:val="en-US"/>
        </w:rPr>
        <w:t>By adopting this course</w:t>
      </w:r>
      <w:r>
        <w:rPr>
          <w:rFonts w:cs="Calibri"/>
          <w:szCs w:val="20"/>
          <w:lang w:val="en-US"/>
        </w:rPr>
        <w:t xml:space="preserve"> of action</w:t>
      </w:r>
      <w:r w:rsidRPr="003D4D09">
        <w:rPr>
          <w:rFonts w:cs="Calibri"/>
          <w:szCs w:val="20"/>
          <w:lang w:val="en-US"/>
        </w:rPr>
        <w:t>, the undersigned has proceeded in keeping with the principles of liberty and independence that should govern the actions of a judge, guaranteed by the Conven</w:t>
      </w:r>
      <w:r>
        <w:rPr>
          <w:rFonts w:cs="Calibri"/>
          <w:szCs w:val="20"/>
          <w:lang w:val="en-US"/>
        </w:rPr>
        <w:t>tion</w:t>
      </w:r>
      <w:r w:rsidRPr="003D4D09">
        <w:rPr>
          <w:rFonts w:cs="Calibri"/>
          <w:szCs w:val="20"/>
          <w:lang w:val="en-US"/>
        </w:rPr>
        <w:t xml:space="preserve"> and the Court’s Statute and Rules of Procedure, which impose no restriction </w:t>
      </w:r>
      <w:r>
        <w:rPr>
          <w:rFonts w:cs="Calibri"/>
          <w:szCs w:val="20"/>
          <w:lang w:val="en-US"/>
        </w:rPr>
        <w:t>as regards the reason he considers</w:t>
      </w:r>
      <w:r w:rsidRPr="003D4D09">
        <w:rPr>
          <w:rFonts w:cs="Calibri"/>
          <w:szCs w:val="20"/>
          <w:lang w:val="en-US"/>
        </w:rPr>
        <w:t xml:space="preserve"> </w:t>
      </w:r>
      <w:r>
        <w:rPr>
          <w:rFonts w:cs="Calibri"/>
          <w:szCs w:val="20"/>
          <w:lang w:val="en-US"/>
        </w:rPr>
        <w:t xml:space="preserve">it </w:t>
      </w:r>
      <w:r w:rsidRPr="003D4D09">
        <w:rPr>
          <w:rFonts w:cs="Calibri"/>
          <w:szCs w:val="20"/>
          <w:lang w:val="en-US"/>
        </w:rPr>
        <w:t xml:space="preserve">appropriate to vote according to his conscience or, in particular, by not prohibiting him from explaining, if he so wishes, </w:t>
      </w:r>
      <w:r>
        <w:rPr>
          <w:rFonts w:cs="Calibri"/>
          <w:szCs w:val="20"/>
          <w:lang w:val="en-US"/>
        </w:rPr>
        <w:t>why he has proceeded in this way</w:t>
      </w:r>
      <w:r w:rsidRPr="003D4D09">
        <w:rPr>
          <w:rFonts w:cs="Calibri"/>
          <w:szCs w:val="20"/>
          <w:lang w:val="en-US"/>
        </w:rPr>
        <w:t>.</w:t>
      </w:r>
    </w:p>
    <w:p w14:paraId="514EE444" w14:textId="77777777" w:rsidR="000F66F8" w:rsidRPr="003D4D09" w:rsidRDefault="000F66F8" w:rsidP="000F66F8">
      <w:pPr>
        <w:keepNext/>
        <w:rPr>
          <w:rFonts w:cs="Calibri"/>
          <w:szCs w:val="20"/>
          <w:lang w:val="en-US"/>
        </w:rPr>
      </w:pPr>
    </w:p>
    <w:p w14:paraId="5A97EFC7" w14:textId="77777777" w:rsidR="000F66F8" w:rsidRPr="003D4D09" w:rsidRDefault="000F66F8" w:rsidP="000F66F8">
      <w:pPr>
        <w:keepNext/>
        <w:rPr>
          <w:rFonts w:cs="Calibri"/>
          <w:szCs w:val="20"/>
          <w:lang w:val="en-US"/>
        </w:rPr>
      </w:pPr>
      <w:r>
        <w:rPr>
          <w:rFonts w:cs="Calibri"/>
          <w:szCs w:val="20"/>
          <w:lang w:val="en-US"/>
        </w:rPr>
        <w:t>In addition</w:t>
      </w:r>
      <w:r w:rsidRPr="003D4D09">
        <w:rPr>
          <w:rFonts w:cs="Calibri"/>
          <w:szCs w:val="20"/>
          <w:lang w:val="en-US"/>
        </w:rPr>
        <w:t xml:space="preserve">, it should be borne in mind </w:t>
      </w:r>
      <w:r>
        <w:rPr>
          <w:rFonts w:cs="Calibri"/>
          <w:szCs w:val="20"/>
          <w:lang w:val="en-US"/>
        </w:rPr>
        <w:t>that this opinion is consistent; moreover, it</w:t>
      </w:r>
      <w:r w:rsidRPr="003D4D09">
        <w:rPr>
          <w:rFonts w:cs="Calibri"/>
          <w:szCs w:val="20"/>
          <w:lang w:val="en-US"/>
        </w:rPr>
        <w:t xml:space="preserve"> </w:t>
      </w:r>
      <w:r>
        <w:rPr>
          <w:rFonts w:cs="Calibri"/>
          <w:szCs w:val="20"/>
          <w:lang w:val="en-US"/>
        </w:rPr>
        <w:t>diverges from</w:t>
      </w:r>
      <w:r w:rsidRPr="003D4D09">
        <w:rPr>
          <w:rFonts w:cs="Calibri"/>
          <w:szCs w:val="20"/>
          <w:lang w:val="en-US"/>
        </w:rPr>
        <w:t xml:space="preserve"> the </w:t>
      </w:r>
      <w:r>
        <w:rPr>
          <w:rFonts w:cs="Calibri"/>
          <w:szCs w:val="20"/>
          <w:lang w:val="en-US"/>
        </w:rPr>
        <w:t>approach</w:t>
      </w:r>
      <w:r w:rsidRPr="003D4D09">
        <w:rPr>
          <w:rFonts w:cs="Calibri"/>
          <w:szCs w:val="20"/>
          <w:lang w:val="en-US"/>
        </w:rPr>
        <w:t xml:space="preserve"> taken in the Judgment </w:t>
      </w:r>
      <w:r>
        <w:rPr>
          <w:rFonts w:cs="Calibri"/>
          <w:szCs w:val="20"/>
          <w:lang w:val="en-US"/>
        </w:rPr>
        <w:t>which simultaneously decided</w:t>
      </w:r>
      <w:r w:rsidRPr="003D4D09">
        <w:rPr>
          <w:rFonts w:cs="Calibri"/>
          <w:szCs w:val="20"/>
          <w:lang w:val="en-US"/>
        </w:rPr>
        <w:t xml:space="preserve"> the preliminary objection and the merits of the matter, without first </w:t>
      </w:r>
      <w:r>
        <w:rPr>
          <w:rFonts w:cs="Calibri"/>
          <w:szCs w:val="20"/>
          <w:lang w:val="en-US"/>
        </w:rPr>
        <w:t xml:space="preserve">making a formal determination of </w:t>
      </w:r>
      <w:r w:rsidRPr="003D4D09">
        <w:rPr>
          <w:rFonts w:cs="Calibri"/>
          <w:szCs w:val="20"/>
          <w:lang w:val="en-US"/>
        </w:rPr>
        <w:t xml:space="preserve">whether the objection related to the </w:t>
      </w:r>
      <w:r>
        <w:rPr>
          <w:rFonts w:cs="Calibri"/>
          <w:szCs w:val="20"/>
          <w:lang w:val="en-US"/>
        </w:rPr>
        <w:t xml:space="preserve">merits and, if it </w:t>
      </w:r>
      <w:r w:rsidRPr="003D4D09">
        <w:rPr>
          <w:rFonts w:cs="Calibri"/>
          <w:szCs w:val="20"/>
          <w:lang w:val="en-US"/>
        </w:rPr>
        <w:t xml:space="preserve">considered that this connection existed, deciding to deal with both matters together. </w:t>
      </w:r>
      <w:r>
        <w:rPr>
          <w:rFonts w:cs="Calibri"/>
          <w:szCs w:val="20"/>
          <w:lang w:val="en-US"/>
        </w:rPr>
        <w:t>Conversely, the present opinion</w:t>
      </w:r>
      <w:r w:rsidRPr="003D4D09">
        <w:rPr>
          <w:rFonts w:cs="Calibri"/>
          <w:szCs w:val="20"/>
          <w:lang w:val="en-US"/>
        </w:rPr>
        <w:t xml:space="preserve"> is based on the fact that the preliminary objection filed by the State regarding failure to comply with the rule of prior </w:t>
      </w:r>
      <w:r>
        <w:rPr>
          <w:rFonts w:cs="Calibri"/>
          <w:szCs w:val="20"/>
          <w:lang w:val="en-US"/>
        </w:rPr>
        <w:t>exhaustion of domestic remedies</w:t>
      </w:r>
      <w:r w:rsidRPr="003D4D09">
        <w:rPr>
          <w:rFonts w:cs="Calibri"/>
          <w:szCs w:val="20"/>
          <w:lang w:val="en-US"/>
        </w:rPr>
        <w:t xml:space="preserve"> is not related to the merits of the case and, consequently, was essentially a preliminary matter tha</w:t>
      </w:r>
      <w:r>
        <w:rPr>
          <w:rFonts w:cs="Calibri"/>
          <w:szCs w:val="20"/>
          <w:lang w:val="en-US"/>
        </w:rPr>
        <w:t xml:space="preserve">t, as such, </w:t>
      </w:r>
      <w:r w:rsidRPr="003D4D09">
        <w:rPr>
          <w:rFonts w:cs="Calibri"/>
          <w:szCs w:val="20"/>
          <w:lang w:val="en-US"/>
        </w:rPr>
        <w:t>deserved to be decided</w:t>
      </w:r>
      <w:r>
        <w:rPr>
          <w:rFonts w:cs="Calibri"/>
          <w:szCs w:val="20"/>
          <w:lang w:val="en-US"/>
        </w:rPr>
        <w:t xml:space="preserve"> before</w:t>
      </w:r>
      <w:r w:rsidRPr="003D4D09">
        <w:rPr>
          <w:rFonts w:cs="Calibri"/>
          <w:szCs w:val="20"/>
          <w:lang w:val="en-US"/>
        </w:rPr>
        <w:t xml:space="preserve"> and separately from the merits, so that it could not be considered that the decision on the objection </w:t>
      </w:r>
      <w:r>
        <w:rPr>
          <w:rFonts w:cs="Calibri"/>
          <w:szCs w:val="20"/>
          <w:lang w:val="en-US"/>
        </w:rPr>
        <w:t>might</w:t>
      </w:r>
      <w:r w:rsidRPr="003D4D09">
        <w:rPr>
          <w:rFonts w:cs="Calibri"/>
          <w:szCs w:val="20"/>
          <w:lang w:val="en-US"/>
        </w:rPr>
        <w:t xml:space="preserve"> be influenced, even indirectly, by the</w:t>
      </w:r>
      <w:r>
        <w:rPr>
          <w:rFonts w:cs="Calibri"/>
          <w:szCs w:val="20"/>
          <w:lang w:val="en-US"/>
        </w:rPr>
        <w:t xml:space="preserve"> merits</w:t>
      </w:r>
      <w:r w:rsidRPr="003D4D09">
        <w:rPr>
          <w:rFonts w:cs="Calibri"/>
          <w:szCs w:val="20"/>
          <w:lang w:val="en-US"/>
        </w:rPr>
        <w:t>.</w:t>
      </w:r>
    </w:p>
    <w:p w14:paraId="11D679E4" w14:textId="77777777" w:rsidR="000F66F8" w:rsidRPr="003D4D09" w:rsidRDefault="000F66F8" w:rsidP="000F66F8">
      <w:pPr>
        <w:keepNext/>
        <w:rPr>
          <w:rFonts w:cs="Calibri"/>
          <w:szCs w:val="20"/>
          <w:lang w:val="en-US"/>
        </w:rPr>
      </w:pPr>
    </w:p>
    <w:p w14:paraId="6C0ED613" w14:textId="77777777" w:rsidR="000F66F8" w:rsidRPr="003D4D09" w:rsidRDefault="000F66F8" w:rsidP="000F66F8">
      <w:pPr>
        <w:keepNext/>
        <w:rPr>
          <w:rFonts w:cs="Calibri"/>
          <w:szCs w:val="20"/>
          <w:lang w:val="en-US"/>
        </w:rPr>
      </w:pPr>
      <w:r w:rsidRPr="003D4D09">
        <w:rPr>
          <w:rFonts w:cs="Calibri"/>
          <w:szCs w:val="20"/>
          <w:lang w:val="en-US"/>
        </w:rPr>
        <w:t>The reasons why the undersigned does not agree with the decision taken in this case concerning the objection filed by the State based on failure to exhaust domestic remedies are explained below, taking into account the applicable provision of the Convention, the facts of the case as they relate to this provision and, lastly, the part of the Judgment that refers to this objection.</w:t>
      </w:r>
    </w:p>
    <w:p w14:paraId="1037843A" w14:textId="77777777" w:rsidR="000F66F8" w:rsidRPr="003D4D09" w:rsidRDefault="000F66F8" w:rsidP="000F66F8">
      <w:pPr>
        <w:keepNext/>
        <w:rPr>
          <w:rFonts w:cs="Calibri"/>
          <w:szCs w:val="20"/>
          <w:lang w:val="en-US"/>
        </w:rPr>
      </w:pPr>
    </w:p>
    <w:p w14:paraId="3CD85925" w14:textId="77777777" w:rsidR="000F66F8" w:rsidRPr="003D4D09" w:rsidRDefault="000F66F8" w:rsidP="000F66F8">
      <w:pPr>
        <w:keepNext/>
        <w:numPr>
          <w:ilvl w:val="0"/>
          <w:numId w:val="17"/>
        </w:numPr>
        <w:ind w:left="0" w:firstLine="0"/>
        <w:rPr>
          <w:rFonts w:cs="Calibri"/>
          <w:b/>
          <w:szCs w:val="20"/>
          <w:lang w:val="en-US"/>
        </w:rPr>
      </w:pPr>
      <w:r w:rsidRPr="003D4D09">
        <w:rPr>
          <w:rFonts w:cs="Calibri"/>
          <w:b/>
          <w:szCs w:val="20"/>
          <w:lang w:val="en-US"/>
        </w:rPr>
        <w:t>PROVISION OF THE CONVENTION CONCERNING THE RULE OF PRIOR EXHAUSTION OF DOMESTIC REMEDIES</w:t>
      </w:r>
    </w:p>
    <w:p w14:paraId="52E0C37F" w14:textId="77777777" w:rsidR="000F66F8" w:rsidRPr="003D4D09" w:rsidRDefault="000F66F8" w:rsidP="000F66F8">
      <w:pPr>
        <w:keepNext/>
        <w:rPr>
          <w:rFonts w:cs="Calibri"/>
          <w:szCs w:val="20"/>
          <w:lang w:val="en-US"/>
        </w:rPr>
      </w:pPr>
    </w:p>
    <w:p w14:paraId="13B8BDED" w14:textId="77777777" w:rsidR="000F66F8" w:rsidRPr="003D4D09" w:rsidRDefault="000F66F8" w:rsidP="000F66F8">
      <w:pPr>
        <w:keepNext/>
        <w:rPr>
          <w:rFonts w:cs="Calibri"/>
          <w:szCs w:val="20"/>
          <w:lang w:val="en-US"/>
        </w:rPr>
      </w:pPr>
      <w:r w:rsidRPr="003D4D09">
        <w:rPr>
          <w:rFonts w:cs="Calibri"/>
          <w:szCs w:val="20"/>
          <w:lang w:val="en-US"/>
        </w:rPr>
        <w:t xml:space="preserve">In the first part of this </w:t>
      </w:r>
      <w:r>
        <w:rPr>
          <w:rFonts w:cs="Calibri"/>
          <w:szCs w:val="20"/>
          <w:lang w:val="en-US"/>
        </w:rPr>
        <w:t>opinion</w:t>
      </w:r>
      <w:r w:rsidRPr="003D4D09">
        <w:rPr>
          <w:rFonts w:cs="Calibri"/>
          <w:szCs w:val="20"/>
          <w:lang w:val="en-US"/>
        </w:rPr>
        <w:t xml:space="preserve">, the undersigned will reiterate and complement some </w:t>
      </w:r>
      <w:r>
        <w:rPr>
          <w:rFonts w:cs="Calibri"/>
          <w:szCs w:val="20"/>
          <w:lang w:val="en-US"/>
        </w:rPr>
        <w:t xml:space="preserve">of the </w:t>
      </w:r>
      <w:r w:rsidRPr="003D4D09">
        <w:rPr>
          <w:rFonts w:cs="Calibri"/>
          <w:szCs w:val="20"/>
          <w:lang w:val="en-US"/>
        </w:rPr>
        <w:t>general comments made above</w:t>
      </w:r>
      <w:r w:rsidRPr="003D4D09">
        <w:rPr>
          <w:rStyle w:val="FootnoteReference"/>
          <w:rFonts w:cs="Calibri"/>
          <w:szCs w:val="20"/>
          <w:lang w:val="en-US"/>
        </w:rPr>
        <w:footnoteReference w:id="412"/>
      </w:r>
      <w:r w:rsidRPr="003D4D09">
        <w:rPr>
          <w:rFonts w:cs="Calibri"/>
          <w:szCs w:val="20"/>
          <w:lang w:val="en-US"/>
        </w:rPr>
        <w:t xml:space="preserve"> on the said rule and the procedure that sh</w:t>
      </w:r>
      <w:r>
        <w:rPr>
          <w:rFonts w:cs="Calibri"/>
          <w:szCs w:val="20"/>
          <w:lang w:val="en-US"/>
        </w:rPr>
        <w:t>ould be followed in this regard; in other words,</w:t>
      </w:r>
      <w:r w:rsidRPr="003D4D09">
        <w:rPr>
          <w:rFonts w:cs="Calibri"/>
          <w:szCs w:val="20"/>
          <w:lang w:val="en-US"/>
        </w:rPr>
        <w:t xml:space="preserve"> with regard to the petition, its </w:t>
      </w:r>
      <w:r>
        <w:rPr>
          <w:rFonts w:cs="Calibri"/>
          <w:szCs w:val="20"/>
          <w:lang w:val="en-US"/>
        </w:rPr>
        <w:t>study</w:t>
      </w:r>
      <w:r w:rsidRPr="003D4D09">
        <w:rPr>
          <w:rFonts w:cs="Calibri"/>
          <w:szCs w:val="20"/>
          <w:lang w:val="en-US"/>
        </w:rPr>
        <w:t xml:space="preserve"> and initial processing by the Commission, the State’s response to the petition, its admissibility, and the ruling that corresponds to the Court, to conclude with the consequences </w:t>
      </w:r>
      <w:r>
        <w:rPr>
          <w:rFonts w:cs="Calibri"/>
          <w:szCs w:val="20"/>
          <w:lang w:val="en-US"/>
        </w:rPr>
        <w:t xml:space="preserve">of  </w:t>
      </w:r>
      <w:r w:rsidRPr="003D4D09">
        <w:rPr>
          <w:rFonts w:cs="Calibri"/>
          <w:szCs w:val="20"/>
          <w:lang w:val="en-US"/>
        </w:rPr>
        <w:t>considering the rule of prior ex</w:t>
      </w:r>
      <w:r>
        <w:rPr>
          <w:rFonts w:cs="Calibri"/>
          <w:szCs w:val="20"/>
          <w:lang w:val="en-US"/>
        </w:rPr>
        <w:t>haustion of domestic remedies to be</w:t>
      </w:r>
      <w:r w:rsidRPr="003D4D09">
        <w:rPr>
          <w:rFonts w:cs="Calibri"/>
          <w:szCs w:val="20"/>
          <w:lang w:val="en-US"/>
        </w:rPr>
        <w:t xml:space="preserve"> a requirement of admissibility rather than of the petition.</w:t>
      </w:r>
    </w:p>
    <w:p w14:paraId="315AD7F5" w14:textId="77777777" w:rsidR="000F66F8" w:rsidRPr="003D4D09" w:rsidRDefault="000F66F8" w:rsidP="000F66F8">
      <w:pPr>
        <w:keepNext/>
        <w:rPr>
          <w:rFonts w:cs="Calibri"/>
          <w:szCs w:val="20"/>
          <w:lang w:val="en-US"/>
        </w:rPr>
      </w:pPr>
    </w:p>
    <w:p w14:paraId="051BA7F3" w14:textId="77777777" w:rsidR="000F66F8" w:rsidRPr="003D4D09" w:rsidRDefault="000F66F8" w:rsidP="000F66F8">
      <w:pPr>
        <w:keepNext/>
        <w:numPr>
          <w:ilvl w:val="0"/>
          <w:numId w:val="16"/>
        </w:numPr>
        <w:ind w:left="567" w:hanging="283"/>
        <w:rPr>
          <w:rFonts w:cs="Calibri"/>
          <w:b/>
          <w:szCs w:val="20"/>
          <w:lang w:val="en-US"/>
        </w:rPr>
      </w:pPr>
      <w:r w:rsidRPr="003D4D09">
        <w:rPr>
          <w:rFonts w:cs="Calibri"/>
          <w:b/>
          <w:szCs w:val="20"/>
          <w:lang w:val="en-US"/>
        </w:rPr>
        <w:lastRenderedPageBreak/>
        <w:t>General comments</w:t>
      </w:r>
    </w:p>
    <w:p w14:paraId="1106D5DE"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4E476F2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Article 46 of the Convention recognizes the rule of prior exhaustion of domestic remedies and stipulates that: </w:t>
      </w:r>
    </w:p>
    <w:p w14:paraId="25800C47" w14:textId="77777777" w:rsidR="000F66F8" w:rsidRPr="003D4D09" w:rsidRDefault="000F66F8" w:rsidP="000F66F8">
      <w:pPr>
        <w:pStyle w:val="NormalWeb"/>
        <w:keepNext/>
        <w:spacing w:before="0" w:beforeAutospacing="0" w:after="0" w:afterAutospacing="0"/>
        <w:jc w:val="both"/>
        <w:rPr>
          <w:rFonts w:ascii="Verdana" w:hAnsi="Verdana" w:cs="Calibri"/>
          <w:sz w:val="18"/>
          <w:szCs w:val="18"/>
          <w:lang w:val="en-US"/>
        </w:rPr>
      </w:pPr>
    </w:p>
    <w:p w14:paraId="3C63C2DB"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8"/>
          <w:szCs w:val="18"/>
          <w:lang w:val="en-US"/>
        </w:rPr>
      </w:pPr>
      <w:r w:rsidRPr="003D4D09">
        <w:rPr>
          <w:i/>
          <w:spacing w:val="-3"/>
          <w:sz w:val="18"/>
          <w:szCs w:val="18"/>
          <w:lang w:val="en-US"/>
        </w:rPr>
        <w:t xml:space="preserve"> “1.</w:t>
      </w:r>
      <w:r w:rsidRPr="003D4D09">
        <w:rPr>
          <w:i/>
          <w:spacing w:val="-3"/>
          <w:sz w:val="18"/>
          <w:szCs w:val="18"/>
          <w:lang w:val="en-US"/>
        </w:rPr>
        <w:tab/>
        <w:t>Admission by the Commission of a petition or communication lodged in accordance with Articles 44 or 45 shall be subject to the following requirements:</w:t>
      </w:r>
    </w:p>
    <w:p w14:paraId="5A3714D6" w14:textId="77777777" w:rsidR="000F66F8" w:rsidRPr="003D4D09" w:rsidRDefault="000F66F8" w:rsidP="000F66F8">
      <w:pPr>
        <w:keepNext/>
        <w:tabs>
          <w:tab w:val="left" w:pos="1080"/>
          <w:tab w:val="left" w:pos="1680"/>
          <w:tab w:val="left" w:pos="5400"/>
        </w:tabs>
        <w:suppressAutoHyphens/>
        <w:ind w:left="450" w:right="381"/>
        <w:rPr>
          <w:i/>
          <w:spacing w:val="-3"/>
          <w:sz w:val="16"/>
          <w:szCs w:val="16"/>
          <w:lang w:val="en-US"/>
        </w:rPr>
      </w:pPr>
    </w:p>
    <w:p w14:paraId="0E274850" w14:textId="77777777" w:rsidR="000F66F8" w:rsidRPr="003D4D09" w:rsidRDefault="000F66F8" w:rsidP="000F66F8">
      <w:pPr>
        <w:keepNext/>
        <w:tabs>
          <w:tab w:val="left" w:pos="900"/>
          <w:tab w:val="left" w:pos="1680"/>
          <w:tab w:val="left" w:pos="5400"/>
        </w:tabs>
        <w:suppressAutoHyphens/>
        <w:ind w:left="450" w:right="381"/>
        <w:rPr>
          <w:i/>
          <w:spacing w:val="-3"/>
          <w:sz w:val="18"/>
          <w:szCs w:val="18"/>
          <w:lang w:val="en-US"/>
        </w:rPr>
      </w:pPr>
      <w:proofErr w:type="gramStart"/>
      <w:r w:rsidRPr="003D4D09">
        <w:rPr>
          <w:i/>
          <w:spacing w:val="-3"/>
          <w:sz w:val="18"/>
          <w:szCs w:val="18"/>
          <w:lang w:val="en-US"/>
        </w:rPr>
        <w:t>a</w:t>
      </w:r>
      <w:proofErr w:type="gramEnd"/>
      <w:r w:rsidRPr="003D4D09">
        <w:rPr>
          <w:i/>
          <w:spacing w:val="-3"/>
          <w:sz w:val="18"/>
          <w:szCs w:val="18"/>
          <w:lang w:val="en-US"/>
        </w:rPr>
        <w:t>.</w:t>
      </w:r>
      <w:r w:rsidRPr="003D4D09">
        <w:rPr>
          <w:i/>
          <w:spacing w:val="-3"/>
          <w:sz w:val="18"/>
          <w:szCs w:val="18"/>
          <w:lang w:val="en-US"/>
        </w:rPr>
        <w:tab/>
        <w:t>that the remedies under domestic law have been pursued and exhausted in accordance with generally recognized principles of international law;</w:t>
      </w:r>
    </w:p>
    <w:p w14:paraId="140DCE20" w14:textId="77777777" w:rsidR="000F66F8" w:rsidRPr="003D4D09" w:rsidRDefault="000F66F8" w:rsidP="000F66F8">
      <w:pPr>
        <w:keepNext/>
        <w:tabs>
          <w:tab w:val="left" w:pos="900"/>
          <w:tab w:val="left" w:pos="1680"/>
          <w:tab w:val="left" w:pos="5400"/>
        </w:tabs>
        <w:suppressAutoHyphens/>
        <w:ind w:left="450" w:right="381"/>
        <w:rPr>
          <w:i/>
          <w:spacing w:val="-3"/>
          <w:sz w:val="16"/>
          <w:szCs w:val="16"/>
          <w:lang w:val="en-US"/>
        </w:rPr>
      </w:pPr>
    </w:p>
    <w:p w14:paraId="70A969C7" w14:textId="77777777" w:rsidR="000F66F8" w:rsidRPr="003D4D09" w:rsidRDefault="000F66F8" w:rsidP="000F66F8">
      <w:pPr>
        <w:keepNext/>
        <w:tabs>
          <w:tab w:val="left" w:pos="900"/>
          <w:tab w:val="left" w:pos="1680"/>
          <w:tab w:val="left" w:pos="5400"/>
        </w:tabs>
        <w:suppressAutoHyphens/>
        <w:ind w:left="450" w:right="381"/>
        <w:rPr>
          <w:i/>
          <w:spacing w:val="-3"/>
          <w:sz w:val="18"/>
          <w:szCs w:val="18"/>
          <w:lang w:val="en-US"/>
        </w:rPr>
      </w:pPr>
      <w:proofErr w:type="gramStart"/>
      <w:r w:rsidRPr="003D4D09">
        <w:rPr>
          <w:i/>
          <w:spacing w:val="-3"/>
          <w:sz w:val="18"/>
          <w:szCs w:val="18"/>
          <w:lang w:val="en-US"/>
        </w:rPr>
        <w:t>b</w:t>
      </w:r>
      <w:proofErr w:type="gramEnd"/>
      <w:r w:rsidRPr="003D4D09">
        <w:rPr>
          <w:i/>
          <w:spacing w:val="-3"/>
          <w:sz w:val="18"/>
          <w:szCs w:val="18"/>
          <w:lang w:val="en-US"/>
        </w:rPr>
        <w:t>.</w:t>
      </w:r>
      <w:r w:rsidRPr="003D4D09">
        <w:rPr>
          <w:i/>
          <w:spacing w:val="-3"/>
          <w:sz w:val="18"/>
          <w:szCs w:val="18"/>
          <w:lang w:val="en-US"/>
        </w:rPr>
        <w:tab/>
        <w:t>that the petition or communication is lodged within a period of six months from the date on which the party alleging violation of his rights was notified of the final judgment;</w:t>
      </w:r>
    </w:p>
    <w:p w14:paraId="2E4BF46D" w14:textId="77777777" w:rsidR="000F66F8" w:rsidRPr="003D4D09" w:rsidRDefault="000F66F8" w:rsidP="000F66F8">
      <w:pPr>
        <w:keepNext/>
        <w:tabs>
          <w:tab w:val="left" w:pos="900"/>
          <w:tab w:val="left" w:pos="1680"/>
          <w:tab w:val="left" w:pos="5400"/>
        </w:tabs>
        <w:suppressAutoHyphens/>
        <w:ind w:left="450" w:right="381"/>
        <w:rPr>
          <w:i/>
          <w:spacing w:val="-3"/>
          <w:sz w:val="16"/>
          <w:szCs w:val="16"/>
          <w:lang w:val="en-US"/>
        </w:rPr>
      </w:pPr>
    </w:p>
    <w:p w14:paraId="32ECBA1D" w14:textId="77777777" w:rsidR="000F66F8" w:rsidRPr="003D4D09" w:rsidRDefault="000F66F8" w:rsidP="000F66F8">
      <w:pPr>
        <w:keepNext/>
        <w:tabs>
          <w:tab w:val="left" w:pos="900"/>
          <w:tab w:val="left" w:pos="1680"/>
          <w:tab w:val="left" w:pos="5400"/>
        </w:tabs>
        <w:suppressAutoHyphens/>
        <w:ind w:left="450" w:right="381"/>
        <w:rPr>
          <w:i/>
          <w:spacing w:val="-3"/>
          <w:sz w:val="18"/>
          <w:szCs w:val="18"/>
          <w:lang w:val="en-US"/>
        </w:rPr>
      </w:pPr>
      <w:proofErr w:type="gramStart"/>
      <w:r w:rsidRPr="003D4D09">
        <w:rPr>
          <w:i/>
          <w:spacing w:val="-3"/>
          <w:sz w:val="18"/>
          <w:szCs w:val="18"/>
          <w:lang w:val="en-US"/>
        </w:rPr>
        <w:t>c</w:t>
      </w:r>
      <w:proofErr w:type="gramEnd"/>
      <w:r w:rsidRPr="003D4D09">
        <w:rPr>
          <w:i/>
          <w:spacing w:val="-3"/>
          <w:sz w:val="18"/>
          <w:szCs w:val="18"/>
          <w:lang w:val="en-US"/>
        </w:rPr>
        <w:t>.</w:t>
      </w:r>
      <w:r w:rsidRPr="003D4D09">
        <w:rPr>
          <w:i/>
          <w:spacing w:val="-3"/>
          <w:sz w:val="18"/>
          <w:szCs w:val="18"/>
          <w:lang w:val="en-US"/>
        </w:rPr>
        <w:tab/>
        <w:t>that the subject of the petition or communication is not pending in another international proceeding for settlement; and</w:t>
      </w:r>
    </w:p>
    <w:p w14:paraId="3EACAD12" w14:textId="77777777" w:rsidR="000F66F8" w:rsidRPr="003D4D09" w:rsidRDefault="000F66F8" w:rsidP="000F66F8">
      <w:pPr>
        <w:keepNext/>
        <w:tabs>
          <w:tab w:val="left" w:pos="900"/>
          <w:tab w:val="left" w:pos="1680"/>
          <w:tab w:val="left" w:pos="5400"/>
        </w:tabs>
        <w:suppressAutoHyphens/>
        <w:ind w:left="450" w:right="381"/>
        <w:rPr>
          <w:i/>
          <w:spacing w:val="-3"/>
          <w:sz w:val="16"/>
          <w:szCs w:val="16"/>
          <w:lang w:val="en-US"/>
        </w:rPr>
      </w:pPr>
    </w:p>
    <w:p w14:paraId="017870C5" w14:textId="77777777" w:rsidR="000F66F8" w:rsidRPr="003D4D09" w:rsidRDefault="000F66F8" w:rsidP="000F66F8">
      <w:pPr>
        <w:keepNext/>
        <w:tabs>
          <w:tab w:val="left" w:pos="900"/>
          <w:tab w:val="left" w:pos="1680"/>
          <w:tab w:val="left" w:pos="5400"/>
        </w:tabs>
        <w:suppressAutoHyphens/>
        <w:ind w:left="450" w:right="381"/>
        <w:rPr>
          <w:i/>
          <w:spacing w:val="-3"/>
          <w:sz w:val="18"/>
          <w:szCs w:val="18"/>
          <w:lang w:val="en-US"/>
        </w:rPr>
      </w:pPr>
      <w:r w:rsidRPr="003D4D09">
        <w:rPr>
          <w:i/>
          <w:spacing w:val="-3"/>
          <w:sz w:val="18"/>
          <w:szCs w:val="18"/>
          <w:lang w:val="en-US"/>
        </w:rPr>
        <w:t>d.</w:t>
      </w:r>
      <w:r w:rsidRPr="003D4D09">
        <w:rPr>
          <w:i/>
          <w:spacing w:val="-3"/>
          <w:sz w:val="18"/>
          <w:szCs w:val="18"/>
          <w:lang w:val="en-US"/>
        </w:rPr>
        <w:tab/>
        <w:t>that, in the case of Article 44, the petition contains the name, nationality, profession, domicile, and signature of the person or persons or of the legal representative of the entity lodging the petition.</w:t>
      </w:r>
    </w:p>
    <w:p w14:paraId="048AF842"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8"/>
          <w:szCs w:val="18"/>
          <w:lang w:val="en-US"/>
        </w:rPr>
      </w:pPr>
    </w:p>
    <w:p w14:paraId="6262A26A"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8"/>
          <w:szCs w:val="18"/>
          <w:lang w:val="en-US"/>
        </w:rPr>
      </w:pPr>
      <w:r w:rsidRPr="003D4D09">
        <w:rPr>
          <w:i/>
          <w:spacing w:val="-3"/>
          <w:sz w:val="18"/>
          <w:szCs w:val="18"/>
          <w:lang w:val="en-US"/>
        </w:rPr>
        <w:t>2.</w:t>
      </w:r>
      <w:r w:rsidRPr="003D4D09">
        <w:rPr>
          <w:i/>
          <w:spacing w:val="-3"/>
          <w:sz w:val="18"/>
          <w:szCs w:val="18"/>
          <w:lang w:val="en-US"/>
        </w:rPr>
        <w:tab/>
        <w:t>The provisions of paragraphs 1.a and 1.b of this article shall not be applicable when:</w:t>
      </w:r>
    </w:p>
    <w:p w14:paraId="7CFDA8D0"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6"/>
          <w:szCs w:val="16"/>
          <w:lang w:val="en-US"/>
        </w:rPr>
      </w:pPr>
    </w:p>
    <w:p w14:paraId="2A42362A" w14:textId="77777777" w:rsidR="000F66F8" w:rsidRPr="003D4D09" w:rsidRDefault="000F66F8" w:rsidP="000F66F8">
      <w:pPr>
        <w:keepNext/>
        <w:tabs>
          <w:tab w:val="left" w:pos="900"/>
          <w:tab w:val="left" w:pos="1080"/>
          <w:tab w:val="left" w:pos="1680"/>
          <w:tab w:val="left" w:pos="5400"/>
        </w:tabs>
        <w:suppressAutoHyphens/>
        <w:ind w:left="450" w:right="381" w:hanging="1080"/>
        <w:rPr>
          <w:i/>
          <w:spacing w:val="-3"/>
          <w:sz w:val="18"/>
          <w:szCs w:val="18"/>
          <w:lang w:val="en-US"/>
        </w:rPr>
      </w:pPr>
      <w:r w:rsidRPr="003D4D09">
        <w:rPr>
          <w:i/>
          <w:spacing w:val="-3"/>
          <w:sz w:val="18"/>
          <w:szCs w:val="18"/>
          <w:lang w:val="en-US"/>
        </w:rPr>
        <w:tab/>
      </w:r>
      <w:proofErr w:type="gramStart"/>
      <w:r w:rsidRPr="003D4D09">
        <w:rPr>
          <w:i/>
          <w:spacing w:val="-3"/>
          <w:sz w:val="18"/>
          <w:szCs w:val="18"/>
          <w:lang w:val="en-US"/>
        </w:rPr>
        <w:t>a</w:t>
      </w:r>
      <w:proofErr w:type="gramEnd"/>
      <w:r w:rsidRPr="003D4D09">
        <w:rPr>
          <w:i/>
          <w:spacing w:val="-3"/>
          <w:sz w:val="18"/>
          <w:szCs w:val="18"/>
          <w:lang w:val="en-US"/>
        </w:rPr>
        <w:t>.</w:t>
      </w:r>
      <w:r w:rsidRPr="003D4D09">
        <w:rPr>
          <w:i/>
          <w:spacing w:val="-3"/>
          <w:sz w:val="18"/>
          <w:szCs w:val="18"/>
          <w:lang w:val="en-US"/>
        </w:rPr>
        <w:tab/>
        <w:t>the domestic legislation of the state concerned does not afford due process of law for the protection of the right or rights that have allegedly been violated;</w:t>
      </w:r>
    </w:p>
    <w:p w14:paraId="4924B3D0"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6"/>
          <w:szCs w:val="16"/>
          <w:lang w:val="en-US"/>
        </w:rPr>
      </w:pPr>
    </w:p>
    <w:p w14:paraId="20130223" w14:textId="77777777" w:rsidR="000F66F8" w:rsidRPr="003D4D09" w:rsidRDefault="000F66F8" w:rsidP="000F66F8">
      <w:pPr>
        <w:keepNext/>
        <w:tabs>
          <w:tab w:val="left" w:pos="900"/>
          <w:tab w:val="left" w:pos="1080"/>
          <w:tab w:val="left" w:pos="1680"/>
          <w:tab w:val="left" w:pos="5400"/>
        </w:tabs>
        <w:suppressAutoHyphens/>
        <w:ind w:left="450" w:right="381" w:hanging="1080"/>
        <w:rPr>
          <w:i/>
          <w:spacing w:val="-3"/>
          <w:sz w:val="18"/>
          <w:szCs w:val="18"/>
          <w:lang w:val="en-US"/>
        </w:rPr>
      </w:pPr>
      <w:r w:rsidRPr="003D4D09">
        <w:rPr>
          <w:i/>
          <w:spacing w:val="-3"/>
          <w:sz w:val="18"/>
          <w:szCs w:val="18"/>
          <w:lang w:val="en-US"/>
        </w:rPr>
        <w:tab/>
      </w:r>
      <w:proofErr w:type="gramStart"/>
      <w:r w:rsidRPr="003D4D09">
        <w:rPr>
          <w:i/>
          <w:spacing w:val="-3"/>
          <w:sz w:val="18"/>
          <w:szCs w:val="18"/>
          <w:lang w:val="en-US"/>
        </w:rPr>
        <w:t>b</w:t>
      </w:r>
      <w:proofErr w:type="gramEnd"/>
      <w:r w:rsidRPr="003D4D09">
        <w:rPr>
          <w:i/>
          <w:spacing w:val="-3"/>
          <w:sz w:val="18"/>
          <w:szCs w:val="18"/>
          <w:lang w:val="en-US"/>
        </w:rPr>
        <w:t>.</w:t>
      </w:r>
      <w:r w:rsidRPr="003D4D09">
        <w:rPr>
          <w:i/>
          <w:spacing w:val="-3"/>
          <w:sz w:val="18"/>
          <w:szCs w:val="18"/>
          <w:lang w:val="en-US"/>
        </w:rPr>
        <w:tab/>
        <w:t>the party alleging violation of his rights has been denied access to the remedies under domestic law or has been prevented from exhausting them; or</w:t>
      </w:r>
    </w:p>
    <w:p w14:paraId="1445CECF" w14:textId="77777777" w:rsidR="000F66F8" w:rsidRPr="003D4D09" w:rsidRDefault="000F66F8" w:rsidP="000F66F8">
      <w:pPr>
        <w:keepNext/>
        <w:tabs>
          <w:tab w:val="left" w:pos="900"/>
          <w:tab w:val="left" w:pos="1080"/>
          <w:tab w:val="left" w:pos="1680"/>
          <w:tab w:val="left" w:pos="5400"/>
        </w:tabs>
        <w:suppressAutoHyphens/>
        <w:ind w:left="450" w:right="381"/>
        <w:rPr>
          <w:i/>
          <w:spacing w:val="-3"/>
          <w:sz w:val="16"/>
          <w:szCs w:val="16"/>
          <w:lang w:val="en-US"/>
        </w:rPr>
      </w:pPr>
    </w:p>
    <w:p w14:paraId="551BA9B9" w14:textId="77777777" w:rsidR="000F66F8" w:rsidRPr="003D4D09" w:rsidRDefault="000F66F8" w:rsidP="000F66F8">
      <w:pPr>
        <w:keepNext/>
        <w:tabs>
          <w:tab w:val="left" w:pos="900"/>
          <w:tab w:val="left" w:pos="1080"/>
          <w:tab w:val="left" w:pos="1680"/>
          <w:tab w:val="left" w:pos="5400"/>
        </w:tabs>
        <w:suppressAutoHyphens/>
        <w:ind w:left="450" w:right="381" w:hanging="1080"/>
        <w:rPr>
          <w:i/>
          <w:spacing w:val="-3"/>
          <w:sz w:val="18"/>
          <w:szCs w:val="18"/>
          <w:lang w:val="en-US"/>
        </w:rPr>
      </w:pPr>
      <w:r w:rsidRPr="003D4D09">
        <w:rPr>
          <w:i/>
          <w:spacing w:val="-3"/>
          <w:sz w:val="18"/>
          <w:szCs w:val="18"/>
          <w:lang w:val="en-US"/>
        </w:rPr>
        <w:tab/>
      </w:r>
      <w:proofErr w:type="gramStart"/>
      <w:r w:rsidRPr="003D4D09">
        <w:rPr>
          <w:i/>
          <w:spacing w:val="-3"/>
          <w:sz w:val="18"/>
          <w:szCs w:val="18"/>
          <w:lang w:val="en-US"/>
        </w:rPr>
        <w:t>c</w:t>
      </w:r>
      <w:proofErr w:type="gramEnd"/>
      <w:r w:rsidRPr="003D4D09">
        <w:rPr>
          <w:i/>
          <w:spacing w:val="-3"/>
          <w:sz w:val="18"/>
          <w:szCs w:val="18"/>
          <w:lang w:val="en-US"/>
        </w:rPr>
        <w:t>.</w:t>
      </w:r>
      <w:r w:rsidRPr="003D4D09">
        <w:rPr>
          <w:i/>
          <w:spacing w:val="-3"/>
          <w:sz w:val="18"/>
          <w:szCs w:val="18"/>
          <w:lang w:val="en-US"/>
        </w:rPr>
        <w:tab/>
        <w:t>there has been unwarranted delay in rendering a final judgment under the aforementioned remedies.”</w:t>
      </w:r>
    </w:p>
    <w:p w14:paraId="214B05D6"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562B9E3C"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As a preliminary observation, it should be noted that this provision is </w:t>
      </w:r>
      <w:r w:rsidRPr="003D4D09">
        <w:rPr>
          <w:rFonts w:ascii="Verdana" w:hAnsi="Verdana" w:cs="Calibri"/>
          <w:i/>
          <w:sz w:val="20"/>
          <w:szCs w:val="20"/>
          <w:shd w:val="clear" w:color="auto" w:fill="FFFFFF"/>
          <w:lang w:val="en-US"/>
        </w:rPr>
        <w:t xml:space="preserve">sui </w:t>
      </w:r>
      <w:r w:rsidRPr="003D4D09">
        <w:rPr>
          <w:rFonts w:ascii="Verdana" w:hAnsi="Verdana" w:cs="Calibri"/>
          <w:bCs/>
          <w:i/>
          <w:iCs/>
          <w:sz w:val="20"/>
          <w:szCs w:val="20"/>
          <w:shd w:val="clear" w:color="auto" w:fill="FFFFFF"/>
          <w:lang w:val="en-US"/>
        </w:rPr>
        <w:t>generis</w:t>
      </w:r>
      <w:r w:rsidRPr="003D4D09">
        <w:rPr>
          <w:rFonts w:ascii="Verdana" w:hAnsi="Verdana" w:cs="Calibri"/>
          <w:i/>
          <w:sz w:val="20"/>
          <w:szCs w:val="20"/>
          <w:lang w:val="en-US"/>
        </w:rPr>
        <w:t xml:space="preserve">, </w:t>
      </w:r>
      <w:r w:rsidRPr="003D4D09">
        <w:rPr>
          <w:rFonts w:ascii="Verdana" w:hAnsi="Verdana" w:cs="Calibri"/>
          <w:sz w:val="20"/>
          <w:szCs w:val="20"/>
          <w:lang w:val="en-US"/>
        </w:rPr>
        <w:t xml:space="preserve">exclusive to the Convention. </w:t>
      </w:r>
      <w:r>
        <w:rPr>
          <w:rFonts w:ascii="Verdana" w:hAnsi="Verdana" w:cs="Calibri"/>
          <w:sz w:val="20"/>
          <w:szCs w:val="20"/>
          <w:lang w:val="en-US"/>
        </w:rPr>
        <w:t>F</w:t>
      </w:r>
      <w:r w:rsidRPr="003D4D09">
        <w:rPr>
          <w:rFonts w:ascii="Verdana" w:hAnsi="Verdana" w:cs="Calibri"/>
          <w:sz w:val="20"/>
          <w:szCs w:val="20"/>
          <w:lang w:val="en-US"/>
        </w:rPr>
        <w:t>or example, it does not appear in the same terms in the Convention for the Protection of Human Rights and Fundamental Freedoms or European Convention on Human Rights,</w:t>
      </w:r>
      <w:r w:rsidRPr="003D4D09">
        <w:rPr>
          <w:rStyle w:val="FootnoteReference"/>
          <w:rFonts w:ascii="Verdana" w:hAnsi="Verdana" w:cs="Calibri"/>
          <w:sz w:val="20"/>
          <w:szCs w:val="20"/>
          <w:lang w:val="en-US"/>
        </w:rPr>
        <w:footnoteReference w:id="413"/>
      </w:r>
      <w:r w:rsidRPr="003D4D09">
        <w:rPr>
          <w:rFonts w:ascii="Verdana" w:hAnsi="Verdana" w:cs="Calibri"/>
          <w:sz w:val="20"/>
          <w:szCs w:val="20"/>
          <w:lang w:val="en-US"/>
        </w:rPr>
        <w:t xml:space="preserve"> Article 35 of which refers to the requirement of prior exhaustion of domestic remedies more generally and, also, does not include the </w:t>
      </w:r>
      <w:r>
        <w:rPr>
          <w:rFonts w:ascii="Verdana" w:hAnsi="Verdana" w:cs="Calibri"/>
          <w:sz w:val="20"/>
          <w:szCs w:val="20"/>
          <w:lang w:val="en-US"/>
        </w:rPr>
        <w:t>specific</w:t>
      </w:r>
      <w:r w:rsidRPr="003D4D09">
        <w:rPr>
          <w:rFonts w:ascii="Verdana" w:hAnsi="Verdana" w:cs="Calibri"/>
          <w:sz w:val="20"/>
          <w:szCs w:val="20"/>
          <w:lang w:val="en-US"/>
        </w:rPr>
        <w:t xml:space="preserve"> exceptions established in Article 46(2) of the</w:t>
      </w:r>
      <w:r>
        <w:rPr>
          <w:rFonts w:ascii="Verdana" w:hAnsi="Verdana" w:cs="Calibri"/>
          <w:sz w:val="20"/>
          <w:szCs w:val="20"/>
          <w:lang w:val="en-US"/>
        </w:rPr>
        <w:t xml:space="preserve"> American </w:t>
      </w:r>
      <w:r w:rsidRPr="003D4D09">
        <w:rPr>
          <w:rFonts w:ascii="Verdana" w:hAnsi="Verdana" w:cs="Calibri"/>
          <w:sz w:val="20"/>
          <w:szCs w:val="20"/>
          <w:lang w:val="en-US"/>
        </w:rPr>
        <w:t>Convention.</w:t>
      </w:r>
      <w:r w:rsidRPr="003D4D09">
        <w:rPr>
          <w:rStyle w:val="FootnoteReference"/>
          <w:rFonts w:ascii="Verdana" w:hAnsi="Verdana" w:cs="Calibri"/>
          <w:sz w:val="20"/>
          <w:szCs w:val="20"/>
          <w:lang w:val="en-US"/>
        </w:rPr>
        <w:footnoteReference w:id="414"/>
      </w:r>
    </w:p>
    <w:p w14:paraId="6262462D"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 </w:t>
      </w:r>
    </w:p>
    <w:p w14:paraId="6F2B1924"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Furthermore, it should also be emphasized that the </w:t>
      </w:r>
      <w:r>
        <w:rPr>
          <w:rFonts w:ascii="Verdana" w:hAnsi="Verdana" w:cs="Calibri"/>
          <w:sz w:val="20"/>
          <w:szCs w:val="20"/>
          <w:lang w:val="en-US"/>
        </w:rPr>
        <w:t>European</w:t>
      </w:r>
      <w:r w:rsidRPr="003D4D09">
        <w:rPr>
          <w:rFonts w:ascii="Verdana" w:hAnsi="Verdana" w:cs="Calibri"/>
          <w:sz w:val="20"/>
          <w:szCs w:val="20"/>
          <w:lang w:val="en-US"/>
        </w:rPr>
        <w:t xml:space="preserve"> Convention establishes that this requirement must be </w:t>
      </w:r>
      <w:r>
        <w:rPr>
          <w:rFonts w:ascii="Verdana" w:hAnsi="Verdana" w:cs="Calibri"/>
          <w:sz w:val="20"/>
          <w:szCs w:val="20"/>
          <w:lang w:val="en-US"/>
        </w:rPr>
        <w:t>met</w:t>
      </w:r>
      <w:r w:rsidRPr="003D4D09">
        <w:rPr>
          <w:rFonts w:ascii="Verdana" w:hAnsi="Verdana" w:cs="Calibri"/>
          <w:sz w:val="20"/>
          <w:szCs w:val="20"/>
          <w:lang w:val="en-US"/>
        </w:rPr>
        <w:t xml:space="preserve"> prior to litigating before the European Court of Human Rights – a judicial body – while, in the case of the </w:t>
      </w:r>
      <w:r>
        <w:rPr>
          <w:rFonts w:ascii="Verdana" w:hAnsi="Verdana" w:cs="Calibri"/>
          <w:sz w:val="20"/>
          <w:szCs w:val="20"/>
          <w:lang w:val="en-US"/>
        </w:rPr>
        <w:t xml:space="preserve">American </w:t>
      </w:r>
      <w:r w:rsidRPr="003D4D09">
        <w:rPr>
          <w:rFonts w:ascii="Verdana" w:hAnsi="Verdana" w:cs="Calibri"/>
          <w:sz w:val="20"/>
          <w:szCs w:val="20"/>
          <w:lang w:val="en-US"/>
        </w:rPr>
        <w:t xml:space="preserve">Convention, it must </w:t>
      </w:r>
      <w:r w:rsidRPr="003D4D09">
        <w:rPr>
          <w:rFonts w:ascii="Verdana" w:hAnsi="Verdana" w:cs="Calibri"/>
          <w:sz w:val="20"/>
          <w:szCs w:val="20"/>
          <w:lang w:val="en-US"/>
        </w:rPr>
        <w:lastRenderedPageBreak/>
        <w:t xml:space="preserve">be </w:t>
      </w:r>
      <w:r>
        <w:rPr>
          <w:rFonts w:ascii="Verdana" w:hAnsi="Verdana" w:cs="Calibri"/>
          <w:sz w:val="20"/>
          <w:szCs w:val="20"/>
          <w:lang w:val="en-US"/>
        </w:rPr>
        <w:t>met</w:t>
      </w:r>
      <w:r w:rsidRPr="003D4D09">
        <w:rPr>
          <w:rFonts w:ascii="Verdana" w:hAnsi="Verdana" w:cs="Calibri"/>
          <w:sz w:val="20"/>
          <w:szCs w:val="20"/>
          <w:lang w:val="en-US"/>
        </w:rPr>
        <w:t xml:space="preserve"> </w:t>
      </w:r>
      <w:r>
        <w:rPr>
          <w:rFonts w:ascii="Verdana" w:hAnsi="Verdana" w:cs="Calibri"/>
          <w:sz w:val="20"/>
          <w:szCs w:val="20"/>
          <w:lang w:val="en-US"/>
        </w:rPr>
        <w:t>prior to</w:t>
      </w:r>
      <w:r w:rsidRPr="003D4D09">
        <w:rPr>
          <w:rFonts w:ascii="Verdana" w:hAnsi="Verdana" w:cs="Calibri"/>
          <w:sz w:val="20"/>
          <w:szCs w:val="20"/>
          <w:lang w:val="en-US"/>
        </w:rPr>
        <w:t xml:space="preserve"> lodging the petition before the Commission – a non-judicial body it should be noted. And this is relevant insofar as </w:t>
      </w:r>
      <w:r w:rsidRPr="003D4D09">
        <w:rPr>
          <w:rFonts w:ascii="Verdana" w:hAnsi="Verdana" w:cs="Calibri"/>
          <w:i/>
          <w:sz w:val="20"/>
          <w:szCs w:val="20"/>
          <w:lang w:val="en-US"/>
        </w:rPr>
        <w:t xml:space="preserve">“[t]he </w:t>
      </w:r>
      <w:r w:rsidRPr="003D4D09">
        <w:rPr>
          <w:rFonts w:ascii="Verdana" w:hAnsi="Verdana"/>
          <w:i/>
          <w:spacing w:val="-3"/>
          <w:sz w:val="20"/>
          <w:szCs w:val="20"/>
          <w:lang w:val="en-US"/>
        </w:rPr>
        <w:t>main function</w:t>
      </w:r>
      <w:r w:rsidRPr="003D4D09">
        <w:rPr>
          <w:rFonts w:ascii="Verdana" w:hAnsi="Verdana"/>
          <w:spacing w:val="-3"/>
          <w:sz w:val="20"/>
          <w:szCs w:val="20"/>
          <w:lang w:val="en-US"/>
        </w:rPr>
        <w:t xml:space="preserve"> </w:t>
      </w:r>
      <w:r w:rsidRPr="003D4D09">
        <w:rPr>
          <w:rFonts w:ascii="Verdana" w:hAnsi="Verdana" w:cs="Calibri"/>
          <w:i/>
          <w:sz w:val="20"/>
          <w:szCs w:val="20"/>
          <w:lang w:val="en-US"/>
        </w:rPr>
        <w:t xml:space="preserve">of the Commission </w:t>
      </w:r>
      <w:r w:rsidRPr="003D4D09">
        <w:rPr>
          <w:rFonts w:ascii="Verdana" w:hAnsi="Verdana"/>
          <w:i/>
          <w:spacing w:val="-3"/>
          <w:sz w:val="20"/>
          <w:szCs w:val="20"/>
          <w:lang w:val="en-US"/>
        </w:rPr>
        <w:t>shall be to promote respect for and defense of human rights</w:t>
      </w:r>
      <w:r w:rsidRPr="003D4D09">
        <w:rPr>
          <w:rFonts w:ascii="Verdana" w:hAnsi="Verdana" w:cs="Calibri"/>
          <w:i/>
          <w:sz w:val="20"/>
          <w:szCs w:val="20"/>
          <w:lang w:val="en-US"/>
        </w:rPr>
        <w:t>”</w:t>
      </w:r>
      <w:r w:rsidRPr="003D4D09">
        <w:rPr>
          <w:rStyle w:val="FootnoteReference"/>
          <w:rFonts w:ascii="Verdana" w:hAnsi="Verdana" w:cs="Calibri"/>
          <w:sz w:val="20"/>
          <w:szCs w:val="20"/>
          <w:lang w:val="en-US"/>
        </w:rPr>
        <w:footnoteReference w:id="415"/>
      </w:r>
      <w:r w:rsidRPr="003D4D09">
        <w:rPr>
          <w:rFonts w:ascii="Verdana" w:hAnsi="Verdana" w:cs="Calibri"/>
          <w:i/>
          <w:sz w:val="20"/>
          <w:szCs w:val="20"/>
          <w:lang w:val="en-US"/>
        </w:rPr>
        <w:t xml:space="preserve"> </w:t>
      </w:r>
      <w:r w:rsidRPr="003D4D09">
        <w:rPr>
          <w:rStyle w:val="apple-converted-space"/>
          <w:rFonts w:ascii="Verdana" w:hAnsi="Verdana" w:cs="Calibri"/>
          <w:sz w:val="20"/>
          <w:szCs w:val="20"/>
          <w:lang w:val="en-US"/>
        </w:rPr>
        <w:t xml:space="preserve">and, in exercise of this function, </w:t>
      </w:r>
      <w:r w:rsidRPr="003D4D09">
        <w:rPr>
          <w:rStyle w:val="apple-converted-space"/>
          <w:rFonts w:ascii="Verdana" w:hAnsi="Verdana" w:cs="Calibri"/>
          <w:i/>
          <w:sz w:val="20"/>
          <w:szCs w:val="20"/>
          <w:lang w:val="en-US"/>
        </w:rPr>
        <w:t>“</w:t>
      </w:r>
      <w:r w:rsidRPr="003D4D09">
        <w:rPr>
          <w:rFonts w:ascii="Verdana" w:hAnsi="Verdana"/>
          <w:i/>
          <w:spacing w:val="-3"/>
          <w:sz w:val="20"/>
          <w:szCs w:val="20"/>
          <w:lang w:val="en-US"/>
        </w:rPr>
        <w:t>to take action on petitions and other communications pursuant to its authority under the provisions of Articles 44 through 51 of this Convention</w:t>
      </w:r>
      <w:r w:rsidRPr="003D4D09">
        <w:rPr>
          <w:rFonts w:ascii="Verdana" w:hAnsi="Verdana" w:cs="Calibri"/>
          <w:i/>
          <w:sz w:val="20"/>
          <w:szCs w:val="20"/>
          <w:lang w:val="en-US"/>
        </w:rPr>
        <w:t>,</w:t>
      </w:r>
      <w:r w:rsidRPr="003D4D09">
        <w:rPr>
          <w:rFonts w:ascii="Verdana" w:hAnsi="Verdana" w:cs="Calibri"/>
          <w:sz w:val="20"/>
          <w:szCs w:val="20"/>
          <w:lang w:val="en-US"/>
        </w:rPr>
        <w:t>”</w:t>
      </w:r>
      <w:r w:rsidRPr="003D4D09">
        <w:rPr>
          <w:rStyle w:val="FootnoteReference"/>
          <w:rFonts w:ascii="Verdana" w:hAnsi="Verdana" w:cs="Calibri"/>
          <w:sz w:val="20"/>
          <w:szCs w:val="20"/>
          <w:lang w:val="en-US"/>
        </w:rPr>
        <w:footnoteReference w:id="416"/>
      </w:r>
      <w:r w:rsidRPr="003D4D09">
        <w:rPr>
          <w:rFonts w:ascii="Verdana" w:hAnsi="Verdana" w:cs="Calibri"/>
          <w:sz w:val="20"/>
          <w:szCs w:val="20"/>
          <w:lang w:val="en-US"/>
        </w:rPr>
        <w:t xml:space="preserve"> </w:t>
      </w:r>
      <w:r>
        <w:rPr>
          <w:rFonts w:ascii="Verdana" w:hAnsi="Verdana" w:cs="Calibri"/>
          <w:sz w:val="20"/>
          <w:szCs w:val="20"/>
          <w:lang w:val="en-US"/>
        </w:rPr>
        <w:t>including</w:t>
      </w:r>
      <w:r w:rsidRPr="003D4D09">
        <w:rPr>
          <w:rFonts w:ascii="Verdana" w:hAnsi="Verdana" w:cs="Calibri"/>
          <w:sz w:val="20"/>
          <w:szCs w:val="20"/>
          <w:lang w:val="en-US"/>
        </w:rPr>
        <w:t xml:space="preserve"> submission of the respective case to the Court.</w:t>
      </w:r>
      <w:r w:rsidRPr="003D4D09">
        <w:rPr>
          <w:rStyle w:val="FootnoteReference"/>
          <w:rFonts w:ascii="Verdana" w:hAnsi="Verdana" w:cs="Calibri"/>
          <w:sz w:val="20"/>
          <w:szCs w:val="20"/>
          <w:lang w:val="en-US"/>
        </w:rPr>
        <w:footnoteReference w:id="417"/>
      </w:r>
    </w:p>
    <w:p w14:paraId="63707063"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6B947EF9"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Thus, the Commission should promote and defend human rights and can even act as a plaintiff before the Court and, accordingly, does not </w:t>
      </w:r>
      <w:r w:rsidRPr="00531DC7">
        <w:rPr>
          <w:rFonts w:ascii="Verdana" w:hAnsi="Verdana" w:cs="Calibri"/>
          <w:sz w:val="20"/>
          <w:szCs w:val="20"/>
          <w:lang w:val="en-US"/>
        </w:rPr>
        <w:t>necessarily share the</w:t>
      </w:r>
      <w:r w:rsidRPr="003D4D09">
        <w:rPr>
          <w:rFonts w:ascii="Verdana" w:hAnsi="Verdana" w:cs="Calibri"/>
          <w:sz w:val="20"/>
          <w:szCs w:val="20"/>
          <w:lang w:val="en-US"/>
        </w:rPr>
        <w:t xml:space="preserve"> impartiality that </w:t>
      </w:r>
      <w:r>
        <w:rPr>
          <w:rFonts w:ascii="Verdana" w:hAnsi="Verdana" w:cs="Calibri"/>
          <w:sz w:val="20"/>
          <w:szCs w:val="20"/>
          <w:lang w:val="en-US"/>
        </w:rPr>
        <w:t>must</w:t>
      </w:r>
      <w:r w:rsidRPr="003D4D09">
        <w:rPr>
          <w:rFonts w:ascii="Verdana" w:hAnsi="Verdana" w:cs="Calibri"/>
          <w:sz w:val="20"/>
          <w:szCs w:val="20"/>
          <w:lang w:val="en-US"/>
        </w:rPr>
        <w:t xml:space="preserve"> characterize a judicial body. </w:t>
      </w:r>
      <w:r>
        <w:rPr>
          <w:rFonts w:ascii="Verdana" w:hAnsi="Verdana" w:cs="Calibri"/>
          <w:sz w:val="20"/>
          <w:szCs w:val="20"/>
          <w:lang w:val="en-US"/>
        </w:rPr>
        <w:t>Consequently</w:t>
      </w:r>
      <w:r w:rsidRPr="003D4D09">
        <w:rPr>
          <w:rFonts w:ascii="Verdana" w:hAnsi="Verdana" w:cs="Calibri"/>
          <w:sz w:val="20"/>
          <w:szCs w:val="20"/>
          <w:lang w:val="en-US"/>
        </w:rPr>
        <w:t>, Article 46(1</w:t>
      </w:r>
      <w:proofErr w:type="gramStart"/>
      <w:r w:rsidRPr="003D4D09">
        <w:rPr>
          <w:rFonts w:ascii="Verdana" w:hAnsi="Verdana" w:cs="Calibri"/>
          <w:sz w:val="20"/>
          <w:szCs w:val="20"/>
          <w:lang w:val="en-US"/>
        </w:rPr>
        <w:t>)(</w:t>
      </w:r>
      <w:proofErr w:type="gramEnd"/>
      <w:r w:rsidRPr="003D4D09">
        <w:rPr>
          <w:rFonts w:ascii="Verdana" w:hAnsi="Verdana" w:cs="Calibri"/>
          <w:sz w:val="20"/>
          <w:szCs w:val="20"/>
          <w:lang w:val="en-US"/>
        </w:rPr>
        <w:t>a) of the Convention is also conceived as a limit to the actions of the</w:t>
      </w:r>
      <w:r>
        <w:rPr>
          <w:rFonts w:ascii="Verdana" w:hAnsi="Verdana" w:cs="Calibri"/>
          <w:sz w:val="20"/>
          <w:szCs w:val="20"/>
          <w:lang w:val="en-US"/>
        </w:rPr>
        <w:t xml:space="preserve"> Commission</w:t>
      </w:r>
      <w:r w:rsidRPr="003D4D09">
        <w:rPr>
          <w:rFonts w:ascii="Verdana" w:hAnsi="Verdana" w:cs="Calibri"/>
          <w:sz w:val="20"/>
          <w:szCs w:val="20"/>
          <w:lang w:val="en-US"/>
        </w:rPr>
        <w:t xml:space="preserve"> which may become a party in the consequent litigation that </w:t>
      </w:r>
      <w:r>
        <w:rPr>
          <w:rFonts w:ascii="Verdana" w:hAnsi="Verdana" w:cs="Calibri"/>
          <w:sz w:val="20"/>
          <w:szCs w:val="20"/>
          <w:lang w:val="en-US"/>
        </w:rPr>
        <w:t>this</w:t>
      </w:r>
      <w:r w:rsidRPr="003D4D09">
        <w:rPr>
          <w:rFonts w:ascii="Verdana" w:hAnsi="Verdana" w:cs="Calibri"/>
          <w:sz w:val="20"/>
          <w:szCs w:val="20"/>
          <w:lang w:val="en-US"/>
        </w:rPr>
        <w:t xml:space="preserve"> non-judicial body</w:t>
      </w:r>
      <w:r>
        <w:rPr>
          <w:rFonts w:ascii="Verdana" w:hAnsi="Verdana" w:cs="Calibri"/>
          <w:sz w:val="20"/>
          <w:szCs w:val="20"/>
          <w:lang w:val="en-US"/>
        </w:rPr>
        <w:t xml:space="preserve"> has itself </w:t>
      </w:r>
      <w:r w:rsidRPr="003D4D09">
        <w:rPr>
          <w:rFonts w:ascii="Verdana" w:hAnsi="Verdana" w:cs="Calibri"/>
          <w:sz w:val="20"/>
          <w:szCs w:val="20"/>
          <w:lang w:val="en-US"/>
        </w:rPr>
        <w:t>originated. Hence, the intention of this provision is to prevent the Commission</w:t>
      </w:r>
      <w:r>
        <w:rPr>
          <w:rFonts w:ascii="Verdana" w:hAnsi="Verdana" w:cs="Calibri"/>
          <w:sz w:val="20"/>
          <w:szCs w:val="20"/>
          <w:lang w:val="en-US"/>
        </w:rPr>
        <w:t xml:space="preserve"> from</w:t>
      </w:r>
      <w:r w:rsidRPr="003D4D09">
        <w:rPr>
          <w:rFonts w:ascii="Verdana" w:hAnsi="Verdana" w:cs="Calibri"/>
          <w:sz w:val="20"/>
          <w:szCs w:val="20"/>
          <w:lang w:val="en-US"/>
        </w:rPr>
        <w:t xml:space="preserve"> acting before the requirement or rule that it establishes has been duly complied with</w:t>
      </w:r>
      <w:r>
        <w:rPr>
          <w:rFonts w:ascii="Verdana" w:hAnsi="Verdana" w:cs="Calibri"/>
          <w:sz w:val="20"/>
          <w:szCs w:val="20"/>
          <w:lang w:val="en-US"/>
        </w:rPr>
        <w:t xml:space="preserve"> in a timely manner</w:t>
      </w:r>
      <w:r w:rsidRPr="003D4D09">
        <w:rPr>
          <w:rFonts w:ascii="Verdana" w:hAnsi="Verdana" w:cs="Calibri"/>
          <w:sz w:val="20"/>
          <w:szCs w:val="20"/>
          <w:lang w:val="en-US"/>
        </w:rPr>
        <w:t xml:space="preserve">; in other words, </w:t>
      </w:r>
      <w:r>
        <w:rPr>
          <w:rFonts w:ascii="Verdana" w:hAnsi="Verdana" w:cs="Calibri"/>
          <w:sz w:val="20"/>
          <w:szCs w:val="20"/>
          <w:lang w:val="en-US"/>
        </w:rPr>
        <w:t>from proceeding</w:t>
      </w:r>
      <w:r w:rsidRPr="003D4D09">
        <w:rPr>
          <w:rFonts w:ascii="Verdana" w:hAnsi="Verdana" w:cs="Calibri"/>
          <w:sz w:val="20"/>
          <w:szCs w:val="20"/>
          <w:lang w:val="en-US"/>
        </w:rPr>
        <w:t xml:space="preserve"> with the matter even though the domestic remedies have not been exhausted.</w:t>
      </w:r>
    </w:p>
    <w:p w14:paraId="3AD7FDB5" w14:textId="77777777" w:rsidR="000F66F8" w:rsidRPr="003D4D09" w:rsidRDefault="000F66F8" w:rsidP="000F66F8">
      <w:pPr>
        <w:keepNext/>
        <w:rPr>
          <w:rFonts w:cs="Calibri"/>
          <w:szCs w:val="20"/>
          <w:lang w:val="en-US"/>
        </w:rPr>
      </w:pPr>
    </w:p>
    <w:p w14:paraId="0B2CEE23" w14:textId="77777777" w:rsidR="000F66F8" w:rsidRPr="003D4D09" w:rsidRDefault="000F66F8" w:rsidP="000F66F8">
      <w:pPr>
        <w:keepNext/>
        <w:rPr>
          <w:rFonts w:cs="Calibri"/>
          <w:szCs w:val="20"/>
          <w:lang w:val="en-US"/>
        </w:rPr>
      </w:pPr>
      <w:r w:rsidRPr="003D4D09">
        <w:rPr>
          <w:rFonts w:cs="Calibri"/>
          <w:szCs w:val="20"/>
          <w:lang w:val="en-US"/>
        </w:rPr>
        <w:t>And it is in the same spirit that the said Article 46(2) of the Convention specifically establishes the cases in which the rule of prior exhaustion of domestic remedie</w:t>
      </w:r>
      <w:r>
        <w:rPr>
          <w:rFonts w:cs="Calibri"/>
          <w:szCs w:val="20"/>
          <w:lang w:val="en-US"/>
        </w:rPr>
        <w:t>s is not applicable; namely,</w:t>
      </w:r>
      <w:r w:rsidRPr="003D4D09">
        <w:rPr>
          <w:rFonts w:cs="Calibri"/>
          <w:szCs w:val="20"/>
          <w:lang w:val="en-US"/>
        </w:rPr>
        <w:t xml:space="preserve"> inexistence of due process of law to exe</w:t>
      </w:r>
      <w:r>
        <w:rPr>
          <w:rFonts w:cs="Calibri"/>
          <w:szCs w:val="20"/>
          <w:lang w:val="en-US"/>
        </w:rPr>
        <w:t>rcise the domestic remedies,</w:t>
      </w:r>
      <w:r w:rsidRPr="003D4D09">
        <w:rPr>
          <w:rFonts w:cs="Calibri"/>
          <w:szCs w:val="20"/>
          <w:lang w:val="en-US"/>
        </w:rPr>
        <w:t xml:space="preserve"> impossibil</w:t>
      </w:r>
      <w:r>
        <w:rPr>
          <w:rFonts w:cs="Calibri"/>
          <w:szCs w:val="20"/>
          <w:lang w:val="en-US"/>
        </w:rPr>
        <w:t xml:space="preserve">ity of exercising them, and </w:t>
      </w:r>
      <w:r w:rsidRPr="003D4D09">
        <w:rPr>
          <w:rFonts w:cs="Calibri"/>
          <w:szCs w:val="20"/>
          <w:lang w:val="en-US"/>
        </w:rPr>
        <w:t xml:space="preserve">delay in deciding them. Thus, this norm does not establish </w:t>
      </w:r>
      <w:r>
        <w:rPr>
          <w:rFonts w:cs="Calibri"/>
          <w:szCs w:val="20"/>
          <w:lang w:val="en-US"/>
        </w:rPr>
        <w:t>any other exceptions than those indicated; therefore,</w:t>
      </w:r>
      <w:r w:rsidRPr="003D4D09">
        <w:rPr>
          <w:rFonts w:cs="Calibri"/>
          <w:szCs w:val="20"/>
          <w:lang w:val="en-US"/>
        </w:rPr>
        <w:t xml:space="preserve"> it is not admissible to cite</w:t>
      </w:r>
      <w:r>
        <w:rPr>
          <w:rFonts w:cs="Calibri"/>
          <w:szCs w:val="20"/>
          <w:lang w:val="en-US"/>
        </w:rPr>
        <w:t>,</w:t>
      </w:r>
      <w:r w:rsidRPr="003D4D09">
        <w:rPr>
          <w:rFonts w:cs="Calibri"/>
          <w:szCs w:val="20"/>
          <w:lang w:val="en-US"/>
        </w:rPr>
        <w:t xml:space="preserve"> or even admit</w:t>
      </w:r>
      <w:r>
        <w:rPr>
          <w:rFonts w:cs="Calibri"/>
          <w:szCs w:val="20"/>
          <w:lang w:val="en-US"/>
        </w:rPr>
        <w:t>,</w:t>
      </w:r>
      <w:r w:rsidRPr="003D4D09">
        <w:rPr>
          <w:rFonts w:cs="Calibri"/>
          <w:szCs w:val="20"/>
          <w:lang w:val="en-US"/>
        </w:rPr>
        <w:t xml:space="preserve"> an exception that is not established in the said article, because, if it were, this could </w:t>
      </w:r>
      <w:r>
        <w:rPr>
          <w:rFonts w:cs="Calibri"/>
          <w:szCs w:val="20"/>
          <w:lang w:val="en-US"/>
        </w:rPr>
        <w:t>strip</w:t>
      </w:r>
      <w:r w:rsidRPr="003D4D09">
        <w:rPr>
          <w:rFonts w:cs="Calibri"/>
          <w:szCs w:val="20"/>
          <w:lang w:val="en-US"/>
        </w:rPr>
        <w:t xml:space="preserve"> the general rule established in Article 46(1</w:t>
      </w:r>
      <w:proofErr w:type="gramStart"/>
      <w:r w:rsidRPr="003D4D09">
        <w:rPr>
          <w:rFonts w:cs="Calibri"/>
          <w:szCs w:val="20"/>
          <w:lang w:val="en-US"/>
        </w:rPr>
        <w:t>)(</w:t>
      </w:r>
      <w:proofErr w:type="gramEnd"/>
      <w:r w:rsidRPr="003D4D09">
        <w:rPr>
          <w:rFonts w:cs="Calibri"/>
          <w:szCs w:val="20"/>
          <w:lang w:val="en-US"/>
        </w:rPr>
        <w:t xml:space="preserve">a) of the Convention of any meaning or practical effects and, above all, it would leave its application to the discretion and, perhaps, </w:t>
      </w:r>
      <w:r w:rsidRPr="00531DC7">
        <w:rPr>
          <w:rFonts w:cs="Calibri"/>
          <w:szCs w:val="20"/>
          <w:lang w:val="en-US"/>
        </w:rPr>
        <w:t>the arbitrariness of the</w:t>
      </w:r>
      <w:r w:rsidRPr="003D4D09">
        <w:rPr>
          <w:rFonts w:cs="Calibri"/>
          <w:szCs w:val="20"/>
          <w:lang w:val="en-US"/>
        </w:rPr>
        <w:t xml:space="preserve"> Commission.</w:t>
      </w:r>
    </w:p>
    <w:p w14:paraId="55B85EF9"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1D206162"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As a second general comment, it is worth calling attention to the reference made in Article 46(1</w:t>
      </w:r>
      <w:proofErr w:type="gramStart"/>
      <w:r w:rsidRPr="003D4D09">
        <w:rPr>
          <w:rFonts w:ascii="Verdana" w:hAnsi="Verdana" w:cs="Calibri"/>
          <w:sz w:val="20"/>
          <w:szCs w:val="20"/>
          <w:lang w:val="en-US"/>
        </w:rPr>
        <w:t>)(</w:t>
      </w:r>
      <w:proofErr w:type="gramEnd"/>
      <w:r w:rsidRPr="003D4D09">
        <w:rPr>
          <w:rFonts w:ascii="Verdana" w:hAnsi="Verdana" w:cs="Calibri"/>
          <w:sz w:val="20"/>
          <w:szCs w:val="20"/>
          <w:lang w:val="en-US"/>
        </w:rPr>
        <w:t>a) of the Convention to the circumstance “</w:t>
      </w:r>
      <w:r w:rsidRPr="003D4D09">
        <w:rPr>
          <w:rFonts w:ascii="Verdana" w:hAnsi="Verdana"/>
          <w:i/>
          <w:spacing w:val="-3"/>
          <w:sz w:val="20"/>
          <w:szCs w:val="20"/>
          <w:lang w:val="en-US"/>
        </w:rPr>
        <w:t xml:space="preserve">that the remedies under domestic law have been pursued and exhausted in accordance with generally recognized principles of international law.” </w:t>
      </w:r>
      <w:r w:rsidRPr="003D4D09">
        <w:rPr>
          <w:rFonts w:ascii="Verdana" w:hAnsi="Verdana"/>
          <w:spacing w:val="-3"/>
          <w:sz w:val="20"/>
          <w:szCs w:val="20"/>
          <w:lang w:val="en-US"/>
        </w:rPr>
        <w:t xml:space="preserve">The allusion to such principles signifies that they are not the ones subsequently established in paragraph 2 of this article because, if </w:t>
      </w:r>
      <w:r>
        <w:rPr>
          <w:rFonts w:ascii="Verdana" w:hAnsi="Verdana"/>
          <w:spacing w:val="-3"/>
          <w:sz w:val="20"/>
          <w:szCs w:val="20"/>
          <w:lang w:val="en-US"/>
        </w:rPr>
        <w:t>they were</w:t>
      </w:r>
      <w:r w:rsidRPr="003D4D09">
        <w:rPr>
          <w:rFonts w:ascii="Verdana" w:hAnsi="Verdana"/>
          <w:spacing w:val="-3"/>
          <w:sz w:val="20"/>
          <w:szCs w:val="20"/>
          <w:lang w:val="en-US"/>
        </w:rPr>
        <w:t>, this allusion would not have been necessary. Accordingly, it is included in order to recall that the rule of prior exhaustion of domestic remedies is established by principles of international law, even prior to or irrespective of the provisions of a</w:t>
      </w:r>
      <w:r>
        <w:rPr>
          <w:rFonts w:ascii="Verdana" w:hAnsi="Verdana"/>
          <w:spacing w:val="-3"/>
          <w:sz w:val="20"/>
          <w:szCs w:val="20"/>
          <w:lang w:val="en-US"/>
        </w:rPr>
        <w:t>ny</w:t>
      </w:r>
      <w:r w:rsidRPr="003D4D09">
        <w:rPr>
          <w:rFonts w:ascii="Verdana" w:hAnsi="Verdana"/>
          <w:spacing w:val="-3"/>
          <w:sz w:val="20"/>
          <w:szCs w:val="20"/>
          <w:lang w:val="en-US"/>
        </w:rPr>
        <w:t xml:space="preserve"> treaty, in this case the Convention, and that these principles involve other rules, such as the rule indicating that any objection that relates to the merits of the case in question is not strictly preliminary and must be decided when deciding on the merits.</w:t>
      </w:r>
    </w:p>
    <w:p w14:paraId="7E44A7CB" w14:textId="77777777" w:rsidR="000F66F8" w:rsidRPr="003D4D09" w:rsidRDefault="000F66F8" w:rsidP="000F66F8">
      <w:pPr>
        <w:pStyle w:val="PrrafodeSentencia"/>
        <w:keepNext/>
        <w:numPr>
          <w:ilvl w:val="0"/>
          <w:numId w:val="0"/>
        </w:numPr>
        <w:rPr>
          <w:rFonts w:cs="Verdana"/>
          <w:i/>
          <w:lang w:val="en-US"/>
        </w:rPr>
      </w:pPr>
    </w:p>
    <w:p w14:paraId="2AE6039E" w14:textId="77777777" w:rsidR="000F66F8" w:rsidRPr="003D4D09" w:rsidRDefault="000F66F8" w:rsidP="000F66F8">
      <w:pPr>
        <w:pStyle w:val="PrrafodeSentencia"/>
        <w:keepNext/>
        <w:numPr>
          <w:ilvl w:val="0"/>
          <w:numId w:val="0"/>
        </w:numPr>
        <w:rPr>
          <w:lang w:val="en-US"/>
        </w:rPr>
      </w:pPr>
      <w:r w:rsidRPr="003D4D09">
        <w:rPr>
          <w:lang w:val="en-US"/>
        </w:rPr>
        <w:t>Third, attention should be called to the fact that, with regard to the provision transcribed above, the Judgment indicates that “</w:t>
      </w:r>
      <w:r w:rsidRPr="003D4D09">
        <w:rPr>
          <w:i/>
          <w:spacing w:val="-2"/>
          <w:lang w:val="en-US"/>
        </w:rPr>
        <w:t>[t]he Court recalls that the rule of prior exhaustion of domestic remedies was conceived in the interests of the State, because it seeks to exempt it from responding before an international organ for acts it is accused of before it has had the occasion to remedy them by its own means</w:t>
      </w:r>
      <w:r w:rsidRPr="003D4D09">
        <w:rPr>
          <w:lang w:val="en-US"/>
        </w:rPr>
        <w:t>.</w:t>
      </w:r>
      <w:r w:rsidRPr="003D4D09">
        <w:rPr>
          <w:i/>
          <w:iCs/>
          <w:lang w:val="en-US"/>
        </w:rPr>
        <w:t>”</w:t>
      </w:r>
      <w:r w:rsidRPr="003D4D09">
        <w:rPr>
          <w:rStyle w:val="FootnoteReference"/>
          <w:iCs/>
          <w:lang w:val="en-US"/>
        </w:rPr>
        <w:footnoteReference w:id="418"/>
      </w:r>
    </w:p>
    <w:p w14:paraId="55259B64" w14:textId="77777777" w:rsidR="000F66F8" w:rsidRPr="003D4D09" w:rsidRDefault="000F66F8" w:rsidP="000F66F8">
      <w:pPr>
        <w:keepNext/>
        <w:rPr>
          <w:rFonts w:cs="Calibri"/>
          <w:szCs w:val="20"/>
          <w:lang w:val="en-US"/>
        </w:rPr>
      </w:pPr>
    </w:p>
    <w:p w14:paraId="1EC720C0" w14:textId="77777777" w:rsidR="000F66F8" w:rsidRPr="003D4D09" w:rsidRDefault="000F66F8" w:rsidP="000F66F8">
      <w:pPr>
        <w:keepNext/>
        <w:rPr>
          <w:rFonts w:cs="Calibri"/>
          <w:szCs w:val="20"/>
          <w:lang w:val="en-US"/>
        </w:rPr>
      </w:pPr>
      <w:r w:rsidRPr="003D4D09">
        <w:rPr>
          <w:rFonts w:cs="Calibri"/>
          <w:szCs w:val="20"/>
          <w:lang w:val="en-US"/>
        </w:rPr>
        <w:t xml:space="preserve">The </w:t>
      </w:r>
      <w:r>
        <w:rPr>
          <w:rFonts w:cs="Calibri"/>
          <w:szCs w:val="20"/>
          <w:lang w:val="en-US"/>
        </w:rPr>
        <w:t>foregoing</w:t>
      </w:r>
      <w:r w:rsidRPr="003D4D09">
        <w:rPr>
          <w:rFonts w:cs="Calibri"/>
          <w:szCs w:val="20"/>
          <w:lang w:val="en-US"/>
        </w:rPr>
        <w:t xml:space="preserve"> appears to signify that the Court would follow the thesis according to which the said rule, since it is conceived in the interests of the State, without </w:t>
      </w:r>
      <w:r w:rsidRPr="003D4D09">
        <w:rPr>
          <w:rFonts w:cs="Calibri"/>
          <w:szCs w:val="20"/>
          <w:lang w:val="en-US"/>
        </w:rPr>
        <w:lastRenderedPageBreak/>
        <w:t>considering the attitude of the petitioner, would mean that the</w:t>
      </w:r>
      <w:r>
        <w:rPr>
          <w:rFonts w:cs="Calibri"/>
          <w:szCs w:val="20"/>
          <w:lang w:val="en-US"/>
        </w:rPr>
        <w:t xml:space="preserve"> State’s</w:t>
      </w:r>
      <w:r w:rsidRPr="003D4D09">
        <w:rPr>
          <w:rFonts w:cs="Calibri"/>
          <w:szCs w:val="20"/>
          <w:lang w:val="en-US"/>
        </w:rPr>
        <w:t xml:space="preserve"> i</w:t>
      </w:r>
      <w:r>
        <w:rPr>
          <w:rFonts w:cs="Calibri"/>
          <w:szCs w:val="20"/>
          <w:lang w:val="en-US"/>
        </w:rPr>
        <w:t xml:space="preserve">nternational responsibility </w:t>
      </w:r>
      <w:r w:rsidRPr="003D4D09">
        <w:rPr>
          <w:rFonts w:cs="Calibri"/>
          <w:szCs w:val="20"/>
          <w:lang w:val="en-US"/>
        </w:rPr>
        <w:t>for the violation of an obligation established by the Convention would be engaged from the time at which one of its organs committed an internationally wrongful act, even though it had not had the opportunity to redress this internationally wrongful act.</w:t>
      </w:r>
    </w:p>
    <w:p w14:paraId="58401BEC" w14:textId="77777777" w:rsidR="000F66F8" w:rsidRPr="003D4D09" w:rsidRDefault="000F66F8" w:rsidP="000F66F8">
      <w:pPr>
        <w:keepNext/>
        <w:rPr>
          <w:rFonts w:cs="Calibri"/>
          <w:szCs w:val="20"/>
          <w:lang w:val="en-US"/>
        </w:rPr>
      </w:pPr>
    </w:p>
    <w:p w14:paraId="2E7C1316" w14:textId="77777777" w:rsidR="000F66F8" w:rsidRPr="003D4D09" w:rsidRDefault="000F66F8" w:rsidP="000F66F8">
      <w:pPr>
        <w:keepNext/>
        <w:rPr>
          <w:rFonts w:cs="Calibri"/>
          <w:szCs w:val="20"/>
          <w:lang w:val="en-US"/>
        </w:rPr>
      </w:pPr>
      <w:r w:rsidRPr="003D4D09">
        <w:rPr>
          <w:rFonts w:cs="Calibri"/>
          <w:szCs w:val="20"/>
          <w:lang w:val="en-US"/>
        </w:rPr>
        <w:t>Now, whether this or any other thesis is followed, in the practice, the ultimate intention of the said rule is to enable the State to establish</w:t>
      </w:r>
      <w:r>
        <w:rPr>
          <w:rFonts w:cs="Calibri"/>
          <w:szCs w:val="20"/>
          <w:lang w:val="en-US"/>
        </w:rPr>
        <w:t>,</w:t>
      </w:r>
      <w:r w:rsidRPr="003D4D09">
        <w:rPr>
          <w:rFonts w:cs="Calibri"/>
          <w:szCs w:val="20"/>
          <w:lang w:val="en-US"/>
        </w:rPr>
        <w:t xml:space="preserve"> as soon as possible</w:t>
      </w:r>
      <w:r>
        <w:rPr>
          <w:rFonts w:cs="Calibri"/>
          <w:szCs w:val="20"/>
          <w:lang w:val="en-US"/>
        </w:rPr>
        <w:t>,</w:t>
      </w:r>
      <w:r w:rsidRPr="003D4D09">
        <w:rPr>
          <w:rFonts w:cs="Calibri"/>
          <w:szCs w:val="20"/>
          <w:lang w:val="en-US"/>
        </w:rPr>
        <w:t xml:space="preserve"> the effective exercise of</w:t>
      </w:r>
      <w:r>
        <w:rPr>
          <w:rFonts w:cs="Calibri"/>
          <w:szCs w:val="20"/>
          <w:lang w:val="en-US"/>
        </w:rPr>
        <w:t>,</w:t>
      </w:r>
      <w:r w:rsidRPr="003D4D09">
        <w:rPr>
          <w:rFonts w:cs="Calibri"/>
          <w:szCs w:val="20"/>
          <w:lang w:val="en-US"/>
        </w:rPr>
        <w:t xml:space="preserve"> and respect for</w:t>
      </w:r>
      <w:r>
        <w:rPr>
          <w:rFonts w:cs="Calibri"/>
          <w:szCs w:val="20"/>
          <w:lang w:val="en-US"/>
        </w:rPr>
        <w:t>,</w:t>
      </w:r>
      <w:r w:rsidRPr="003D4D09">
        <w:rPr>
          <w:rFonts w:cs="Calibri"/>
          <w:szCs w:val="20"/>
          <w:lang w:val="en-US"/>
        </w:rPr>
        <w:t xml:space="preserve"> the human right</w:t>
      </w:r>
      <w:r>
        <w:rPr>
          <w:rFonts w:cs="Calibri"/>
          <w:szCs w:val="20"/>
          <w:lang w:val="en-US"/>
        </w:rPr>
        <w:t>s that have been violated. This</w:t>
      </w:r>
      <w:r w:rsidRPr="003D4D09">
        <w:rPr>
          <w:rFonts w:cs="Calibri"/>
          <w:szCs w:val="20"/>
          <w:lang w:val="en-US"/>
        </w:rPr>
        <w:t xml:space="preserve"> is the object and purpose of the Convention</w:t>
      </w:r>
      <w:r w:rsidRPr="003D4D09">
        <w:rPr>
          <w:rStyle w:val="FootnoteReference"/>
          <w:rFonts w:cs="Calibri"/>
          <w:szCs w:val="20"/>
          <w:lang w:val="en-US"/>
        </w:rPr>
        <w:footnoteReference w:id="419"/>
      </w:r>
      <w:r w:rsidRPr="003D4D09">
        <w:rPr>
          <w:rFonts w:cs="Calibri"/>
          <w:szCs w:val="20"/>
          <w:lang w:val="en-US"/>
        </w:rPr>
        <w:t xml:space="preserve"> and, consequently, should </w:t>
      </w:r>
      <w:r>
        <w:rPr>
          <w:rFonts w:cs="Calibri"/>
          <w:szCs w:val="20"/>
          <w:lang w:val="en-US"/>
        </w:rPr>
        <w:t>happen</w:t>
      </w:r>
      <w:r w:rsidRPr="003D4D09">
        <w:rPr>
          <w:rFonts w:cs="Calibri"/>
          <w:szCs w:val="20"/>
          <w:lang w:val="en-US"/>
        </w:rPr>
        <w:t xml:space="preserve"> as soon as practicable in everyone’s interests, making the intervention of the inter-American jurisdiction unnecessary.</w:t>
      </w:r>
      <w:r w:rsidRPr="003D4D09">
        <w:rPr>
          <w:rStyle w:val="FootnoteReference"/>
          <w:rFonts w:cs="Calibri"/>
          <w:szCs w:val="20"/>
          <w:lang w:val="en-US"/>
        </w:rPr>
        <w:footnoteReference w:id="420"/>
      </w:r>
      <w:r w:rsidRPr="003D4D09">
        <w:rPr>
          <w:rFonts w:cs="Calibri"/>
          <w:szCs w:val="20"/>
          <w:lang w:val="en-US"/>
        </w:rPr>
        <w:t xml:space="preserve"> </w:t>
      </w:r>
    </w:p>
    <w:p w14:paraId="68F51179" w14:textId="77777777" w:rsidR="000F66F8" w:rsidRPr="003D4D09" w:rsidRDefault="000F66F8" w:rsidP="000F66F8">
      <w:pPr>
        <w:keepNext/>
        <w:rPr>
          <w:i/>
          <w:szCs w:val="20"/>
          <w:lang w:val="en-US"/>
        </w:rPr>
      </w:pPr>
    </w:p>
    <w:p w14:paraId="1CAC5109" w14:textId="77777777" w:rsidR="000F66F8" w:rsidRPr="003D4D09" w:rsidRDefault="000F66F8" w:rsidP="000F66F8">
      <w:pPr>
        <w:keepNext/>
        <w:rPr>
          <w:rFonts w:cs="Calibri"/>
          <w:szCs w:val="20"/>
          <w:lang w:val="en-US"/>
        </w:rPr>
      </w:pPr>
      <w:r w:rsidRPr="003D4D09">
        <w:rPr>
          <w:rFonts w:cs="Calibri"/>
          <w:szCs w:val="20"/>
          <w:lang w:val="en-US"/>
        </w:rPr>
        <w:t>This means that, in situation</w:t>
      </w:r>
      <w:r>
        <w:rPr>
          <w:rFonts w:cs="Calibri"/>
          <w:szCs w:val="20"/>
          <w:lang w:val="en-US"/>
        </w:rPr>
        <w:t>s</w:t>
      </w:r>
      <w:r w:rsidRPr="003D4D09">
        <w:rPr>
          <w:rFonts w:cs="Calibri"/>
          <w:szCs w:val="20"/>
          <w:lang w:val="en-US"/>
        </w:rPr>
        <w:t xml:space="preserve"> in which it has been argued in the respective sphere of the domestic jurisdiction that the State has not complied with </w:t>
      </w:r>
      <w:r>
        <w:rPr>
          <w:rFonts w:cs="Calibri"/>
          <w:szCs w:val="20"/>
          <w:lang w:val="en-US"/>
        </w:rPr>
        <w:t xml:space="preserve">its undertakings </w:t>
      </w:r>
      <w:r w:rsidRPr="003D4D09">
        <w:rPr>
          <w:rFonts w:cs="Calibri"/>
          <w:szCs w:val="20"/>
          <w:lang w:val="en-US"/>
        </w:rPr>
        <w:t>as regards respecting and ensuring the free and full exercise of human rights, it is po</w:t>
      </w:r>
      <w:r>
        <w:rPr>
          <w:rFonts w:cs="Calibri"/>
          <w:szCs w:val="20"/>
          <w:lang w:val="en-US"/>
        </w:rPr>
        <w:t>ssible to claim</w:t>
      </w:r>
      <w:r w:rsidRPr="003D4D09">
        <w:rPr>
          <w:rFonts w:cs="Calibri"/>
          <w:szCs w:val="20"/>
          <w:lang w:val="en-US"/>
        </w:rPr>
        <w:t xml:space="preserve"> the intervention of the international jurisdictional body and not before, so that, if admissible, the State is ordered to comply with the international </w:t>
      </w:r>
      <w:r>
        <w:rPr>
          <w:rFonts w:cs="Calibri"/>
          <w:szCs w:val="20"/>
          <w:lang w:val="en-US"/>
        </w:rPr>
        <w:t xml:space="preserve">obligations it has violated, to </w:t>
      </w:r>
      <w:r w:rsidRPr="003D4D09">
        <w:rPr>
          <w:rFonts w:cs="Calibri"/>
          <w:szCs w:val="20"/>
          <w:lang w:val="en-US"/>
        </w:rPr>
        <w:t>guarantee that it will</w:t>
      </w:r>
      <w:r>
        <w:rPr>
          <w:rFonts w:cs="Calibri"/>
          <w:szCs w:val="20"/>
          <w:lang w:val="en-US"/>
        </w:rPr>
        <w:t xml:space="preserve"> not violate them again, and to </w:t>
      </w:r>
      <w:r w:rsidRPr="003D4D09">
        <w:rPr>
          <w:rFonts w:cs="Calibri"/>
          <w:szCs w:val="20"/>
          <w:lang w:val="en-US"/>
        </w:rPr>
        <w:t>make reparation for all the consequences of such violations.</w:t>
      </w:r>
      <w:r w:rsidRPr="003D4D09">
        <w:rPr>
          <w:rStyle w:val="FootnoteReference"/>
          <w:rFonts w:cs="Calibri"/>
          <w:szCs w:val="20"/>
          <w:lang w:val="en-US"/>
        </w:rPr>
        <w:footnoteReference w:id="421"/>
      </w:r>
      <w:r w:rsidRPr="003D4D09">
        <w:rPr>
          <w:rFonts w:cs="Calibri"/>
          <w:szCs w:val="20"/>
          <w:lang w:val="en-US"/>
        </w:rPr>
        <w:t xml:space="preserve"> </w:t>
      </w:r>
    </w:p>
    <w:p w14:paraId="19AD8656" w14:textId="77777777" w:rsidR="000F66F8" w:rsidRPr="003D4D09" w:rsidRDefault="000F66F8" w:rsidP="000F66F8">
      <w:pPr>
        <w:keepNext/>
        <w:rPr>
          <w:rFonts w:cs="Calibri"/>
          <w:szCs w:val="20"/>
          <w:lang w:val="en-US"/>
        </w:rPr>
      </w:pPr>
    </w:p>
    <w:p w14:paraId="31075055" w14:textId="77777777" w:rsidR="000F66F8" w:rsidRPr="003D4D09" w:rsidRDefault="000F66F8" w:rsidP="000F66F8">
      <w:pPr>
        <w:keepNext/>
        <w:rPr>
          <w:rFonts w:cs="Calibri"/>
          <w:szCs w:val="20"/>
          <w:lang w:val="en-US"/>
        </w:rPr>
      </w:pPr>
      <w:r w:rsidRPr="003D4D09">
        <w:rPr>
          <w:rFonts w:cs="Calibri"/>
          <w:szCs w:val="20"/>
          <w:lang w:val="en-US"/>
        </w:rPr>
        <w:t xml:space="preserve">Therefore, this rule is also a mechanism to encourage the State to comply with its human rights obligations without waiting for the inter-American system to order it to do so </w:t>
      </w:r>
      <w:r>
        <w:rPr>
          <w:rFonts w:cs="Calibri"/>
          <w:szCs w:val="20"/>
          <w:lang w:val="en-US"/>
        </w:rPr>
        <w:t>as a result of</w:t>
      </w:r>
      <w:r w:rsidRPr="003D4D09">
        <w:rPr>
          <w:rFonts w:cs="Calibri"/>
          <w:szCs w:val="20"/>
          <w:lang w:val="en-US"/>
        </w:rPr>
        <w:t xml:space="preserve"> litigation. Thus, its practical effect is that the State re-establish respect for human rights as soon as possible and, to that end, it</w:t>
      </w:r>
      <w:r>
        <w:rPr>
          <w:rFonts w:cs="Calibri"/>
          <w:szCs w:val="20"/>
          <w:lang w:val="en-US"/>
        </w:rPr>
        <w:t xml:space="preserve"> could be said that this rule has been established</w:t>
      </w:r>
      <w:r w:rsidRPr="003D4D09">
        <w:rPr>
          <w:rFonts w:cs="Calibri"/>
          <w:szCs w:val="20"/>
          <w:lang w:val="en-US"/>
        </w:rPr>
        <w:t xml:space="preserve"> also and, above all, </w:t>
      </w:r>
      <w:r>
        <w:rPr>
          <w:rFonts w:cs="Calibri"/>
          <w:szCs w:val="20"/>
          <w:lang w:val="en-US"/>
        </w:rPr>
        <w:t xml:space="preserve">to benefit </w:t>
      </w:r>
      <w:r w:rsidRPr="003D4D09">
        <w:rPr>
          <w:rFonts w:cs="Calibri"/>
          <w:szCs w:val="20"/>
          <w:lang w:val="en-US"/>
        </w:rPr>
        <w:t>the victim of human rights violations.</w:t>
      </w:r>
      <w:r w:rsidRPr="003D4D09">
        <w:rPr>
          <w:rStyle w:val="FootnoteReference"/>
          <w:rFonts w:cs="Calibri"/>
          <w:szCs w:val="20"/>
          <w:lang w:val="en-US"/>
        </w:rPr>
        <w:footnoteReference w:id="422"/>
      </w:r>
    </w:p>
    <w:p w14:paraId="00A1A479" w14:textId="77777777" w:rsidR="000F66F8" w:rsidRPr="003D4D09" w:rsidRDefault="000F66F8" w:rsidP="000F66F8">
      <w:pPr>
        <w:keepNext/>
        <w:rPr>
          <w:rFonts w:cs="Calibri"/>
          <w:szCs w:val="20"/>
          <w:lang w:val="en-US"/>
        </w:rPr>
      </w:pPr>
    </w:p>
    <w:p w14:paraId="542F7665" w14:textId="77777777" w:rsidR="000F66F8" w:rsidRPr="003D4D09" w:rsidRDefault="000F66F8" w:rsidP="000F66F8">
      <w:pPr>
        <w:keepNext/>
        <w:rPr>
          <w:spacing w:val="-3"/>
          <w:sz w:val="16"/>
          <w:szCs w:val="16"/>
          <w:lang w:val="en-US"/>
        </w:rPr>
      </w:pPr>
      <w:r w:rsidRPr="003D4D09">
        <w:rPr>
          <w:rFonts w:cs="Calibri"/>
          <w:szCs w:val="20"/>
          <w:lang w:val="en-US"/>
        </w:rPr>
        <w:t xml:space="preserve">Based on the above, it can be concluded that this rule has been established in the Convention as an essential </w:t>
      </w:r>
      <w:r>
        <w:rPr>
          <w:rFonts w:cs="Calibri"/>
          <w:szCs w:val="20"/>
          <w:lang w:val="en-US"/>
        </w:rPr>
        <w:t>component</w:t>
      </w:r>
      <w:r w:rsidRPr="003D4D09">
        <w:rPr>
          <w:rFonts w:cs="Calibri"/>
          <w:szCs w:val="20"/>
          <w:lang w:val="en-US"/>
        </w:rPr>
        <w:t xml:space="preserve"> of the whole inter-American system for the promotion and protection of human rights, by stressing that, as indicated in the second paragraph of its Preamble, the “</w:t>
      </w:r>
      <w:r w:rsidRPr="003D4D09">
        <w:rPr>
          <w:i/>
          <w:spacing w:val="-3"/>
          <w:szCs w:val="20"/>
          <w:lang w:val="en-US"/>
        </w:rPr>
        <w:t xml:space="preserve">international protection […] </w:t>
      </w:r>
      <w:proofErr w:type="spellStart"/>
      <w:proofErr w:type="gramStart"/>
      <w:r w:rsidRPr="003D4D09">
        <w:rPr>
          <w:i/>
          <w:spacing w:val="-3"/>
          <w:szCs w:val="20"/>
          <w:lang w:val="en-US"/>
        </w:rPr>
        <w:t>reinforc</w:t>
      </w:r>
      <w:proofErr w:type="spellEnd"/>
      <w:r w:rsidRPr="003D4D09">
        <w:rPr>
          <w:i/>
          <w:spacing w:val="-3"/>
          <w:szCs w:val="20"/>
          <w:lang w:val="en-US"/>
        </w:rPr>
        <w:t>[</w:t>
      </w:r>
      <w:proofErr w:type="spellStart"/>
      <w:proofErr w:type="gramEnd"/>
      <w:r w:rsidRPr="003D4D09">
        <w:rPr>
          <w:i/>
          <w:spacing w:val="-3"/>
          <w:szCs w:val="20"/>
          <w:lang w:val="en-US"/>
        </w:rPr>
        <w:t>es</w:t>
      </w:r>
      <w:proofErr w:type="spellEnd"/>
      <w:r w:rsidRPr="003D4D09">
        <w:rPr>
          <w:i/>
          <w:spacing w:val="-3"/>
          <w:szCs w:val="20"/>
          <w:lang w:val="en-US"/>
        </w:rPr>
        <w:t>] or complement[s] the protection provided by the domestic law of the American States</w:t>
      </w:r>
      <w:r w:rsidRPr="003D4D09">
        <w:rPr>
          <w:spacing w:val="-3"/>
          <w:sz w:val="16"/>
          <w:szCs w:val="16"/>
          <w:lang w:val="en-US"/>
        </w:rPr>
        <w:t>.</w:t>
      </w:r>
      <w:r w:rsidRPr="003D4D09">
        <w:rPr>
          <w:rFonts w:cs="Calibri"/>
          <w:i/>
          <w:szCs w:val="20"/>
          <w:lang w:val="en-US"/>
        </w:rPr>
        <w:t>”</w:t>
      </w:r>
      <w:r w:rsidRPr="003D4D09">
        <w:rPr>
          <w:rStyle w:val="FootnoteReference"/>
          <w:rFonts w:cs="Calibri"/>
          <w:i/>
          <w:szCs w:val="20"/>
          <w:lang w:val="en-US"/>
        </w:rPr>
        <w:footnoteReference w:id="423"/>
      </w:r>
      <w:r w:rsidRPr="003D4D09">
        <w:rPr>
          <w:rFonts w:cs="Calibri"/>
          <w:szCs w:val="20"/>
          <w:lang w:val="en-US"/>
        </w:rPr>
        <w:t xml:space="preserve"> </w:t>
      </w:r>
    </w:p>
    <w:p w14:paraId="3BDDE2A0" w14:textId="77777777" w:rsidR="000F66F8" w:rsidRPr="003D4D09" w:rsidRDefault="000F66F8" w:rsidP="000F66F8">
      <w:pPr>
        <w:keepNext/>
        <w:rPr>
          <w:rFonts w:cs="Calibri"/>
          <w:szCs w:val="20"/>
          <w:lang w:val="en-US"/>
        </w:rPr>
      </w:pPr>
    </w:p>
    <w:p w14:paraId="4A4BE293" w14:textId="77777777" w:rsidR="000F66F8" w:rsidRPr="003D4D09" w:rsidRDefault="000F66F8" w:rsidP="000F66F8">
      <w:pPr>
        <w:keepNext/>
        <w:rPr>
          <w:rFonts w:cs="Calibri"/>
          <w:szCs w:val="20"/>
          <w:lang w:val="en-US"/>
        </w:rPr>
      </w:pPr>
      <w:r w:rsidRPr="003D4D09">
        <w:rPr>
          <w:rFonts w:cs="Calibri"/>
          <w:szCs w:val="20"/>
          <w:lang w:val="en-US"/>
        </w:rPr>
        <w:t>And this relates to the international juridical structure that, fundamentally, is still based on the principle of sovereignty, which, in the case of the inter-American system, is embodied in Articles 1(1)</w:t>
      </w:r>
      <w:r w:rsidRPr="003D4D09">
        <w:rPr>
          <w:rStyle w:val="FootnoteReference"/>
          <w:rFonts w:cs="Calibri"/>
          <w:szCs w:val="20"/>
          <w:lang w:val="en-US"/>
        </w:rPr>
        <w:footnoteReference w:id="424"/>
      </w:r>
      <w:r w:rsidRPr="003D4D09">
        <w:rPr>
          <w:rFonts w:cs="Calibri"/>
          <w:szCs w:val="20"/>
          <w:lang w:val="en-US"/>
        </w:rPr>
        <w:t xml:space="preserve"> and 3(b)</w:t>
      </w:r>
      <w:r w:rsidRPr="003D4D09">
        <w:rPr>
          <w:rStyle w:val="FootnoteReference"/>
          <w:rFonts w:cs="Calibri"/>
          <w:szCs w:val="20"/>
          <w:lang w:val="en-US"/>
        </w:rPr>
        <w:footnoteReference w:id="425"/>
      </w:r>
      <w:r w:rsidRPr="003D4D09">
        <w:rPr>
          <w:rFonts w:cs="Calibri"/>
          <w:szCs w:val="20"/>
          <w:lang w:val="en-US"/>
        </w:rPr>
        <w:t xml:space="preserve"> of the Charter of the Organization of American States. Consequently, and in keeping with the principle of public law th</w:t>
      </w:r>
      <w:r>
        <w:rPr>
          <w:rFonts w:cs="Calibri"/>
          <w:szCs w:val="20"/>
          <w:lang w:val="en-US"/>
        </w:rPr>
        <w:t>at one can only do what the law</w:t>
      </w:r>
      <w:r w:rsidRPr="003D4D09">
        <w:rPr>
          <w:rFonts w:cs="Calibri"/>
          <w:szCs w:val="20"/>
          <w:lang w:val="en-US"/>
        </w:rPr>
        <w:t xml:space="preserve"> expressly authorizes, the provisions of the Convention that establish restrictions to State sovereignty must be interpreted and applied taking this </w:t>
      </w:r>
      <w:r>
        <w:rPr>
          <w:rFonts w:cs="Calibri"/>
          <w:szCs w:val="20"/>
          <w:lang w:val="en-US"/>
        </w:rPr>
        <w:t>reality</w:t>
      </w:r>
      <w:r w:rsidRPr="003D4D09">
        <w:rPr>
          <w:rFonts w:cs="Calibri"/>
          <w:szCs w:val="20"/>
          <w:lang w:val="en-US"/>
        </w:rPr>
        <w:t xml:space="preserve"> into account.</w:t>
      </w:r>
    </w:p>
    <w:p w14:paraId="5C40020F" w14:textId="77777777" w:rsidR="000F66F8" w:rsidRPr="003D4D09" w:rsidRDefault="000F66F8" w:rsidP="000F66F8">
      <w:pPr>
        <w:keepNext/>
        <w:rPr>
          <w:rFonts w:cs="Calibri"/>
          <w:szCs w:val="20"/>
          <w:lang w:val="en-US"/>
        </w:rPr>
      </w:pPr>
    </w:p>
    <w:p w14:paraId="1E9BDF6E" w14:textId="77777777" w:rsidR="000F66F8" w:rsidRPr="003D4D09" w:rsidRDefault="000F66F8" w:rsidP="000F66F8">
      <w:pPr>
        <w:keepNext/>
        <w:rPr>
          <w:rFonts w:cs="Calibri"/>
          <w:szCs w:val="20"/>
          <w:lang w:val="en-US"/>
        </w:rPr>
      </w:pPr>
      <w:r w:rsidRPr="003D4D09">
        <w:rPr>
          <w:rFonts w:cs="Calibri"/>
          <w:szCs w:val="20"/>
          <w:lang w:val="en-US"/>
        </w:rPr>
        <w:t>Thus, the rule of prior exhaustion of domestic remedies is also an e</w:t>
      </w:r>
      <w:r>
        <w:rPr>
          <w:rFonts w:cs="Calibri"/>
          <w:szCs w:val="20"/>
          <w:lang w:val="en-US"/>
        </w:rPr>
        <w:t>xpression of the exercise of</w:t>
      </w:r>
      <w:r w:rsidRPr="003D4D09">
        <w:rPr>
          <w:rFonts w:cs="Calibri"/>
          <w:szCs w:val="20"/>
          <w:lang w:val="en-US"/>
        </w:rPr>
        <w:t xml:space="preserve"> Stat</w:t>
      </w:r>
      <w:r>
        <w:rPr>
          <w:rFonts w:cs="Calibri"/>
          <w:szCs w:val="20"/>
          <w:lang w:val="en-US"/>
        </w:rPr>
        <w:t>e</w:t>
      </w:r>
      <w:r w:rsidRPr="003D4D09">
        <w:rPr>
          <w:rFonts w:cs="Calibri"/>
          <w:szCs w:val="20"/>
          <w:lang w:val="en-US"/>
        </w:rPr>
        <w:t xml:space="preserve"> sovereignty and of the need </w:t>
      </w:r>
      <w:r>
        <w:rPr>
          <w:rFonts w:cs="Calibri"/>
          <w:szCs w:val="20"/>
          <w:lang w:val="en-US"/>
        </w:rPr>
        <w:t>to give the State the preferential opportunity</w:t>
      </w:r>
      <w:r w:rsidRPr="003D4D09">
        <w:rPr>
          <w:rFonts w:cs="Calibri"/>
          <w:szCs w:val="20"/>
          <w:lang w:val="en-US"/>
        </w:rPr>
        <w:t xml:space="preserve"> to take action with regard to the presumed human rights violations. Moreover, this has acquired greater relevance nowadays, when all the States Parti</w:t>
      </w:r>
      <w:r>
        <w:rPr>
          <w:rFonts w:cs="Calibri"/>
          <w:szCs w:val="20"/>
          <w:lang w:val="en-US"/>
        </w:rPr>
        <w:t>es to the Convention abide by</w:t>
      </w:r>
      <w:r w:rsidRPr="003D4D09">
        <w:rPr>
          <w:rFonts w:cs="Calibri"/>
          <w:szCs w:val="20"/>
          <w:lang w:val="en-US"/>
        </w:rPr>
        <w:t xml:space="preserve"> the democratic rule of law; that is, they endorse democracy.</w:t>
      </w:r>
      <w:r w:rsidRPr="003D4D09">
        <w:rPr>
          <w:rStyle w:val="FootnoteReference"/>
          <w:rFonts w:cs="Calibri"/>
          <w:szCs w:val="20"/>
          <w:lang w:val="en-US"/>
        </w:rPr>
        <w:footnoteReference w:id="426"/>
      </w:r>
      <w:r w:rsidRPr="003D4D09">
        <w:rPr>
          <w:rFonts w:cs="Calibri"/>
          <w:szCs w:val="20"/>
          <w:lang w:val="en-US"/>
        </w:rPr>
        <w:t xml:space="preserve"> </w:t>
      </w:r>
    </w:p>
    <w:p w14:paraId="5CD73A9A" w14:textId="77777777" w:rsidR="000F66F8" w:rsidRPr="003D4D09" w:rsidRDefault="000F66F8" w:rsidP="000F66F8">
      <w:pPr>
        <w:keepNext/>
        <w:rPr>
          <w:rFonts w:cs="Calibri"/>
          <w:szCs w:val="20"/>
          <w:lang w:val="en-US"/>
        </w:rPr>
      </w:pPr>
    </w:p>
    <w:p w14:paraId="47F01643" w14:textId="77777777" w:rsidR="000F66F8" w:rsidRPr="003D4D09" w:rsidRDefault="000F66F8" w:rsidP="000F66F8">
      <w:pPr>
        <w:keepNext/>
        <w:rPr>
          <w:rFonts w:cs="Calibri"/>
          <w:szCs w:val="20"/>
          <w:lang w:val="en-US"/>
        </w:rPr>
      </w:pPr>
      <w:r w:rsidRPr="003D4D09">
        <w:rPr>
          <w:rFonts w:cs="Calibri"/>
          <w:szCs w:val="20"/>
          <w:lang w:val="en-US"/>
        </w:rPr>
        <w:t>Consequently, based on the foregoing it can be inferred that compliance with the requirement establish in Article 46(1</w:t>
      </w:r>
      <w:proofErr w:type="gramStart"/>
      <w:r w:rsidRPr="003D4D09">
        <w:rPr>
          <w:rFonts w:cs="Calibri"/>
          <w:szCs w:val="20"/>
          <w:lang w:val="en-US"/>
        </w:rPr>
        <w:t>)(</w:t>
      </w:r>
      <w:proofErr w:type="gramEnd"/>
      <w:r w:rsidRPr="003D4D09">
        <w:rPr>
          <w:rFonts w:cs="Calibri"/>
          <w:szCs w:val="20"/>
          <w:lang w:val="en-US"/>
        </w:rPr>
        <w:t>a) of the Convention, transcribed above, must take place before the petition is lodged before the Commission.</w:t>
      </w:r>
    </w:p>
    <w:p w14:paraId="6092ECE4" w14:textId="77777777" w:rsidR="000F66F8" w:rsidRPr="003D4D09" w:rsidRDefault="000F66F8" w:rsidP="000F66F8">
      <w:pPr>
        <w:keepNext/>
        <w:rPr>
          <w:rFonts w:cs="Calibri"/>
          <w:szCs w:val="20"/>
          <w:lang w:val="en-US"/>
        </w:rPr>
      </w:pPr>
    </w:p>
    <w:p w14:paraId="7F96DDE3" w14:textId="77777777" w:rsidR="000F66F8" w:rsidRPr="003D4D09" w:rsidRDefault="000F66F8" w:rsidP="000F66F8">
      <w:pPr>
        <w:keepNext/>
        <w:numPr>
          <w:ilvl w:val="0"/>
          <w:numId w:val="16"/>
        </w:numPr>
        <w:ind w:left="567" w:hanging="283"/>
        <w:rPr>
          <w:rFonts w:cs="Calibri"/>
          <w:b/>
          <w:szCs w:val="20"/>
          <w:lang w:val="en-US"/>
        </w:rPr>
      </w:pPr>
      <w:r w:rsidRPr="003D4D09">
        <w:rPr>
          <w:rFonts w:cs="Calibri"/>
          <w:b/>
          <w:szCs w:val="20"/>
          <w:lang w:val="en-US"/>
        </w:rPr>
        <w:t>The petition</w:t>
      </w:r>
    </w:p>
    <w:p w14:paraId="59CB3F5B" w14:textId="77777777" w:rsidR="000F66F8" w:rsidRPr="003D4D09" w:rsidRDefault="000F66F8" w:rsidP="000F66F8">
      <w:pPr>
        <w:keepNext/>
        <w:rPr>
          <w:rFonts w:eastAsia="Batang" w:cs="Calibri"/>
          <w:szCs w:val="20"/>
          <w:lang w:val="en-US"/>
        </w:rPr>
      </w:pPr>
    </w:p>
    <w:p w14:paraId="654A637E" w14:textId="77777777" w:rsidR="000F66F8" w:rsidRPr="003D4D09" w:rsidRDefault="000F66F8" w:rsidP="000F66F8">
      <w:pPr>
        <w:keepNext/>
        <w:rPr>
          <w:rFonts w:cs="Calibri"/>
          <w:szCs w:val="20"/>
          <w:lang w:val="en-US"/>
        </w:rPr>
      </w:pPr>
      <w:r w:rsidRPr="003D4D09">
        <w:rPr>
          <w:rFonts w:eastAsia="Batang" w:cs="Calibri"/>
          <w:szCs w:val="20"/>
          <w:lang w:val="en-US"/>
        </w:rPr>
        <w:t>The first comment that should be made concerning the petition</w:t>
      </w:r>
      <w:r>
        <w:rPr>
          <w:rFonts w:eastAsia="Batang" w:cs="Calibri"/>
          <w:szCs w:val="20"/>
          <w:lang w:val="en-US"/>
        </w:rPr>
        <w:t xml:space="preserve"> initiating</w:t>
      </w:r>
      <w:r w:rsidRPr="003D4D09">
        <w:rPr>
          <w:rFonts w:eastAsia="Batang" w:cs="Calibri"/>
          <w:szCs w:val="20"/>
          <w:lang w:val="en-US"/>
        </w:rPr>
        <w:t xml:space="preserve"> the procedure before </w:t>
      </w:r>
      <w:r>
        <w:rPr>
          <w:rFonts w:eastAsia="Batang" w:cs="Calibri"/>
          <w:szCs w:val="20"/>
          <w:lang w:val="en-US"/>
        </w:rPr>
        <w:t>the Commission that</w:t>
      </w:r>
      <w:r w:rsidRPr="003D4D09">
        <w:rPr>
          <w:rFonts w:eastAsia="Batang" w:cs="Calibri"/>
          <w:szCs w:val="20"/>
          <w:lang w:val="en-US"/>
        </w:rPr>
        <w:t xml:space="preserve"> may conclude before</w:t>
      </w:r>
      <w:r>
        <w:rPr>
          <w:rFonts w:eastAsia="Batang" w:cs="Calibri"/>
          <w:szCs w:val="20"/>
          <w:lang w:val="en-US"/>
        </w:rPr>
        <w:t xml:space="preserve"> the Court</w:t>
      </w:r>
      <w:r w:rsidRPr="003D4D09">
        <w:rPr>
          <w:rFonts w:eastAsia="Batang" w:cs="Calibri"/>
          <w:szCs w:val="20"/>
          <w:lang w:val="en-US"/>
        </w:rPr>
        <w:t xml:space="preserve"> is that </w:t>
      </w:r>
      <w:r w:rsidRPr="003D4D09">
        <w:rPr>
          <w:rFonts w:cs="Calibri"/>
          <w:szCs w:val="20"/>
          <w:lang w:val="en-US"/>
        </w:rPr>
        <w:t xml:space="preserve">compliance with the rule of prior exhaustion of domestic remedies is, essentially, an obligation of the presumed victim or the petitioner. It is the latter who must comply with the requirement of prior exhaustion of domestic remedies; in other </w:t>
      </w:r>
      <w:r>
        <w:rPr>
          <w:rFonts w:cs="Calibri"/>
          <w:szCs w:val="20"/>
          <w:lang w:val="en-US"/>
        </w:rPr>
        <w:t>words, to be able to allege a</w:t>
      </w:r>
      <w:r w:rsidRPr="003D4D09">
        <w:rPr>
          <w:rFonts w:cs="Calibri"/>
          <w:szCs w:val="20"/>
          <w:lang w:val="en-US"/>
        </w:rPr>
        <w:t xml:space="preserve"> violation before the inter-American jurisdictional body,</w:t>
      </w:r>
      <w:r w:rsidRPr="003D4D09">
        <w:rPr>
          <w:rStyle w:val="FootnoteReference"/>
          <w:rFonts w:cs="Calibri"/>
          <w:szCs w:val="20"/>
          <w:lang w:val="en-US"/>
        </w:rPr>
        <w:footnoteReference w:id="427"/>
      </w:r>
      <w:r w:rsidRPr="003D4D09">
        <w:rPr>
          <w:rFonts w:cs="Calibri"/>
          <w:szCs w:val="20"/>
          <w:lang w:val="en-US"/>
        </w:rPr>
        <w:t xml:space="preserve"> </w:t>
      </w:r>
      <w:r>
        <w:rPr>
          <w:rFonts w:cs="Calibri"/>
          <w:szCs w:val="20"/>
          <w:lang w:val="en-US"/>
        </w:rPr>
        <w:t xml:space="preserve">the petitioner </w:t>
      </w:r>
      <w:r w:rsidRPr="003D4D09">
        <w:rPr>
          <w:rFonts w:cs="Calibri"/>
          <w:szCs w:val="20"/>
          <w:lang w:val="en-US"/>
        </w:rPr>
        <w:t>must previously do so before the corresponding d</w:t>
      </w:r>
      <w:r>
        <w:rPr>
          <w:rFonts w:cs="Calibri"/>
          <w:szCs w:val="20"/>
          <w:lang w:val="en-US"/>
        </w:rPr>
        <w:t>omestic jurisdictional bodies. Otherwise</w:t>
      </w:r>
      <w:r w:rsidRPr="003D4D09">
        <w:rPr>
          <w:rFonts w:cs="Calibri"/>
          <w:szCs w:val="20"/>
          <w:lang w:val="en-US"/>
        </w:rPr>
        <w:t xml:space="preserve">, this would </w:t>
      </w:r>
      <w:r>
        <w:rPr>
          <w:rFonts w:cs="Calibri"/>
          <w:szCs w:val="20"/>
          <w:lang w:val="en-US"/>
        </w:rPr>
        <w:t xml:space="preserve">evidently </w:t>
      </w:r>
      <w:r w:rsidRPr="003D4D09">
        <w:rPr>
          <w:rFonts w:cs="Calibri"/>
          <w:szCs w:val="20"/>
          <w:lang w:val="en-US"/>
        </w:rPr>
        <w:t xml:space="preserve">prevent </w:t>
      </w:r>
      <w:r>
        <w:rPr>
          <w:rFonts w:cs="Calibri"/>
          <w:szCs w:val="20"/>
          <w:lang w:val="en-US"/>
        </w:rPr>
        <w:t xml:space="preserve">the prompt and timely achievement of </w:t>
      </w:r>
      <w:r w:rsidRPr="003D4D09">
        <w:rPr>
          <w:rFonts w:cs="Calibri"/>
          <w:szCs w:val="20"/>
          <w:lang w:val="en-US"/>
        </w:rPr>
        <w:t>the above</w:t>
      </w:r>
      <w:r>
        <w:rPr>
          <w:rFonts w:cs="Calibri"/>
          <w:szCs w:val="20"/>
          <w:lang w:val="en-US"/>
        </w:rPr>
        <w:t>-</w:t>
      </w:r>
      <w:r w:rsidRPr="003D4D09">
        <w:rPr>
          <w:rFonts w:cs="Calibri"/>
          <w:szCs w:val="20"/>
          <w:lang w:val="en-US"/>
        </w:rPr>
        <w:t>mentioned practical effects</w:t>
      </w:r>
      <w:r>
        <w:rPr>
          <w:rFonts w:cs="Calibri"/>
          <w:szCs w:val="20"/>
          <w:lang w:val="en-US"/>
        </w:rPr>
        <w:t>. Thus, rather</w:t>
      </w:r>
      <w:r w:rsidRPr="003D4D09">
        <w:rPr>
          <w:rFonts w:cs="Calibri"/>
          <w:szCs w:val="20"/>
          <w:lang w:val="en-US"/>
        </w:rPr>
        <w:t xml:space="preserve"> than </w:t>
      </w:r>
      <w:r>
        <w:rPr>
          <w:rFonts w:cs="Calibri"/>
          <w:szCs w:val="20"/>
          <w:lang w:val="en-US"/>
        </w:rPr>
        <w:t>a benefit granted to</w:t>
      </w:r>
      <w:r w:rsidRPr="003D4D09">
        <w:rPr>
          <w:rFonts w:cs="Calibri"/>
          <w:szCs w:val="20"/>
          <w:lang w:val="en-US"/>
        </w:rPr>
        <w:t xml:space="preserve"> the State, </w:t>
      </w:r>
      <w:r>
        <w:rPr>
          <w:rFonts w:cs="Calibri"/>
          <w:szCs w:val="20"/>
          <w:lang w:val="en-US"/>
        </w:rPr>
        <w:t xml:space="preserve">this rule is </w:t>
      </w:r>
      <w:r w:rsidRPr="003D4D09">
        <w:rPr>
          <w:rFonts w:cs="Calibri"/>
          <w:szCs w:val="20"/>
          <w:lang w:val="en-US"/>
        </w:rPr>
        <w:t>a requirement or obligation that must be met by the presumed victim or the petitioner.</w:t>
      </w:r>
    </w:p>
    <w:p w14:paraId="71D7C604" w14:textId="77777777" w:rsidR="000F66F8" w:rsidRPr="003D4D09" w:rsidRDefault="000F66F8" w:rsidP="000F66F8">
      <w:pPr>
        <w:keepNext/>
        <w:rPr>
          <w:rFonts w:eastAsia="Batang" w:cs="Calibri"/>
          <w:szCs w:val="20"/>
          <w:lang w:val="en-US"/>
        </w:rPr>
      </w:pPr>
    </w:p>
    <w:p w14:paraId="7DD48135" w14:textId="77777777" w:rsidR="000F66F8" w:rsidRPr="003D4D09" w:rsidRDefault="000F66F8" w:rsidP="000F66F8">
      <w:pPr>
        <w:keepNext/>
        <w:rPr>
          <w:rFonts w:cs="Calibri"/>
          <w:szCs w:val="20"/>
          <w:lang w:val="en-US"/>
        </w:rPr>
      </w:pPr>
      <w:r w:rsidRPr="003D4D09">
        <w:rPr>
          <w:rFonts w:eastAsia="Batang" w:cs="Calibri"/>
          <w:szCs w:val="20"/>
          <w:lang w:val="en-US"/>
        </w:rPr>
        <w:t>This is why Article 28(h) of the Rules of Procedure of the Commission in force at the time the petition was lodged</w:t>
      </w:r>
      <w:r w:rsidRPr="003D4D09">
        <w:rPr>
          <w:rStyle w:val="FootnoteReference"/>
          <w:rFonts w:eastAsia="Batang" w:cs="Calibri"/>
          <w:szCs w:val="20"/>
          <w:lang w:val="en-US"/>
        </w:rPr>
        <w:footnoteReference w:id="428"/>
      </w:r>
      <w:r w:rsidRPr="003D4D09">
        <w:rPr>
          <w:rFonts w:eastAsia="Batang" w:cs="Calibri"/>
          <w:szCs w:val="20"/>
          <w:lang w:val="en-US"/>
        </w:rPr>
        <w:t xml:space="preserve"> (hereinafter “the Commission’s Rules of Procedure”) </w:t>
      </w:r>
      <w:r w:rsidRPr="003D4D09">
        <w:rPr>
          <w:rFonts w:eastAsia="Batang" w:cs="Calibri"/>
          <w:szCs w:val="20"/>
          <w:lang w:val="en-US"/>
        </w:rPr>
        <w:lastRenderedPageBreak/>
        <w:t xml:space="preserve">stipulates that the petition must contain information on </w:t>
      </w:r>
      <w:r w:rsidRPr="003D4D09">
        <w:rPr>
          <w:rFonts w:cs="Calibri"/>
          <w:szCs w:val="20"/>
          <w:lang w:val="en-US"/>
        </w:rPr>
        <w:t>“</w:t>
      </w:r>
      <w:r w:rsidRPr="003D4D09">
        <w:rPr>
          <w:rFonts w:cs="Calibri"/>
          <w:i/>
          <w:szCs w:val="20"/>
          <w:lang w:val="en-US"/>
        </w:rPr>
        <w:t>[a]</w:t>
      </w:r>
      <w:proofErr w:type="spellStart"/>
      <w:r w:rsidRPr="003D4D09">
        <w:rPr>
          <w:i/>
          <w:lang w:val="en-US"/>
        </w:rPr>
        <w:t>ny</w:t>
      </w:r>
      <w:proofErr w:type="spellEnd"/>
      <w:r w:rsidRPr="003D4D09">
        <w:rPr>
          <w:i/>
          <w:lang w:val="en-US"/>
        </w:rPr>
        <w:t xml:space="preserve"> steps taken to exhaust domestic remedies, or the impossibility of doing so</w:t>
      </w:r>
      <w:r w:rsidRPr="003D4D09">
        <w:rPr>
          <w:rFonts w:cs="Calibri"/>
          <w:i/>
          <w:szCs w:val="20"/>
          <w:lang w:val="en-US"/>
        </w:rPr>
        <w:t>.</w:t>
      </w:r>
      <w:r w:rsidRPr="003D4D09">
        <w:rPr>
          <w:rFonts w:cs="Calibri"/>
          <w:szCs w:val="20"/>
          <w:lang w:val="en-US"/>
        </w:rPr>
        <w:t xml:space="preserve">” It should be noted that, by referring to the said Rules of Procedure, attention is being drawn to how the Commission itself, by approving this legal instrument, has interpreted the provisions of the Convention </w:t>
      </w:r>
      <w:r>
        <w:rPr>
          <w:rFonts w:cs="Calibri"/>
          <w:szCs w:val="20"/>
          <w:lang w:val="en-US"/>
        </w:rPr>
        <w:t>and, in particular</w:t>
      </w:r>
      <w:r w:rsidRPr="003D4D09">
        <w:rPr>
          <w:rFonts w:cs="Calibri"/>
          <w:szCs w:val="20"/>
          <w:lang w:val="en-US"/>
        </w:rPr>
        <w:t xml:space="preserve"> in this case, its Article 46(1)(a).</w:t>
      </w:r>
    </w:p>
    <w:p w14:paraId="5C6DD4E6" w14:textId="77777777" w:rsidR="000F66F8" w:rsidRPr="003D4D09" w:rsidRDefault="000F66F8" w:rsidP="000F66F8">
      <w:pPr>
        <w:keepNext/>
        <w:rPr>
          <w:rFonts w:cs="Calibri"/>
          <w:szCs w:val="20"/>
          <w:lang w:val="en-US"/>
        </w:rPr>
      </w:pPr>
    </w:p>
    <w:p w14:paraId="7C8D6520" w14:textId="77777777" w:rsidR="000F66F8" w:rsidRPr="003D4D09" w:rsidRDefault="000F66F8" w:rsidP="000F66F8">
      <w:pPr>
        <w:keepNext/>
        <w:rPr>
          <w:rFonts w:cs="Calibri"/>
          <w:szCs w:val="20"/>
          <w:lang w:val="en-US"/>
        </w:rPr>
      </w:pPr>
      <w:r>
        <w:rPr>
          <w:rFonts w:cs="Calibri"/>
          <w:szCs w:val="20"/>
          <w:lang w:val="en-US"/>
        </w:rPr>
        <w:t>Clearly</w:t>
      </w:r>
      <w:r w:rsidRPr="003D4D09">
        <w:rPr>
          <w:rFonts w:cs="Calibri"/>
          <w:szCs w:val="20"/>
          <w:lang w:val="en-US"/>
        </w:rPr>
        <w:t xml:space="preserve"> for the same reason</w:t>
      </w:r>
      <w:r>
        <w:rPr>
          <w:rFonts w:cs="Calibri"/>
          <w:szCs w:val="20"/>
          <w:lang w:val="en-US"/>
        </w:rPr>
        <w:t>,</w:t>
      </w:r>
      <w:r w:rsidRPr="003D4D09">
        <w:rPr>
          <w:rFonts w:cs="Calibri"/>
          <w:szCs w:val="20"/>
          <w:lang w:val="en-US"/>
        </w:rPr>
        <w:t xml:space="preserve"> Article 31(3) of the Commission’s Rules of Procedure refers to the situation in which </w:t>
      </w:r>
      <w:r w:rsidRPr="003D4D09">
        <w:rPr>
          <w:rFonts w:cs="Calibri"/>
          <w:i/>
          <w:szCs w:val="20"/>
          <w:lang w:val="en-US"/>
        </w:rPr>
        <w:t xml:space="preserve">“the petitioner </w:t>
      </w:r>
      <w:r w:rsidRPr="003D4D09">
        <w:rPr>
          <w:i/>
          <w:lang w:val="en-US"/>
        </w:rPr>
        <w:t>contends that he or she is unable to prove compliance with the requirement indicated in this articl</w:t>
      </w:r>
      <w:r w:rsidRPr="003D4D09">
        <w:rPr>
          <w:rFonts w:cs="Calibri"/>
          <w:i/>
          <w:szCs w:val="20"/>
          <w:lang w:val="en-US"/>
        </w:rPr>
        <w:t xml:space="preserve">e.” </w:t>
      </w:r>
      <w:r>
        <w:rPr>
          <w:rFonts w:cs="Calibri"/>
          <w:szCs w:val="20"/>
          <w:lang w:val="en-US"/>
        </w:rPr>
        <w:t>In other words, this provision</w:t>
      </w:r>
      <w:r w:rsidRPr="003D4D09">
        <w:rPr>
          <w:rFonts w:cs="Calibri"/>
          <w:szCs w:val="20"/>
          <w:lang w:val="en-US"/>
        </w:rPr>
        <w:t xml:space="preserve"> indicates that the </w:t>
      </w:r>
      <w:r>
        <w:rPr>
          <w:rFonts w:cs="Calibri"/>
          <w:szCs w:val="20"/>
          <w:lang w:val="en-US"/>
        </w:rPr>
        <w:t>specific</w:t>
      </w:r>
      <w:r w:rsidRPr="003D4D09">
        <w:rPr>
          <w:rFonts w:cs="Calibri"/>
          <w:szCs w:val="20"/>
          <w:lang w:val="en-US"/>
        </w:rPr>
        <w:t xml:space="preserve"> exceptions to the rule of prior exhaustion of domestic remedies are established in favor of the presumed victim o</w:t>
      </w:r>
      <w:r>
        <w:rPr>
          <w:rFonts w:cs="Calibri"/>
          <w:szCs w:val="20"/>
          <w:lang w:val="en-US"/>
        </w:rPr>
        <w:t xml:space="preserve">r </w:t>
      </w:r>
      <w:r w:rsidRPr="003D4D09">
        <w:rPr>
          <w:rFonts w:cs="Calibri"/>
          <w:szCs w:val="20"/>
          <w:lang w:val="en-US"/>
        </w:rPr>
        <w:t>the petitioner. Con</w:t>
      </w:r>
      <w:r>
        <w:rPr>
          <w:rFonts w:cs="Calibri"/>
          <w:szCs w:val="20"/>
          <w:lang w:val="en-US"/>
        </w:rPr>
        <w:t>sequently, it is the petitioner</w:t>
      </w:r>
      <w:r w:rsidRPr="003D4D09">
        <w:rPr>
          <w:rFonts w:cs="Calibri"/>
          <w:szCs w:val="20"/>
          <w:lang w:val="en-US"/>
        </w:rPr>
        <w:t xml:space="preserve"> and no one else, not even the Commission, who may argue or assert some of the exceptions to the said rule and, evidently, this can only be done when the petition is </w:t>
      </w:r>
      <w:r>
        <w:rPr>
          <w:rFonts w:cs="Calibri"/>
          <w:szCs w:val="20"/>
          <w:lang w:val="en-US"/>
        </w:rPr>
        <w:t>drawn up</w:t>
      </w:r>
      <w:r w:rsidRPr="003D4D09">
        <w:rPr>
          <w:rFonts w:cs="Calibri"/>
          <w:szCs w:val="20"/>
          <w:lang w:val="en-US"/>
        </w:rPr>
        <w:t>.</w:t>
      </w:r>
      <w:r>
        <w:rPr>
          <w:rFonts w:cs="Calibri"/>
          <w:szCs w:val="20"/>
          <w:lang w:val="en-US"/>
        </w:rPr>
        <w:t xml:space="preserve"> </w:t>
      </w:r>
    </w:p>
    <w:p w14:paraId="576D7A34" w14:textId="77777777" w:rsidR="000F66F8" w:rsidRPr="003D4D09" w:rsidRDefault="000F66F8" w:rsidP="000F66F8">
      <w:pPr>
        <w:pStyle w:val="NormalWeb"/>
        <w:keepNext/>
        <w:spacing w:before="0" w:beforeAutospacing="0" w:after="0" w:afterAutospacing="0"/>
        <w:jc w:val="both"/>
        <w:rPr>
          <w:rFonts w:ascii="Verdana" w:eastAsia="Batang" w:hAnsi="Verdana" w:cs="Calibri"/>
          <w:sz w:val="20"/>
          <w:szCs w:val="20"/>
          <w:lang w:val="en-US"/>
        </w:rPr>
      </w:pPr>
    </w:p>
    <w:p w14:paraId="1DF60737" w14:textId="77777777" w:rsidR="000F66F8" w:rsidRPr="003D4D09" w:rsidRDefault="000F66F8" w:rsidP="000F66F8">
      <w:pPr>
        <w:pStyle w:val="NormalWeb"/>
        <w:keepNext/>
        <w:spacing w:before="0" w:beforeAutospacing="0" w:after="0" w:afterAutospacing="0"/>
        <w:jc w:val="both"/>
        <w:rPr>
          <w:rFonts w:ascii="Verdana" w:eastAsia="Batang" w:hAnsi="Verdana" w:cs="Calibri"/>
          <w:sz w:val="20"/>
          <w:szCs w:val="20"/>
          <w:lang w:val="en-US"/>
        </w:rPr>
      </w:pPr>
      <w:r w:rsidRPr="003D4D09">
        <w:rPr>
          <w:rFonts w:ascii="Verdana" w:eastAsia="Batang" w:hAnsi="Verdana" w:cs="Calibri"/>
          <w:sz w:val="20"/>
          <w:szCs w:val="20"/>
          <w:lang w:val="en-US"/>
        </w:rPr>
        <w:t xml:space="preserve">The second comment regarding the petition relates to the </w:t>
      </w:r>
      <w:r>
        <w:rPr>
          <w:rFonts w:ascii="Verdana" w:eastAsia="Batang" w:hAnsi="Verdana" w:cs="Calibri"/>
          <w:sz w:val="20"/>
          <w:szCs w:val="20"/>
          <w:lang w:val="en-US"/>
        </w:rPr>
        <w:t>fact</w:t>
      </w:r>
      <w:r w:rsidRPr="003D4D09">
        <w:rPr>
          <w:rFonts w:ascii="Verdana" w:eastAsia="Batang" w:hAnsi="Verdana" w:cs="Calibri"/>
          <w:sz w:val="20"/>
          <w:szCs w:val="20"/>
          <w:lang w:val="en-US"/>
        </w:rPr>
        <w:t xml:space="preserve"> that Article 46(1) of the Convention refers to it as “</w:t>
      </w:r>
      <w:r w:rsidRPr="003D4D09">
        <w:rPr>
          <w:rFonts w:ascii="Verdana" w:eastAsia="Batang" w:hAnsi="Verdana" w:cs="Calibri"/>
          <w:i/>
          <w:sz w:val="20"/>
          <w:szCs w:val="20"/>
          <w:lang w:val="en-US"/>
        </w:rPr>
        <w:t>lodged</w:t>
      </w:r>
      <w:r w:rsidRPr="003D4D09">
        <w:rPr>
          <w:rFonts w:ascii="Verdana" w:eastAsia="Batang" w:hAnsi="Verdana" w:cs="Calibri"/>
          <w:sz w:val="20"/>
          <w:szCs w:val="20"/>
          <w:lang w:val="en-US"/>
        </w:rPr>
        <w:t xml:space="preserve">,” which means that it should be considered </w:t>
      </w:r>
      <w:r>
        <w:rPr>
          <w:rFonts w:ascii="Verdana" w:eastAsia="Batang" w:hAnsi="Verdana" w:cs="Calibri"/>
          <w:sz w:val="20"/>
          <w:szCs w:val="20"/>
          <w:lang w:val="en-US"/>
        </w:rPr>
        <w:t>just as it was submitted and</w:t>
      </w:r>
      <w:r w:rsidRPr="003D4D09">
        <w:rPr>
          <w:rFonts w:ascii="Verdana" w:eastAsia="Batang" w:hAnsi="Verdana" w:cs="Calibri"/>
          <w:sz w:val="20"/>
          <w:szCs w:val="20"/>
          <w:lang w:val="en-US"/>
        </w:rPr>
        <w:t xml:space="preserve"> if, at that time, it meets the require</w:t>
      </w:r>
      <w:r>
        <w:rPr>
          <w:rFonts w:ascii="Verdana" w:eastAsia="Batang" w:hAnsi="Verdana" w:cs="Calibri"/>
          <w:sz w:val="20"/>
          <w:szCs w:val="20"/>
          <w:lang w:val="en-US"/>
        </w:rPr>
        <w:t>ments set out in this provision</w:t>
      </w:r>
      <w:r w:rsidRPr="003D4D09">
        <w:rPr>
          <w:rFonts w:ascii="Verdana" w:eastAsia="Batang" w:hAnsi="Verdana" w:cs="Calibri"/>
          <w:sz w:val="20"/>
          <w:szCs w:val="20"/>
          <w:lang w:val="en-US"/>
        </w:rPr>
        <w:t xml:space="preserve">, it should be admitted. Accordingly, it is at that </w:t>
      </w:r>
      <w:r>
        <w:rPr>
          <w:rFonts w:ascii="Verdana" w:eastAsia="Batang" w:hAnsi="Verdana" w:cs="Calibri"/>
          <w:sz w:val="20"/>
          <w:szCs w:val="20"/>
          <w:lang w:val="en-US"/>
        </w:rPr>
        <w:t>moment – the moment of its submission – whe</w:t>
      </w:r>
      <w:r w:rsidRPr="003D4D09">
        <w:rPr>
          <w:rFonts w:ascii="Verdana" w:eastAsia="Batang" w:hAnsi="Verdana" w:cs="Calibri"/>
          <w:sz w:val="20"/>
          <w:szCs w:val="20"/>
          <w:lang w:val="en-US"/>
        </w:rPr>
        <w:t xml:space="preserve">n it should have complied with the requirement concerning the </w:t>
      </w:r>
      <w:r w:rsidRPr="003D4D09">
        <w:rPr>
          <w:rFonts w:ascii="Verdana" w:hAnsi="Verdana" w:cs="Calibri"/>
          <w:sz w:val="20"/>
          <w:szCs w:val="20"/>
          <w:lang w:val="en-US"/>
        </w:rPr>
        <w:t>prior exhaustion of domestic remedies established in Article 46(1</w:t>
      </w:r>
      <w:proofErr w:type="gramStart"/>
      <w:r w:rsidRPr="003D4D09">
        <w:rPr>
          <w:rFonts w:ascii="Verdana" w:hAnsi="Verdana" w:cs="Calibri"/>
          <w:sz w:val="20"/>
          <w:szCs w:val="20"/>
          <w:lang w:val="en-US"/>
        </w:rPr>
        <w:t>)(</w:t>
      </w:r>
      <w:proofErr w:type="gramEnd"/>
      <w:r w:rsidRPr="003D4D09">
        <w:rPr>
          <w:rFonts w:ascii="Verdana" w:hAnsi="Verdana" w:cs="Calibri"/>
          <w:sz w:val="20"/>
          <w:szCs w:val="20"/>
          <w:lang w:val="en-US"/>
        </w:rPr>
        <w:t>a) of the Convention and</w:t>
      </w:r>
      <w:r>
        <w:rPr>
          <w:rFonts w:ascii="Verdana" w:hAnsi="Verdana" w:cs="Calibri"/>
          <w:sz w:val="20"/>
          <w:szCs w:val="20"/>
          <w:lang w:val="en-US"/>
        </w:rPr>
        <w:t>,</w:t>
      </w:r>
      <w:r w:rsidRPr="003D4D09">
        <w:rPr>
          <w:rFonts w:ascii="Verdana" w:hAnsi="Verdana" w:cs="Calibri"/>
          <w:sz w:val="20"/>
          <w:szCs w:val="20"/>
          <w:lang w:val="en-US"/>
        </w:rPr>
        <w:t xml:space="preserve"> only if this is so, the petition “</w:t>
      </w:r>
      <w:r w:rsidRPr="003D4D09">
        <w:rPr>
          <w:rFonts w:ascii="Verdana" w:hAnsi="Verdana" w:cs="Calibri"/>
          <w:i/>
          <w:sz w:val="20"/>
          <w:szCs w:val="20"/>
          <w:lang w:val="en-US"/>
        </w:rPr>
        <w:t>lodged</w:t>
      </w:r>
      <w:r w:rsidRPr="003D4D09">
        <w:rPr>
          <w:rFonts w:ascii="Verdana" w:hAnsi="Verdana" w:cs="Calibri"/>
          <w:sz w:val="20"/>
          <w:szCs w:val="20"/>
          <w:lang w:val="en-US"/>
        </w:rPr>
        <w:t>” may be “</w:t>
      </w:r>
      <w:r w:rsidRPr="003D4D09">
        <w:rPr>
          <w:rFonts w:ascii="Verdana" w:hAnsi="Verdana" w:cs="Calibri"/>
          <w:i/>
          <w:sz w:val="20"/>
          <w:szCs w:val="20"/>
          <w:lang w:val="en-US"/>
        </w:rPr>
        <w:t>admitted</w:t>
      </w:r>
      <w:r w:rsidRPr="003D4D09">
        <w:rPr>
          <w:rFonts w:ascii="Verdana" w:hAnsi="Verdana" w:cs="Calibri"/>
          <w:sz w:val="20"/>
          <w:szCs w:val="20"/>
          <w:lang w:val="en-US"/>
        </w:rPr>
        <w:t>” by the Commission.</w:t>
      </w:r>
    </w:p>
    <w:p w14:paraId="027F9928"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742354A4"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Similarly, Article 46(1</w:t>
      </w:r>
      <w:proofErr w:type="gramStart"/>
      <w:r w:rsidRPr="003D4D09">
        <w:rPr>
          <w:rFonts w:ascii="Verdana" w:hAnsi="Verdana" w:cs="Calibri"/>
          <w:sz w:val="20"/>
          <w:szCs w:val="20"/>
          <w:lang w:val="en-US"/>
        </w:rPr>
        <w:t>)(</w:t>
      </w:r>
      <w:proofErr w:type="gramEnd"/>
      <w:r w:rsidRPr="003D4D09">
        <w:rPr>
          <w:rFonts w:ascii="Verdana" w:hAnsi="Verdana" w:cs="Calibri"/>
          <w:sz w:val="20"/>
          <w:szCs w:val="20"/>
          <w:lang w:val="en-US"/>
        </w:rPr>
        <w:t xml:space="preserve">b) of the </w:t>
      </w:r>
      <w:r>
        <w:rPr>
          <w:rFonts w:ascii="Verdana" w:hAnsi="Verdana" w:cs="Calibri"/>
          <w:sz w:val="20"/>
          <w:szCs w:val="20"/>
          <w:lang w:val="en-US"/>
        </w:rPr>
        <w:t>Convention is</w:t>
      </w:r>
      <w:r w:rsidRPr="003D4D09">
        <w:rPr>
          <w:rFonts w:ascii="Verdana" w:hAnsi="Verdana" w:cs="Calibri"/>
          <w:sz w:val="20"/>
          <w:szCs w:val="20"/>
          <w:lang w:val="en-US"/>
        </w:rPr>
        <w:t xml:space="preserve"> </w:t>
      </w:r>
      <w:r>
        <w:rPr>
          <w:rFonts w:ascii="Verdana" w:hAnsi="Verdana" w:cs="Calibri"/>
          <w:sz w:val="20"/>
          <w:szCs w:val="20"/>
          <w:lang w:val="en-US"/>
        </w:rPr>
        <w:t>based</w:t>
      </w:r>
      <w:r w:rsidRPr="003D4D09">
        <w:rPr>
          <w:rFonts w:ascii="Verdana" w:hAnsi="Verdana" w:cs="Calibri"/>
          <w:sz w:val="20"/>
          <w:szCs w:val="20"/>
          <w:lang w:val="en-US"/>
        </w:rPr>
        <w:t xml:space="preserve"> on the same concept since it establishes that, for the petition to be admitted, it must have been “</w:t>
      </w:r>
      <w:r w:rsidRPr="003D4D09">
        <w:rPr>
          <w:rFonts w:ascii="Verdana" w:hAnsi="Verdana"/>
          <w:i/>
          <w:spacing w:val="-3"/>
          <w:sz w:val="20"/>
          <w:szCs w:val="20"/>
          <w:lang w:val="en-US"/>
        </w:rPr>
        <w:t>lodged within a period of six months from the date on which the party alleging violation of his rights was notified of the final judgment.”</w:t>
      </w:r>
      <w:r w:rsidRPr="003D4D09">
        <w:rPr>
          <w:rFonts w:ascii="Verdana" w:hAnsi="Verdana"/>
          <w:spacing w:val="-3"/>
          <w:sz w:val="20"/>
          <w:szCs w:val="20"/>
          <w:lang w:val="en-US"/>
        </w:rPr>
        <w:t xml:space="preserve"> Undoubtedly, it should be understood that this should be the judgment </w:t>
      </w:r>
      <w:r>
        <w:rPr>
          <w:rFonts w:ascii="Verdana" w:hAnsi="Verdana"/>
          <w:spacing w:val="-3"/>
          <w:sz w:val="20"/>
          <w:szCs w:val="20"/>
          <w:lang w:val="en-US"/>
        </w:rPr>
        <w:t>handed down</w:t>
      </w:r>
      <w:r w:rsidRPr="003D4D09">
        <w:rPr>
          <w:rFonts w:ascii="Verdana" w:hAnsi="Verdana"/>
          <w:spacing w:val="-3"/>
          <w:sz w:val="20"/>
          <w:szCs w:val="20"/>
          <w:lang w:val="en-US"/>
        </w:rPr>
        <w:t xml:space="preserve"> on the last remedy that was filed, with no other remedies that may be filed. In other words, the time frame indicated for lodging the petition is calculated from the date</w:t>
      </w:r>
      <w:r>
        <w:rPr>
          <w:rFonts w:ascii="Verdana" w:hAnsi="Verdana"/>
          <w:spacing w:val="-3"/>
          <w:sz w:val="20"/>
          <w:szCs w:val="20"/>
          <w:lang w:val="en-US"/>
        </w:rPr>
        <w:t xml:space="preserve"> of</w:t>
      </w:r>
      <w:r w:rsidRPr="003D4D09">
        <w:rPr>
          <w:rFonts w:ascii="Verdana" w:hAnsi="Verdana"/>
          <w:spacing w:val="-3"/>
          <w:sz w:val="20"/>
          <w:szCs w:val="20"/>
          <w:lang w:val="en-US"/>
        </w:rPr>
        <w:t xml:space="preserve"> notification of the final decision of the domestic authorities or courts on the remedies that have been filed before them and</w:t>
      </w:r>
      <w:r>
        <w:rPr>
          <w:rFonts w:ascii="Verdana" w:hAnsi="Verdana"/>
          <w:spacing w:val="-3"/>
          <w:sz w:val="20"/>
          <w:szCs w:val="20"/>
          <w:lang w:val="en-US"/>
        </w:rPr>
        <w:t xml:space="preserve">, consequently, these </w:t>
      </w:r>
      <w:r w:rsidRPr="003D4D09">
        <w:rPr>
          <w:rFonts w:ascii="Verdana" w:hAnsi="Verdana"/>
          <w:spacing w:val="-3"/>
          <w:sz w:val="20"/>
          <w:szCs w:val="20"/>
          <w:lang w:val="en-US"/>
        </w:rPr>
        <w:t xml:space="preserve">may have resulted in </w:t>
      </w:r>
      <w:r w:rsidRPr="003D4D09">
        <w:rPr>
          <w:rFonts w:ascii="Verdana" w:hAnsi="Verdana" w:cs="Calibri"/>
          <w:sz w:val="20"/>
          <w:szCs w:val="20"/>
          <w:lang w:val="en-US"/>
        </w:rPr>
        <w:t>the</w:t>
      </w:r>
      <w:r>
        <w:rPr>
          <w:rFonts w:ascii="Verdana" w:hAnsi="Verdana" w:cs="Calibri"/>
          <w:sz w:val="20"/>
          <w:szCs w:val="20"/>
          <w:lang w:val="en-US"/>
        </w:rPr>
        <w:t xml:space="preserve"> State’s</w:t>
      </w:r>
      <w:r w:rsidRPr="003D4D09">
        <w:rPr>
          <w:rFonts w:ascii="Verdana" w:hAnsi="Verdana" w:cs="Calibri"/>
          <w:sz w:val="20"/>
          <w:szCs w:val="20"/>
          <w:lang w:val="en-US"/>
        </w:rPr>
        <w:t xml:space="preserve"> international responsibility, which evidently implies that</w:t>
      </w:r>
      <w:r w:rsidRPr="00D1568D">
        <w:rPr>
          <w:rFonts w:ascii="Verdana" w:hAnsi="Verdana" w:cs="Calibri"/>
          <w:sz w:val="20"/>
          <w:szCs w:val="20"/>
          <w:lang w:val="en-US"/>
        </w:rPr>
        <w:t xml:space="preserve"> </w:t>
      </w:r>
      <w:r w:rsidRPr="003D4D09">
        <w:rPr>
          <w:rFonts w:ascii="Verdana" w:hAnsi="Verdana" w:cs="Calibri"/>
          <w:sz w:val="20"/>
          <w:szCs w:val="20"/>
          <w:lang w:val="en-US"/>
        </w:rPr>
        <w:t xml:space="preserve">they </w:t>
      </w:r>
      <w:r>
        <w:rPr>
          <w:rFonts w:ascii="Verdana" w:hAnsi="Verdana" w:cs="Calibri"/>
          <w:sz w:val="20"/>
          <w:szCs w:val="20"/>
          <w:lang w:val="en-US"/>
        </w:rPr>
        <w:t>must</w:t>
      </w:r>
      <w:r w:rsidRPr="003D4D09">
        <w:rPr>
          <w:rFonts w:ascii="Verdana" w:hAnsi="Verdana" w:cs="Calibri"/>
          <w:sz w:val="20"/>
          <w:szCs w:val="20"/>
          <w:lang w:val="en-US"/>
        </w:rPr>
        <w:t xml:space="preserve"> have been exhausted </w:t>
      </w:r>
      <w:r>
        <w:rPr>
          <w:rFonts w:ascii="Verdana" w:hAnsi="Verdana" w:cs="Calibri"/>
          <w:sz w:val="20"/>
          <w:szCs w:val="20"/>
          <w:lang w:val="en-US"/>
        </w:rPr>
        <w:t>when the petition wa</w:t>
      </w:r>
      <w:r w:rsidRPr="003D4D09">
        <w:rPr>
          <w:rFonts w:ascii="Verdana" w:hAnsi="Verdana" w:cs="Calibri"/>
          <w:sz w:val="20"/>
          <w:szCs w:val="20"/>
          <w:lang w:val="en-US"/>
        </w:rPr>
        <w:t>s “</w:t>
      </w:r>
      <w:r>
        <w:rPr>
          <w:rFonts w:ascii="Verdana" w:hAnsi="Verdana" w:cs="Calibri"/>
          <w:i/>
          <w:sz w:val="20"/>
          <w:szCs w:val="20"/>
          <w:lang w:val="en-US"/>
        </w:rPr>
        <w:t>lodged.</w:t>
      </w:r>
      <w:r w:rsidRPr="003D4D09">
        <w:rPr>
          <w:rFonts w:ascii="Verdana" w:hAnsi="Verdana" w:cs="Calibri"/>
          <w:sz w:val="20"/>
          <w:szCs w:val="20"/>
          <w:lang w:val="en-US"/>
        </w:rPr>
        <w:t>”</w:t>
      </w:r>
    </w:p>
    <w:p w14:paraId="0A7311DE" w14:textId="77777777" w:rsidR="000F66F8" w:rsidRPr="003D4D09" w:rsidRDefault="000F66F8" w:rsidP="000F66F8">
      <w:pPr>
        <w:keepNext/>
        <w:rPr>
          <w:rFonts w:cs="Calibri"/>
          <w:szCs w:val="20"/>
          <w:shd w:val="clear" w:color="auto" w:fill="FFFFFF"/>
          <w:lang w:val="en-US"/>
        </w:rPr>
      </w:pPr>
    </w:p>
    <w:p w14:paraId="7B812678" w14:textId="77777777" w:rsidR="000F66F8" w:rsidRPr="003D4D09" w:rsidRDefault="000F66F8" w:rsidP="000F66F8">
      <w:pPr>
        <w:keepNext/>
        <w:rPr>
          <w:rFonts w:cs="Calibri"/>
          <w:szCs w:val="20"/>
          <w:lang w:val="en-US"/>
        </w:rPr>
      </w:pPr>
      <w:r w:rsidRPr="003D4D09">
        <w:rPr>
          <w:rFonts w:cs="Calibri"/>
          <w:szCs w:val="20"/>
          <w:shd w:val="clear" w:color="auto" w:fill="FFFFFF"/>
          <w:lang w:val="en-US"/>
        </w:rPr>
        <w:t>Meanwhile, Article 26(1) of the Commission’s Rules of Procedure stipulates that the initial processing is carried out of the petitions “</w:t>
      </w:r>
      <w:r w:rsidRPr="003D4D09">
        <w:rPr>
          <w:rFonts w:cs="Calibri"/>
          <w:i/>
          <w:szCs w:val="20"/>
          <w:shd w:val="clear" w:color="auto" w:fill="FFFFFF"/>
          <w:lang w:val="en-US"/>
        </w:rPr>
        <w:t>that fulfill all the requirements set forth,</w:t>
      </w:r>
      <w:r w:rsidRPr="003D4D09">
        <w:rPr>
          <w:rFonts w:cs="Calibri"/>
          <w:szCs w:val="20"/>
          <w:shd w:val="clear" w:color="auto" w:fill="FFFFFF"/>
          <w:lang w:val="en-US"/>
        </w:rPr>
        <w:t xml:space="preserve">” and such petitions must indicate, as established by the above-mentioned </w:t>
      </w:r>
      <w:r w:rsidRPr="003D4D09">
        <w:rPr>
          <w:rFonts w:cs="Calibri"/>
          <w:szCs w:val="20"/>
          <w:lang w:val="en-US"/>
        </w:rPr>
        <w:t>Article 28(h), the “</w:t>
      </w:r>
      <w:r w:rsidRPr="003D4D09">
        <w:rPr>
          <w:i/>
          <w:lang w:val="en-US"/>
        </w:rPr>
        <w:t>steps taken to exhaust domestic remedies, or the impossibility of doing so</w:t>
      </w:r>
      <w:r w:rsidRPr="003D4D09">
        <w:rPr>
          <w:lang w:val="en-US"/>
        </w:rPr>
        <w:t>,” and if they do not meet this requirement</w:t>
      </w:r>
      <w:r w:rsidRPr="003D4D09">
        <w:rPr>
          <w:rFonts w:cs="Calibri"/>
          <w:szCs w:val="20"/>
          <w:shd w:val="clear" w:color="auto" w:fill="FFFFFF"/>
          <w:lang w:val="en-US"/>
        </w:rPr>
        <w:t>, “</w:t>
      </w:r>
      <w:r w:rsidRPr="003D4D09">
        <w:rPr>
          <w:rFonts w:cs="Calibri"/>
          <w:i/>
          <w:szCs w:val="20"/>
          <w:lang w:val="en-US"/>
        </w:rPr>
        <w:t>the Commission</w:t>
      </w:r>
      <w:r w:rsidRPr="003D4D09">
        <w:rPr>
          <w:rFonts w:cs="Calibri"/>
          <w:szCs w:val="20"/>
          <w:lang w:val="en-US"/>
        </w:rPr>
        <w:t>[, as established in Articles 26(2) and 29(1)(b) of these Rules of Procedure,]</w:t>
      </w:r>
      <w:r w:rsidRPr="003D4D09">
        <w:rPr>
          <w:rFonts w:cs="Calibri"/>
          <w:i/>
          <w:szCs w:val="20"/>
          <w:lang w:val="en-US"/>
        </w:rPr>
        <w:t xml:space="preserve"> </w:t>
      </w:r>
      <w:r w:rsidRPr="003D4D09">
        <w:rPr>
          <w:i/>
          <w:lang w:val="en-US"/>
        </w:rPr>
        <w:t>may request the petitioner or his or her representative to fulfill them</w:t>
      </w:r>
      <w:r w:rsidRPr="003D4D09">
        <w:rPr>
          <w:rFonts w:cs="Calibri"/>
          <w:i/>
          <w:szCs w:val="20"/>
          <w:lang w:val="en-US"/>
        </w:rPr>
        <w:t>.</w:t>
      </w:r>
      <w:r w:rsidRPr="003D4D09">
        <w:rPr>
          <w:rFonts w:cs="Calibri"/>
          <w:szCs w:val="20"/>
          <w:lang w:val="en-US"/>
        </w:rPr>
        <w:t xml:space="preserve">” </w:t>
      </w:r>
      <w:r>
        <w:rPr>
          <w:rFonts w:cs="Calibri"/>
          <w:szCs w:val="20"/>
          <w:lang w:val="en-US"/>
        </w:rPr>
        <w:t>Moreover,</w:t>
      </w:r>
      <w:r w:rsidRPr="003D4D09">
        <w:rPr>
          <w:rFonts w:cs="Calibri"/>
          <w:szCs w:val="20"/>
          <w:lang w:val="en-US"/>
        </w:rPr>
        <w:t xml:space="preserve"> according to the </w:t>
      </w:r>
      <w:r>
        <w:rPr>
          <w:rFonts w:cs="Calibri"/>
          <w:szCs w:val="20"/>
          <w:lang w:val="en-US"/>
        </w:rPr>
        <w:t>said</w:t>
      </w:r>
      <w:r w:rsidRPr="003D4D09">
        <w:rPr>
          <w:rFonts w:cs="Calibri"/>
          <w:szCs w:val="20"/>
          <w:lang w:val="en-US"/>
        </w:rPr>
        <w:t xml:space="preserve"> Article 46(1</w:t>
      </w:r>
      <w:proofErr w:type="gramStart"/>
      <w:r w:rsidRPr="003D4D09">
        <w:rPr>
          <w:rFonts w:cs="Calibri"/>
          <w:szCs w:val="20"/>
          <w:lang w:val="en-US"/>
        </w:rPr>
        <w:t>)(</w:t>
      </w:r>
      <w:proofErr w:type="gramEnd"/>
      <w:r w:rsidRPr="003D4D09">
        <w:rPr>
          <w:rFonts w:cs="Calibri"/>
          <w:szCs w:val="20"/>
          <w:lang w:val="en-US"/>
        </w:rPr>
        <w:t>b) of the Convention, the Commission should consider, only those petitions “</w:t>
      </w:r>
      <w:r w:rsidRPr="003D4D09">
        <w:rPr>
          <w:i/>
          <w:spacing w:val="-3"/>
          <w:szCs w:val="20"/>
          <w:lang w:val="en-US"/>
        </w:rPr>
        <w:t>lodged within a period of six months</w:t>
      </w:r>
      <w:r w:rsidRPr="003D4D09">
        <w:rPr>
          <w:spacing w:val="-3"/>
          <w:szCs w:val="20"/>
          <w:lang w:val="en-US"/>
        </w:rPr>
        <w:t xml:space="preserve"> </w:t>
      </w:r>
      <w:r w:rsidRPr="003D4D09">
        <w:rPr>
          <w:i/>
          <w:spacing w:val="-3"/>
          <w:szCs w:val="20"/>
          <w:lang w:val="en-US"/>
        </w:rPr>
        <w:t>from the date</w:t>
      </w:r>
      <w:r w:rsidRPr="003D4D09">
        <w:rPr>
          <w:spacing w:val="-3"/>
          <w:szCs w:val="20"/>
          <w:lang w:val="en-US"/>
        </w:rPr>
        <w:t>” of notification of the decision that exhausted the domestic remedies</w:t>
      </w:r>
      <w:r w:rsidRPr="003D4D09">
        <w:rPr>
          <w:rFonts w:cs="Calibri"/>
          <w:szCs w:val="20"/>
          <w:lang w:val="en-US"/>
        </w:rPr>
        <w:t>.</w:t>
      </w:r>
    </w:p>
    <w:p w14:paraId="24ADCBF9" w14:textId="77777777" w:rsidR="000F66F8" w:rsidRPr="003D4D09" w:rsidRDefault="000F66F8" w:rsidP="000F66F8">
      <w:pPr>
        <w:keepNext/>
        <w:rPr>
          <w:rFonts w:cs="Calibri"/>
          <w:szCs w:val="20"/>
          <w:lang w:val="en-US"/>
        </w:rPr>
      </w:pPr>
    </w:p>
    <w:p w14:paraId="3A76C508" w14:textId="77777777" w:rsidR="000F66F8" w:rsidRDefault="000F66F8" w:rsidP="000F66F8">
      <w:pPr>
        <w:keepNext/>
        <w:rPr>
          <w:rFonts w:cs="Calibri"/>
          <w:szCs w:val="20"/>
          <w:lang w:val="en-US"/>
        </w:rPr>
      </w:pPr>
      <w:r w:rsidRPr="003D4D09">
        <w:rPr>
          <w:rFonts w:cs="Calibri"/>
          <w:szCs w:val="20"/>
          <w:lang w:val="en-US"/>
        </w:rPr>
        <w:t xml:space="preserve">Based on all the above, it can be </w:t>
      </w:r>
      <w:r>
        <w:rPr>
          <w:rFonts w:cs="Calibri"/>
          <w:szCs w:val="20"/>
          <w:lang w:val="en-US"/>
        </w:rPr>
        <w:t>concluded</w:t>
      </w:r>
      <w:r w:rsidRPr="003D4D09">
        <w:rPr>
          <w:rFonts w:cs="Calibri"/>
          <w:szCs w:val="20"/>
          <w:lang w:val="en-US"/>
        </w:rPr>
        <w:t xml:space="preserve"> that, ultimately, compliance with the said rule of prior exhaustion of domestic remedies constitutes a requirement that the petition must meet in order to be “</w:t>
      </w:r>
      <w:r w:rsidRPr="003D4D09">
        <w:rPr>
          <w:rFonts w:cs="Calibri"/>
          <w:i/>
          <w:szCs w:val="20"/>
          <w:lang w:val="en-US"/>
        </w:rPr>
        <w:t>lodged.</w:t>
      </w:r>
      <w:r w:rsidRPr="003D4D09">
        <w:rPr>
          <w:rFonts w:cs="Calibri"/>
          <w:szCs w:val="20"/>
          <w:lang w:val="en-US"/>
        </w:rPr>
        <w:t xml:space="preserve">” </w:t>
      </w:r>
    </w:p>
    <w:p w14:paraId="797198DF" w14:textId="77777777" w:rsidR="000F66F8" w:rsidRDefault="000F66F8" w:rsidP="000F66F8">
      <w:pPr>
        <w:keepNext/>
        <w:rPr>
          <w:rFonts w:cs="Calibri"/>
          <w:szCs w:val="20"/>
          <w:lang w:val="en-US"/>
        </w:rPr>
      </w:pPr>
    </w:p>
    <w:p w14:paraId="1602A278" w14:textId="77777777" w:rsidR="000F66F8" w:rsidRPr="003D4D09" w:rsidRDefault="000F66F8" w:rsidP="000F66F8">
      <w:pPr>
        <w:keepNext/>
        <w:rPr>
          <w:rFonts w:cs="Calibri"/>
          <w:szCs w:val="20"/>
          <w:lang w:val="en-US"/>
        </w:rPr>
      </w:pPr>
    </w:p>
    <w:p w14:paraId="7E1F8804" w14:textId="77777777" w:rsidR="000F66F8" w:rsidRPr="003D4D09" w:rsidRDefault="000F66F8" w:rsidP="000F66F8">
      <w:pPr>
        <w:keepNext/>
        <w:rPr>
          <w:rFonts w:cs="Calibri"/>
          <w:szCs w:val="20"/>
          <w:lang w:val="en-US"/>
        </w:rPr>
      </w:pPr>
    </w:p>
    <w:p w14:paraId="1AB20B06" w14:textId="77777777" w:rsidR="000F66F8" w:rsidRPr="003D4D09" w:rsidRDefault="000F66F8" w:rsidP="000F66F8">
      <w:pPr>
        <w:keepNext/>
        <w:numPr>
          <w:ilvl w:val="0"/>
          <w:numId w:val="16"/>
        </w:numPr>
        <w:ind w:left="567" w:hanging="283"/>
        <w:rPr>
          <w:rFonts w:cs="Calibri"/>
          <w:szCs w:val="20"/>
          <w:lang w:val="en-US"/>
        </w:rPr>
      </w:pPr>
      <w:r w:rsidRPr="003D4D09">
        <w:rPr>
          <w:rFonts w:cs="Calibri"/>
          <w:b/>
          <w:szCs w:val="20"/>
          <w:lang w:val="en-US"/>
        </w:rPr>
        <w:t>Study and initial processing by the Commission</w:t>
      </w:r>
    </w:p>
    <w:p w14:paraId="3B5DAB8A" w14:textId="77777777" w:rsidR="000F66F8" w:rsidRPr="003D4D09" w:rsidRDefault="000F66F8" w:rsidP="000F66F8">
      <w:pPr>
        <w:keepNext/>
        <w:ind w:left="567"/>
        <w:rPr>
          <w:rFonts w:cs="Calibri"/>
          <w:szCs w:val="20"/>
          <w:lang w:val="en-US"/>
        </w:rPr>
      </w:pPr>
    </w:p>
    <w:p w14:paraId="138A961E" w14:textId="77777777" w:rsidR="000F66F8" w:rsidRPr="003D4D09" w:rsidRDefault="000F66F8" w:rsidP="000F66F8">
      <w:pPr>
        <w:keepNext/>
        <w:autoSpaceDE w:val="0"/>
        <w:autoSpaceDN w:val="0"/>
        <w:adjustRightInd w:val="0"/>
        <w:rPr>
          <w:rFonts w:cs="Calibri"/>
          <w:szCs w:val="20"/>
          <w:lang w:val="en-US"/>
        </w:rPr>
      </w:pPr>
      <w:r w:rsidRPr="003D4D09">
        <w:rPr>
          <w:rFonts w:cs="Calibri"/>
          <w:szCs w:val="20"/>
          <w:lang w:val="en-US"/>
        </w:rPr>
        <w:lastRenderedPageBreak/>
        <w:t xml:space="preserve">However, in addition to benefitting both the State and the presumed victim or the petitioner and representing an obligation for the latter, the rule of prior exhaustion of </w:t>
      </w:r>
      <w:r>
        <w:rPr>
          <w:rFonts w:cs="Calibri"/>
          <w:szCs w:val="20"/>
          <w:lang w:val="en-US"/>
        </w:rPr>
        <w:t xml:space="preserve">domestic </w:t>
      </w:r>
      <w:r w:rsidRPr="003D4D09">
        <w:rPr>
          <w:rFonts w:cs="Calibri"/>
          <w:szCs w:val="20"/>
          <w:lang w:val="en-US"/>
        </w:rPr>
        <w:t>remedies also entails an obligation for the Commission. Indeed, according to Article</w:t>
      </w:r>
      <w:r w:rsidRPr="003D4D09">
        <w:rPr>
          <w:rFonts w:cs="Calibri"/>
          <w:i/>
          <w:szCs w:val="20"/>
          <w:lang w:val="en-US"/>
        </w:rPr>
        <w:t xml:space="preserve"> </w:t>
      </w:r>
      <w:r w:rsidRPr="003D4D09">
        <w:rPr>
          <w:rFonts w:cs="Calibri"/>
          <w:szCs w:val="20"/>
          <w:lang w:val="en-US"/>
        </w:rPr>
        <w:t>26(1) of the Commission’s Rules of Procedure, “</w:t>
      </w:r>
      <w:r w:rsidRPr="003D4D09">
        <w:rPr>
          <w:rFonts w:cs="Calibri"/>
          <w:i/>
          <w:szCs w:val="20"/>
          <w:lang w:val="en-US"/>
        </w:rPr>
        <w:t>[t]he</w:t>
      </w:r>
      <w:r w:rsidRPr="003D4D09">
        <w:rPr>
          <w:i/>
          <w:lang w:val="en-US"/>
        </w:rPr>
        <w:t xml:space="preserve"> Executive Secretariat of the Commission shall be responsible for the study and initial processing of petitions lodged before the Commission that fulfill all the requirements set forth in the Statute and in Article 28 of these Rules of Procedure</w:t>
      </w:r>
      <w:r w:rsidRPr="003D4D09">
        <w:rPr>
          <w:rFonts w:cs="Calibri"/>
          <w:i/>
          <w:szCs w:val="20"/>
          <w:lang w:val="en-US"/>
        </w:rPr>
        <w:t xml:space="preserve">.” </w:t>
      </w:r>
      <w:r w:rsidRPr="003D4D09">
        <w:rPr>
          <w:rFonts w:cs="Calibri"/>
          <w:szCs w:val="20"/>
          <w:lang w:val="en-US"/>
        </w:rPr>
        <w:t xml:space="preserve">Meanwhile, and as already indicated, </w:t>
      </w:r>
      <w:r w:rsidRPr="003D4D09">
        <w:rPr>
          <w:rFonts w:cs="Calibri"/>
          <w:bCs/>
          <w:szCs w:val="20"/>
          <w:lang w:val="en-US"/>
        </w:rPr>
        <w:t>Articles</w:t>
      </w:r>
      <w:r w:rsidRPr="003D4D09">
        <w:rPr>
          <w:rFonts w:cs="Calibri"/>
          <w:szCs w:val="20"/>
          <w:lang w:val="en-US"/>
        </w:rPr>
        <w:t xml:space="preserve"> 26(2) and 29(1)(b) of the text add that </w:t>
      </w:r>
      <w:r w:rsidRPr="003D4D09">
        <w:rPr>
          <w:rFonts w:cs="Calibri"/>
          <w:i/>
          <w:szCs w:val="20"/>
          <w:lang w:val="en-US"/>
        </w:rPr>
        <w:t>“[</w:t>
      </w:r>
      <w:proofErr w:type="spellStart"/>
      <w:r w:rsidRPr="003D4D09">
        <w:rPr>
          <w:rFonts w:cs="Calibri"/>
          <w:i/>
          <w:szCs w:val="20"/>
          <w:lang w:val="en-US"/>
        </w:rPr>
        <w:t>i</w:t>
      </w:r>
      <w:proofErr w:type="spellEnd"/>
      <w:r w:rsidRPr="003D4D09">
        <w:rPr>
          <w:rFonts w:cs="Calibri"/>
          <w:i/>
          <w:szCs w:val="20"/>
          <w:lang w:val="en-US"/>
        </w:rPr>
        <w:t>]</w:t>
      </w:r>
      <w:r w:rsidRPr="003D4D09">
        <w:rPr>
          <w:i/>
          <w:lang w:val="en-US"/>
        </w:rPr>
        <w:t>f a petition or communication does not meet the requirements set for</w:t>
      </w:r>
      <w:r>
        <w:rPr>
          <w:i/>
          <w:lang w:val="en-US"/>
        </w:rPr>
        <w:t>th</w:t>
      </w:r>
      <w:r w:rsidRPr="003D4D09">
        <w:rPr>
          <w:i/>
          <w:lang w:val="en-US"/>
        </w:rPr>
        <w:t xml:space="preserve"> in these Rules of Procedure, the Executive Secretariat may request the petitioner or his or her representative to fulfill them</w:t>
      </w:r>
      <w:r w:rsidRPr="003D4D09">
        <w:rPr>
          <w:rFonts w:cs="Calibri"/>
          <w:i/>
          <w:szCs w:val="20"/>
          <w:lang w:val="en-US"/>
        </w:rPr>
        <w:t>.”</w:t>
      </w:r>
    </w:p>
    <w:p w14:paraId="46ADAD3A" w14:textId="77777777" w:rsidR="000F66F8" w:rsidRPr="003D4D09" w:rsidRDefault="000F66F8" w:rsidP="000F66F8">
      <w:pPr>
        <w:keepNext/>
        <w:autoSpaceDE w:val="0"/>
        <w:autoSpaceDN w:val="0"/>
        <w:adjustRightInd w:val="0"/>
        <w:rPr>
          <w:rFonts w:cs="Calibri"/>
          <w:szCs w:val="20"/>
          <w:lang w:val="en-US"/>
        </w:rPr>
      </w:pPr>
    </w:p>
    <w:p w14:paraId="0FDB69FB" w14:textId="77777777" w:rsidR="000F66F8" w:rsidRPr="003D4D09" w:rsidRDefault="000F66F8" w:rsidP="000F66F8">
      <w:pPr>
        <w:keepNext/>
        <w:autoSpaceDE w:val="0"/>
        <w:autoSpaceDN w:val="0"/>
        <w:adjustRightInd w:val="0"/>
        <w:rPr>
          <w:rFonts w:cs="Calibri"/>
          <w:szCs w:val="20"/>
          <w:lang w:val="en-US"/>
        </w:rPr>
      </w:pPr>
      <w:r w:rsidRPr="003D4D09">
        <w:rPr>
          <w:rFonts w:cs="Calibri"/>
          <w:szCs w:val="20"/>
          <w:lang w:val="en-US"/>
        </w:rPr>
        <w:t>Furthermore</w:t>
      </w:r>
      <w:r w:rsidRPr="003D4D09">
        <w:rPr>
          <w:rFonts w:cs="Calibri"/>
          <w:i/>
          <w:szCs w:val="20"/>
          <w:lang w:val="en-US"/>
        </w:rPr>
        <w:t xml:space="preserve">, </w:t>
      </w:r>
      <w:r w:rsidRPr="003D4D09">
        <w:rPr>
          <w:rFonts w:cs="Calibri"/>
          <w:szCs w:val="20"/>
          <w:lang w:val="en-US"/>
        </w:rPr>
        <w:t xml:space="preserve">Article 29(1) </w:t>
      </w:r>
      <w:r>
        <w:rPr>
          <w:rFonts w:cs="Calibri"/>
          <w:szCs w:val="20"/>
          <w:lang w:val="en-US"/>
        </w:rPr>
        <w:t>of tho</w:t>
      </w:r>
      <w:r w:rsidRPr="003D4D09">
        <w:rPr>
          <w:rFonts w:cs="Calibri"/>
          <w:szCs w:val="20"/>
          <w:lang w:val="en-US"/>
        </w:rPr>
        <w:t>se Rules of Procedure establishes that, “</w:t>
      </w:r>
      <w:r w:rsidRPr="003D4D09">
        <w:rPr>
          <w:i/>
          <w:lang w:val="en-US"/>
        </w:rPr>
        <w:t>[t]he Commission, acting initially through the Executive Secretariat, shall receive and carry out the initial processing of the petitions presented</w:t>
      </w:r>
      <w:r>
        <w:rPr>
          <w:lang w:val="en-US"/>
        </w:rPr>
        <w:t>” and adds that the Commission</w:t>
      </w:r>
      <w:r w:rsidRPr="003D4D09">
        <w:rPr>
          <w:lang w:val="en-US"/>
        </w:rPr>
        <w:t xml:space="preserve"> must register each petition and “</w:t>
      </w:r>
      <w:r w:rsidRPr="003D4D09">
        <w:rPr>
          <w:i/>
          <w:lang w:val="en-US"/>
        </w:rPr>
        <w:t>record the date of receipt on the petition itself and acknowledge receipt to the petitioner</w:t>
      </w:r>
      <w:r w:rsidRPr="003D4D09">
        <w:rPr>
          <w:lang w:val="en-US"/>
        </w:rPr>
        <w:t>.” Lastly, according to Article 30(1) of this instrument, “</w:t>
      </w:r>
      <w:r w:rsidRPr="003D4D09">
        <w:rPr>
          <w:i/>
          <w:lang w:val="en-US"/>
        </w:rPr>
        <w:t>[t]he Commission, through its Executive Secretariat, shall process the petitions that meet the requirements set forth in Article 28 of these Rules of Procedure.”</w:t>
      </w:r>
    </w:p>
    <w:p w14:paraId="6F7D88D7" w14:textId="77777777" w:rsidR="000F66F8" w:rsidRPr="003D4D09" w:rsidRDefault="000F66F8" w:rsidP="000F66F8">
      <w:pPr>
        <w:keepNext/>
        <w:autoSpaceDE w:val="0"/>
        <w:autoSpaceDN w:val="0"/>
        <w:adjustRightInd w:val="0"/>
        <w:rPr>
          <w:rFonts w:cs="Calibri"/>
          <w:bCs/>
          <w:szCs w:val="20"/>
          <w:lang w:val="en-US"/>
        </w:rPr>
      </w:pPr>
    </w:p>
    <w:p w14:paraId="3DF784F6" w14:textId="77777777" w:rsidR="000F66F8" w:rsidRPr="003D4D09" w:rsidRDefault="000F66F8" w:rsidP="000F66F8">
      <w:pPr>
        <w:keepNext/>
        <w:autoSpaceDE w:val="0"/>
        <w:autoSpaceDN w:val="0"/>
        <w:adjustRightInd w:val="0"/>
        <w:rPr>
          <w:rFonts w:cs="Calibri"/>
          <w:bCs/>
          <w:szCs w:val="20"/>
          <w:lang w:val="en-US"/>
        </w:rPr>
      </w:pPr>
      <w:r w:rsidRPr="003D4D09">
        <w:rPr>
          <w:rFonts w:cs="Calibri"/>
          <w:bCs/>
          <w:szCs w:val="20"/>
          <w:lang w:val="en-US"/>
        </w:rPr>
        <w:t>Consequently, the steps taken by the Executive Secretariat, acting on behalf of the Commission, as regards the petition that has been “</w:t>
      </w:r>
      <w:r w:rsidRPr="003D4D09">
        <w:rPr>
          <w:rFonts w:cs="Calibri"/>
          <w:bCs/>
          <w:i/>
          <w:szCs w:val="20"/>
          <w:lang w:val="en-US"/>
        </w:rPr>
        <w:t>lodged</w:t>
      </w:r>
      <w:r w:rsidRPr="003D4D09">
        <w:rPr>
          <w:rFonts w:cs="Calibri"/>
          <w:bCs/>
          <w:szCs w:val="20"/>
          <w:lang w:val="en-US"/>
        </w:rPr>
        <w:t>” are not limited merely to verifying whether it includ</w:t>
      </w:r>
      <w:r>
        <w:rPr>
          <w:rFonts w:cs="Calibri"/>
          <w:bCs/>
          <w:szCs w:val="20"/>
          <w:lang w:val="en-US"/>
        </w:rPr>
        <w:t>es the required information;</w:t>
      </w:r>
      <w:r w:rsidRPr="003D4D09">
        <w:rPr>
          <w:rFonts w:cs="Calibri"/>
          <w:bCs/>
          <w:szCs w:val="20"/>
          <w:lang w:val="en-US"/>
        </w:rPr>
        <w:t xml:space="preserve"> rather it must </w:t>
      </w:r>
      <w:r>
        <w:rPr>
          <w:rFonts w:cs="Calibri"/>
          <w:bCs/>
          <w:szCs w:val="20"/>
          <w:lang w:val="en-US"/>
        </w:rPr>
        <w:t>carry out</w:t>
      </w:r>
      <w:r w:rsidRPr="003D4D09">
        <w:rPr>
          <w:rFonts w:cs="Calibri"/>
          <w:bCs/>
          <w:szCs w:val="20"/>
          <w:lang w:val="en-US"/>
        </w:rPr>
        <w:t xml:space="preserve"> the “</w:t>
      </w:r>
      <w:r w:rsidRPr="003D4D09">
        <w:rPr>
          <w:rFonts w:cs="Calibri"/>
          <w:bCs/>
          <w:i/>
          <w:szCs w:val="20"/>
          <w:lang w:val="en-US"/>
        </w:rPr>
        <w:t>study and initial processing</w:t>
      </w:r>
      <w:r w:rsidRPr="003D4D09">
        <w:rPr>
          <w:rFonts w:cs="Calibri"/>
          <w:bCs/>
          <w:szCs w:val="20"/>
          <w:lang w:val="en-US"/>
        </w:rPr>
        <w:t>” of the petition, provided that it “</w:t>
      </w:r>
      <w:r w:rsidRPr="003D4D09">
        <w:rPr>
          <w:i/>
          <w:lang w:val="en-US"/>
        </w:rPr>
        <w:t xml:space="preserve">fulfill[s] all the requirements set forth,” </w:t>
      </w:r>
      <w:r w:rsidRPr="003D4D09">
        <w:rPr>
          <w:lang w:val="en-US"/>
        </w:rPr>
        <w:t xml:space="preserve">including, evidently, the </w:t>
      </w:r>
      <w:r>
        <w:rPr>
          <w:lang w:val="en-US"/>
        </w:rPr>
        <w:t>most important</w:t>
      </w:r>
      <w:r w:rsidRPr="003D4D09">
        <w:rPr>
          <w:lang w:val="en-US"/>
        </w:rPr>
        <w:t>, namely,</w:t>
      </w:r>
      <w:r>
        <w:rPr>
          <w:lang w:val="en-US"/>
        </w:rPr>
        <w:t xml:space="preserve"> that</w:t>
      </w:r>
      <w:r w:rsidRPr="003D4D09">
        <w:rPr>
          <w:lang w:val="en-US"/>
        </w:rPr>
        <w:t xml:space="preserve"> “</w:t>
      </w:r>
      <w:r w:rsidRPr="003D4D09">
        <w:rPr>
          <w:i/>
          <w:spacing w:val="-3"/>
          <w:szCs w:val="20"/>
          <w:lang w:val="en-US"/>
        </w:rPr>
        <w:t xml:space="preserve">the remedies under domestic law have been pursued and exhausted in accordance with generally recognized principles of international law.” </w:t>
      </w:r>
      <w:r w:rsidRPr="003D4D09">
        <w:rPr>
          <w:spacing w:val="-3"/>
          <w:szCs w:val="20"/>
          <w:lang w:val="en-US"/>
        </w:rPr>
        <w:t>Thus, the Commission, acting through its Executive Secretariat, must carry out an initial control of conventionality of the petition,</w:t>
      </w:r>
      <w:r>
        <w:rPr>
          <w:spacing w:val="-3"/>
          <w:szCs w:val="20"/>
          <w:lang w:val="en-US"/>
        </w:rPr>
        <w:t xml:space="preserve"> ensuring that it meets the requirements established in </w:t>
      </w:r>
      <w:r w:rsidRPr="003D4D09">
        <w:rPr>
          <w:spacing w:val="-3"/>
          <w:szCs w:val="20"/>
          <w:lang w:val="en-US"/>
        </w:rPr>
        <w:t>the Convention in order to be</w:t>
      </w:r>
      <w:r>
        <w:rPr>
          <w:spacing w:val="-3"/>
          <w:szCs w:val="20"/>
          <w:lang w:val="en-US"/>
        </w:rPr>
        <w:t xml:space="preserve"> considered</w:t>
      </w:r>
      <w:r w:rsidRPr="003D4D09">
        <w:rPr>
          <w:spacing w:val="-3"/>
          <w:szCs w:val="20"/>
          <w:lang w:val="en-US"/>
        </w:rPr>
        <w:t xml:space="preserve"> “</w:t>
      </w:r>
      <w:r w:rsidRPr="003D4D09">
        <w:rPr>
          <w:i/>
          <w:spacing w:val="-3"/>
          <w:szCs w:val="20"/>
          <w:lang w:val="en-US"/>
        </w:rPr>
        <w:t>lodged</w:t>
      </w:r>
      <w:r w:rsidRPr="003D4D09">
        <w:rPr>
          <w:spacing w:val="-3"/>
          <w:szCs w:val="20"/>
          <w:lang w:val="en-US"/>
        </w:rPr>
        <w:t>.”</w:t>
      </w:r>
    </w:p>
    <w:p w14:paraId="5BB49793" w14:textId="77777777" w:rsidR="000F66F8" w:rsidRPr="003D4D09" w:rsidRDefault="000F66F8" w:rsidP="000F66F8">
      <w:pPr>
        <w:keepNext/>
        <w:rPr>
          <w:rFonts w:cs="Calibri"/>
          <w:szCs w:val="20"/>
          <w:lang w:val="en-US"/>
        </w:rPr>
      </w:pPr>
    </w:p>
    <w:p w14:paraId="3A27C3CF" w14:textId="77777777" w:rsidR="000F66F8" w:rsidRPr="003D4D09" w:rsidRDefault="000F66F8" w:rsidP="000F66F8">
      <w:pPr>
        <w:keepNext/>
        <w:rPr>
          <w:rFonts w:cs="Calibri"/>
          <w:szCs w:val="20"/>
          <w:shd w:val="clear" w:color="auto" w:fill="FFFFFF"/>
          <w:lang w:val="en-US"/>
        </w:rPr>
      </w:pPr>
      <w:r>
        <w:rPr>
          <w:rFonts w:cs="Calibri"/>
          <w:szCs w:val="20"/>
          <w:lang w:val="en-US"/>
        </w:rPr>
        <w:t>Reasonably, t</w:t>
      </w:r>
      <w:r w:rsidRPr="003D4D09">
        <w:rPr>
          <w:rFonts w:cs="Calibri"/>
          <w:szCs w:val="20"/>
          <w:lang w:val="en-US"/>
        </w:rPr>
        <w:t xml:space="preserve">he foregoing infers that the domestic remedies must have been exhausted before </w:t>
      </w:r>
      <w:r w:rsidRPr="003D4D09">
        <w:rPr>
          <w:rFonts w:cs="Calibri"/>
          <w:szCs w:val="20"/>
          <w:shd w:val="clear" w:color="auto" w:fill="FFFFFF"/>
          <w:lang w:val="en-US"/>
        </w:rPr>
        <w:t>the petition is lodged before the Commission because, to the contrary, the logic and need for the “</w:t>
      </w:r>
      <w:r w:rsidRPr="003D4D09">
        <w:rPr>
          <w:rFonts w:cs="Calibri"/>
          <w:i/>
          <w:szCs w:val="20"/>
          <w:shd w:val="clear" w:color="auto" w:fill="FFFFFF"/>
          <w:lang w:val="en-US"/>
        </w:rPr>
        <w:t>study and initial processing</w:t>
      </w:r>
      <w:r w:rsidRPr="003D4D09">
        <w:rPr>
          <w:rFonts w:cs="Calibri"/>
          <w:szCs w:val="20"/>
          <w:shd w:val="clear" w:color="auto" w:fill="FFFFFF"/>
          <w:lang w:val="en-US"/>
        </w:rPr>
        <w:t>” by the Commission’s Executive Secretariat cannot be understood, or the reason why the petitioner may b</w:t>
      </w:r>
      <w:r>
        <w:rPr>
          <w:rFonts w:cs="Calibri"/>
          <w:szCs w:val="20"/>
          <w:shd w:val="clear" w:color="auto" w:fill="FFFFFF"/>
          <w:lang w:val="en-US"/>
        </w:rPr>
        <w:t>e requested to complete it, or why</w:t>
      </w:r>
      <w:r w:rsidRPr="003D4D09">
        <w:rPr>
          <w:rFonts w:cs="Calibri"/>
          <w:szCs w:val="20"/>
          <w:shd w:val="clear" w:color="auto" w:fill="FFFFFF"/>
          <w:lang w:val="en-US"/>
        </w:rPr>
        <w:t xml:space="preserve"> the petitioner should indicate the steps tak</w:t>
      </w:r>
      <w:r>
        <w:rPr>
          <w:rFonts w:cs="Calibri"/>
          <w:szCs w:val="20"/>
          <w:shd w:val="clear" w:color="auto" w:fill="FFFFFF"/>
          <w:lang w:val="en-US"/>
        </w:rPr>
        <w:t xml:space="preserve">en to exhaust domestic remedies; </w:t>
      </w:r>
      <w:r w:rsidRPr="003D4D09">
        <w:rPr>
          <w:rFonts w:cs="Calibri"/>
          <w:szCs w:val="20"/>
          <w:shd w:val="clear" w:color="auto" w:fill="FFFFFF"/>
          <w:lang w:val="en-US"/>
        </w:rPr>
        <w:t>furthermore, the time frame</w:t>
      </w:r>
      <w:r>
        <w:rPr>
          <w:rFonts w:cs="Calibri"/>
          <w:szCs w:val="20"/>
          <w:shd w:val="clear" w:color="auto" w:fill="FFFFFF"/>
          <w:lang w:val="en-US"/>
        </w:rPr>
        <w:t xml:space="preserve"> indicated</w:t>
      </w:r>
      <w:r w:rsidRPr="003D4D09">
        <w:rPr>
          <w:rFonts w:cs="Calibri"/>
          <w:szCs w:val="20"/>
          <w:shd w:val="clear" w:color="auto" w:fill="FFFFFF"/>
          <w:lang w:val="en-US"/>
        </w:rPr>
        <w:t xml:space="preserve"> for its presentation would be meaningless.</w:t>
      </w:r>
    </w:p>
    <w:p w14:paraId="228FBB23" w14:textId="77777777" w:rsidR="000F66F8" w:rsidRPr="003D4D09" w:rsidRDefault="000F66F8" w:rsidP="000F66F8">
      <w:pPr>
        <w:keepNext/>
        <w:autoSpaceDE w:val="0"/>
        <w:autoSpaceDN w:val="0"/>
        <w:adjustRightInd w:val="0"/>
        <w:rPr>
          <w:rFonts w:cs="Calibri"/>
          <w:szCs w:val="20"/>
          <w:lang w:val="en-US"/>
        </w:rPr>
      </w:pPr>
    </w:p>
    <w:p w14:paraId="7F0AE682" w14:textId="77777777" w:rsidR="000F66F8" w:rsidRPr="003D4D09" w:rsidRDefault="000F66F8" w:rsidP="000F66F8">
      <w:pPr>
        <w:keepNext/>
        <w:autoSpaceDE w:val="0"/>
        <w:autoSpaceDN w:val="0"/>
        <w:adjustRightInd w:val="0"/>
        <w:rPr>
          <w:rFonts w:cs="Calibri"/>
          <w:i/>
          <w:szCs w:val="20"/>
          <w:lang w:val="en-US"/>
        </w:rPr>
      </w:pPr>
      <w:r w:rsidRPr="003D4D09">
        <w:rPr>
          <w:rFonts w:cs="Calibri"/>
          <w:szCs w:val="20"/>
          <w:lang w:val="en-US"/>
        </w:rPr>
        <w:t>Lastly, bearing in mind that the Commission’s function consists in studying the petition, requesting its completion, and processing it, it must be concluded that all of this must be carried out in keeping with</w:t>
      </w:r>
      <w:r>
        <w:rPr>
          <w:rFonts w:cs="Calibri"/>
          <w:szCs w:val="20"/>
          <w:lang w:val="en-US"/>
        </w:rPr>
        <w:t xml:space="preserve"> the</w:t>
      </w:r>
      <w:r w:rsidRPr="003D4D09">
        <w:rPr>
          <w:rFonts w:cs="Calibri"/>
          <w:szCs w:val="20"/>
          <w:lang w:val="en-US"/>
        </w:rPr>
        <w:t xml:space="preserve"> terms in which the petition has been “</w:t>
      </w:r>
      <w:r w:rsidRPr="003D4D09">
        <w:rPr>
          <w:rFonts w:cs="Calibri"/>
          <w:i/>
          <w:szCs w:val="20"/>
          <w:lang w:val="en-US"/>
        </w:rPr>
        <w:t>lodged</w:t>
      </w:r>
      <w:r w:rsidRPr="003D4D09">
        <w:rPr>
          <w:rFonts w:cs="Calibri"/>
          <w:szCs w:val="20"/>
          <w:lang w:val="en-US"/>
        </w:rPr>
        <w:t>.” Thus, it can be affirmed that, just as “</w:t>
      </w:r>
      <w:r w:rsidRPr="003D4D09">
        <w:rPr>
          <w:rFonts w:cs="Calibri"/>
          <w:i/>
          <w:szCs w:val="20"/>
          <w:lang w:val="en-US"/>
        </w:rPr>
        <w:t>it is not the task</w:t>
      </w:r>
      <w:r w:rsidRPr="003D4D09">
        <w:rPr>
          <w:rFonts w:cs="Calibri"/>
          <w:szCs w:val="20"/>
          <w:lang w:val="en-US"/>
        </w:rPr>
        <w:t xml:space="preserve"> </w:t>
      </w:r>
      <w:r w:rsidRPr="003D4D09">
        <w:rPr>
          <w:rFonts w:cs="Calibri"/>
          <w:i/>
          <w:szCs w:val="20"/>
          <w:lang w:val="en-US"/>
        </w:rPr>
        <w:t xml:space="preserve">of the Court, or of the Commission, to identify </w:t>
      </w:r>
      <w:r w:rsidRPr="003D4D09">
        <w:rPr>
          <w:rFonts w:cs="Calibri"/>
          <w:szCs w:val="20"/>
          <w:lang w:val="en-US"/>
        </w:rPr>
        <w:t>ex officio</w:t>
      </w:r>
      <w:r w:rsidRPr="003D4D09">
        <w:rPr>
          <w:rFonts w:cs="Calibri"/>
          <w:i/>
          <w:szCs w:val="20"/>
          <w:lang w:val="en-US"/>
        </w:rPr>
        <w:t xml:space="preserve"> the domestic remedies that remain to be exhausted, so that it is not incumbent on the international organs to rectify the lack of precision of the State’s arguments,”</w:t>
      </w:r>
      <w:r w:rsidRPr="003D4D09">
        <w:rPr>
          <w:rStyle w:val="FootnoteReference"/>
          <w:rFonts w:cs="Calibri"/>
          <w:i/>
          <w:szCs w:val="20"/>
          <w:lang w:val="en-US"/>
        </w:rPr>
        <w:footnoteReference w:id="429"/>
      </w:r>
      <w:r w:rsidRPr="003D4D09">
        <w:rPr>
          <w:rFonts w:cs="Calibri"/>
          <w:szCs w:val="20"/>
          <w:lang w:val="en-US"/>
        </w:rPr>
        <w:t xml:space="preserve"> it is not their task to rectify the petition or </w:t>
      </w:r>
      <w:r>
        <w:rPr>
          <w:rFonts w:cs="Calibri"/>
          <w:szCs w:val="20"/>
          <w:lang w:val="en-US"/>
        </w:rPr>
        <w:t>accord</w:t>
      </w:r>
      <w:r w:rsidRPr="003D4D09">
        <w:rPr>
          <w:rFonts w:cs="Calibri"/>
          <w:szCs w:val="20"/>
          <w:lang w:val="en-US"/>
        </w:rPr>
        <w:t xml:space="preserve"> it a broader scope than the one it expresses and requires. Thus, the Commission must abide by what is requ</w:t>
      </w:r>
      <w:r>
        <w:rPr>
          <w:rFonts w:cs="Calibri"/>
          <w:szCs w:val="20"/>
          <w:lang w:val="en-US"/>
        </w:rPr>
        <w:t>este</w:t>
      </w:r>
      <w:r w:rsidRPr="003D4D09">
        <w:rPr>
          <w:rFonts w:cs="Calibri"/>
          <w:szCs w:val="20"/>
          <w:lang w:val="en-US"/>
        </w:rPr>
        <w:t>d of it.</w:t>
      </w:r>
    </w:p>
    <w:p w14:paraId="6039FD4A"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2BB6E7A9"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This thesis is </w:t>
      </w:r>
      <w:r>
        <w:rPr>
          <w:rFonts w:ascii="Verdana" w:hAnsi="Verdana" w:cs="Calibri"/>
          <w:sz w:val="20"/>
          <w:szCs w:val="20"/>
          <w:lang w:val="en-US"/>
        </w:rPr>
        <w:t>supported</w:t>
      </w:r>
      <w:r w:rsidRPr="003D4D09">
        <w:rPr>
          <w:rFonts w:ascii="Verdana" w:hAnsi="Verdana" w:cs="Calibri"/>
          <w:sz w:val="20"/>
          <w:szCs w:val="20"/>
          <w:lang w:val="en-US"/>
        </w:rPr>
        <w:t xml:space="preserve"> by </w:t>
      </w:r>
      <w:r>
        <w:rPr>
          <w:rFonts w:ascii="Verdana" w:hAnsi="Verdana" w:cs="Calibri"/>
          <w:sz w:val="20"/>
          <w:szCs w:val="20"/>
          <w:lang w:val="en-US"/>
        </w:rPr>
        <w:t>the provisions</w:t>
      </w:r>
      <w:r w:rsidRPr="003D4D09">
        <w:rPr>
          <w:rFonts w:ascii="Verdana" w:hAnsi="Verdana" w:cs="Calibri"/>
          <w:sz w:val="20"/>
          <w:szCs w:val="20"/>
          <w:lang w:val="en-US"/>
        </w:rPr>
        <w:t xml:space="preserve"> established </w:t>
      </w:r>
      <w:r>
        <w:rPr>
          <w:rFonts w:ascii="Verdana" w:hAnsi="Verdana" w:cs="Calibri"/>
          <w:sz w:val="20"/>
          <w:szCs w:val="20"/>
          <w:lang w:val="en-US"/>
        </w:rPr>
        <w:t>for</w:t>
      </w:r>
      <w:r w:rsidRPr="003D4D09">
        <w:rPr>
          <w:rFonts w:ascii="Verdana" w:hAnsi="Verdana" w:cs="Calibri"/>
          <w:sz w:val="20"/>
          <w:szCs w:val="20"/>
          <w:lang w:val="en-US"/>
        </w:rPr>
        <w:t xml:space="preserve"> the situation in which it is not necessary, or it is impossible, to exhaust such remedies previously. In this regard, </w:t>
      </w:r>
      <w:r w:rsidRPr="003D4D09">
        <w:rPr>
          <w:rFonts w:ascii="Verdana" w:hAnsi="Verdana" w:cs="Calibri"/>
          <w:sz w:val="20"/>
          <w:szCs w:val="20"/>
          <w:shd w:val="clear" w:color="auto" w:fill="FFFFFF"/>
          <w:lang w:val="en-US"/>
        </w:rPr>
        <w:lastRenderedPageBreak/>
        <w:t xml:space="preserve">Article 32(2) of the Commission’s Rules of Procedure </w:t>
      </w:r>
      <w:proofErr w:type="gramStart"/>
      <w:r w:rsidRPr="003D4D09">
        <w:rPr>
          <w:rFonts w:ascii="Verdana" w:hAnsi="Verdana" w:cs="Calibri"/>
          <w:sz w:val="20"/>
          <w:szCs w:val="20"/>
          <w:shd w:val="clear" w:color="auto" w:fill="FFFFFF"/>
          <w:lang w:val="en-US"/>
        </w:rPr>
        <w:t>indicate</w:t>
      </w:r>
      <w:proofErr w:type="gramEnd"/>
      <w:r w:rsidRPr="003D4D09">
        <w:rPr>
          <w:rFonts w:ascii="Verdana" w:hAnsi="Verdana" w:cs="Calibri"/>
          <w:sz w:val="20"/>
          <w:szCs w:val="20"/>
          <w:shd w:val="clear" w:color="auto" w:fill="FFFFFF"/>
          <w:lang w:val="en-US"/>
        </w:rPr>
        <w:t xml:space="preserve"> that “</w:t>
      </w:r>
      <w:r w:rsidRPr="003D4D09">
        <w:rPr>
          <w:rFonts w:ascii="Verdana" w:hAnsi="Verdana" w:cs="Calibri"/>
          <w:i/>
          <w:sz w:val="20"/>
          <w:szCs w:val="20"/>
          <w:shd w:val="clear" w:color="auto" w:fill="FFFFFF"/>
          <w:lang w:val="en-US"/>
        </w:rPr>
        <w:t>[</w:t>
      </w:r>
      <w:proofErr w:type="spellStart"/>
      <w:r w:rsidRPr="003D4D09">
        <w:rPr>
          <w:rFonts w:ascii="Verdana" w:hAnsi="Verdana" w:cs="Calibri"/>
          <w:i/>
          <w:sz w:val="20"/>
          <w:szCs w:val="20"/>
          <w:shd w:val="clear" w:color="auto" w:fill="FFFFFF"/>
          <w:lang w:val="en-US"/>
        </w:rPr>
        <w:t>i</w:t>
      </w:r>
      <w:proofErr w:type="spellEnd"/>
      <w:r w:rsidRPr="003D4D09">
        <w:rPr>
          <w:rFonts w:ascii="Verdana" w:hAnsi="Verdana" w:cs="Calibri"/>
          <w:i/>
          <w:sz w:val="20"/>
          <w:szCs w:val="20"/>
          <w:shd w:val="clear" w:color="auto" w:fill="FFFFFF"/>
          <w:lang w:val="en-US"/>
        </w:rPr>
        <w:t>]</w:t>
      </w:r>
      <w:r w:rsidRPr="003D4D09">
        <w:rPr>
          <w:rFonts w:ascii="Verdana" w:hAnsi="Verdana"/>
          <w:i/>
          <w:sz w:val="20"/>
          <w:szCs w:val="20"/>
          <w:lang w:val="en-US"/>
        </w:rPr>
        <w:t>n those cases in which the exceptions to the requirement of prior exhaustion of domestic remedies are applicable, the petition shall be presented within a reasonable period of time, as</w:t>
      </w:r>
      <w:r w:rsidRPr="003D4D09">
        <w:rPr>
          <w:rFonts w:ascii="Verdana" w:hAnsi="Verdana"/>
          <w:sz w:val="20"/>
          <w:szCs w:val="20"/>
          <w:lang w:val="en-US"/>
        </w:rPr>
        <w:t xml:space="preserve"> </w:t>
      </w:r>
      <w:r>
        <w:rPr>
          <w:rFonts w:ascii="Verdana" w:hAnsi="Verdana"/>
          <w:i/>
          <w:sz w:val="20"/>
          <w:szCs w:val="20"/>
          <w:lang w:val="en-US"/>
        </w:rPr>
        <w:t xml:space="preserve">determined by the Commission. </w:t>
      </w:r>
      <w:r w:rsidRPr="003D4D09">
        <w:rPr>
          <w:rFonts w:ascii="Verdana" w:hAnsi="Verdana"/>
          <w:i/>
          <w:sz w:val="20"/>
          <w:szCs w:val="20"/>
          <w:lang w:val="en-US"/>
        </w:rPr>
        <w:t>For this purpose, the Commission shall consider the date on which the alleged violation of rights occurred and the circumstances of each cas</w:t>
      </w:r>
      <w:r w:rsidRPr="003D4D09">
        <w:rPr>
          <w:rFonts w:ascii="Verdana" w:hAnsi="Verdana" w:cs="Calibri"/>
          <w:i/>
          <w:sz w:val="20"/>
          <w:szCs w:val="20"/>
          <w:lang w:val="en-US"/>
        </w:rPr>
        <w:t xml:space="preserve">e.” </w:t>
      </w:r>
      <w:r>
        <w:rPr>
          <w:rFonts w:ascii="Verdana" w:hAnsi="Verdana" w:cs="Calibri"/>
          <w:sz w:val="20"/>
          <w:szCs w:val="20"/>
          <w:lang w:val="en-US"/>
        </w:rPr>
        <w:t>In other words, under</w:t>
      </w:r>
      <w:r w:rsidRPr="003D4D09">
        <w:rPr>
          <w:rFonts w:ascii="Verdana" w:hAnsi="Verdana" w:cs="Calibri"/>
          <w:sz w:val="20"/>
          <w:szCs w:val="20"/>
          <w:lang w:val="en-US"/>
        </w:rPr>
        <w:t xml:space="preserve"> that </w:t>
      </w:r>
      <w:r w:rsidRPr="00F13501">
        <w:rPr>
          <w:rFonts w:ascii="Verdana" w:hAnsi="Verdana" w:cs="Calibri"/>
          <w:sz w:val="20"/>
          <w:szCs w:val="20"/>
          <w:lang w:val="en-US"/>
        </w:rPr>
        <w:t>alternative, the</w:t>
      </w:r>
      <w:r w:rsidRPr="003D4D09">
        <w:rPr>
          <w:rFonts w:ascii="Verdana" w:hAnsi="Verdana" w:cs="Calibri"/>
          <w:sz w:val="20"/>
          <w:szCs w:val="20"/>
          <w:lang w:val="en-US"/>
        </w:rPr>
        <w:t xml:space="preserve"> Commission must also consider the date on which the alleged violation occurred, which obviously must have happened prior to the submission of the petition. </w:t>
      </w:r>
    </w:p>
    <w:p w14:paraId="22E207D4" w14:textId="77777777" w:rsidR="000F66F8" w:rsidRPr="003D4D09" w:rsidRDefault="000F66F8" w:rsidP="000F66F8">
      <w:pPr>
        <w:keepNext/>
        <w:autoSpaceDE w:val="0"/>
        <w:autoSpaceDN w:val="0"/>
        <w:adjustRightInd w:val="0"/>
        <w:rPr>
          <w:rFonts w:cs="Calibri"/>
          <w:szCs w:val="20"/>
          <w:lang w:val="en-US"/>
        </w:rPr>
      </w:pPr>
    </w:p>
    <w:p w14:paraId="545303CA" w14:textId="77777777" w:rsidR="000F66F8" w:rsidRPr="003D4D09" w:rsidRDefault="000F66F8" w:rsidP="000F66F8">
      <w:pPr>
        <w:keepNext/>
        <w:autoSpaceDE w:val="0"/>
        <w:autoSpaceDN w:val="0"/>
        <w:adjustRightInd w:val="0"/>
        <w:rPr>
          <w:rFonts w:cs="Calibri"/>
          <w:szCs w:val="20"/>
          <w:lang w:val="en-US"/>
        </w:rPr>
      </w:pPr>
      <w:r>
        <w:rPr>
          <w:rFonts w:cs="Calibri"/>
          <w:szCs w:val="20"/>
          <w:lang w:val="en-US"/>
        </w:rPr>
        <w:t>C</w:t>
      </w:r>
      <w:r w:rsidRPr="003D4D09">
        <w:rPr>
          <w:rFonts w:cs="Calibri"/>
          <w:szCs w:val="20"/>
          <w:lang w:val="en-US"/>
        </w:rPr>
        <w:t xml:space="preserve">onsequently, the Commission’s function </w:t>
      </w:r>
      <w:r>
        <w:rPr>
          <w:rFonts w:cs="Calibri"/>
          <w:szCs w:val="20"/>
          <w:lang w:val="en-US"/>
        </w:rPr>
        <w:t xml:space="preserve">when a petition is lodged </w:t>
      </w:r>
      <w:r w:rsidRPr="003D4D09">
        <w:rPr>
          <w:rFonts w:cs="Calibri"/>
          <w:szCs w:val="20"/>
          <w:lang w:val="en-US"/>
        </w:rPr>
        <w:t xml:space="preserve">confirms that the requirement of prior exhaustion of domestic remedies </w:t>
      </w:r>
      <w:r>
        <w:rPr>
          <w:rFonts w:cs="Calibri"/>
          <w:szCs w:val="20"/>
          <w:lang w:val="en-US"/>
        </w:rPr>
        <w:t>must be met before it acts</w:t>
      </w:r>
      <w:r w:rsidRPr="003D4D09">
        <w:rPr>
          <w:rFonts w:cs="Calibri"/>
          <w:szCs w:val="20"/>
          <w:lang w:val="en-US"/>
        </w:rPr>
        <w:t xml:space="preserve">. </w:t>
      </w:r>
    </w:p>
    <w:p w14:paraId="0FC549EE" w14:textId="77777777" w:rsidR="000F66F8" w:rsidRPr="003D4D09" w:rsidRDefault="000F66F8" w:rsidP="000F66F8">
      <w:pPr>
        <w:keepNext/>
        <w:autoSpaceDE w:val="0"/>
        <w:autoSpaceDN w:val="0"/>
        <w:adjustRightInd w:val="0"/>
        <w:rPr>
          <w:rFonts w:cs="Calibri"/>
          <w:i/>
          <w:szCs w:val="20"/>
          <w:lang w:val="en-US"/>
        </w:rPr>
      </w:pPr>
    </w:p>
    <w:p w14:paraId="1EB1F85E" w14:textId="77777777" w:rsidR="000F66F8" w:rsidRPr="003D4D09" w:rsidRDefault="000F66F8" w:rsidP="000F66F8">
      <w:pPr>
        <w:keepNext/>
        <w:numPr>
          <w:ilvl w:val="0"/>
          <w:numId w:val="16"/>
        </w:numPr>
        <w:ind w:left="567" w:hanging="283"/>
        <w:rPr>
          <w:rFonts w:cs="Calibri"/>
          <w:b/>
          <w:szCs w:val="20"/>
          <w:lang w:val="en-US"/>
        </w:rPr>
      </w:pPr>
      <w:r w:rsidRPr="003D4D09">
        <w:rPr>
          <w:rFonts w:cs="Calibri"/>
          <w:b/>
          <w:szCs w:val="20"/>
          <w:lang w:val="en-US"/>
        </w:rPr>
        <w:t>Response or observations of the State</w:t>
      </w:r>
    </w:p>
    <w:p w14:paraId="2C91FDE0" w14:textId="77777777" w:rsidR="000F66F8" w:rsidRPr="003D4D09" w:rsidRDefault="000F66F8" w:rsidP="000F66F8">
      <w:pPr>
        <w:keepNext/>
        <w:ind w:left="567"/>
        <w:rPr>
          <w:rFonts w:cs="Calibri"/>
          <w:b/>
          <w:szCs w:val="20"/>
          <w:lang w:val="en-US"/>
        </w:rPr>
      </w:pPr>
    </w:p>
    <w:p w14:paraId="77C5380A" w14:textId="77777777" w:rsidR="000F66F8" w:rsidRPr="003D4D09" w:rsidRDefault="000F66F8" w:rsidP="000F66F8">
      <w:pPr>
        <w:keepNext/>
        <w:rPr>
          <w:rFonts w:cs="Calibri"/>
          <w:szCs w:val="20"/>
          <w:lang w:val="en-US"/>
        </w:rPr>
      </w:pPr>
      <w:r w:rsidRPr="003D4D09">
        <w:rPr>
          <w:rFonts w:cs="Calibri"/>
          <w:bCs/>
          <w:szCs w:val="20"/>
          <w:lang w:val="en-US"/>
        </w:rPr>
        <w:t xml:space="preserve">Article 30(1) and </w:t>
      </w:r>
      <w:r>
        <w:rPr>
          <w:rFonts w:cs="Calibri"/>
          <w:bCs/>
          <w:szCs w:val="20"/>
          <w:lang w:val="en-US"/>
        </w:rPr>
        <w:t>(</w:t>
      </w:r>
      <w:r w:rsidRPr="003D4D09">
        <w:rPr>
          <w:rFonts w:cs="Calibri"/>
          <w:bCs/>
          <w:szCs w:val="20"/>
          <w:lang w:val="en-US"/>
        </w:rPr>
        <w:t>2</w:t>
      </w:r>
      <w:r>
        <w:rPr>
          <w:rFonts w:cs="Calibri"/>
          <w:bCs/>
          <w:szCs w:val="20"/>
          <w:lang w:val="en-US"/>
        </w:rPr>
        <w:t>)</w:t>
      </w:r>
      <w:r w:rsidRPr="003D4D09">
        <w:rPr>
          <w:rFonts w:cs="Calibri"/>
          <w:bCs/>
          <w:szCs w:val="20"/>
          <w:lang w:val="en-US"/>
        </w:rPr>
        <w:t xml:space="preserve"> of the Commission’s Rules of Procedure indicate that </w:t>
      </w:r>
      <w:r w:rsidRPr="003D4D09">
        <w:rPr>
          <w:rFonts w:cs="Calibri"/>
          <w:bCs/>
          <w:i/>
          <w:szCs w:val="20"/>
          <w:lang w:val="en-US"/>
        </w:rPr>
        <w:t>“[t]</w:t>
      </w:r>
      <w:r w:rsidRPr="003D4D09">
        <w:rPr>
          <w:i/>
          <w:lang w:val="en-US"/>
        </w:rPr>
        <w:t>he Commission, through its Executive Secretariat, […] shall forward the relevant parts of the petition to the State in question</w:t>
      </w:r>
      <w:r w:rsidRPr="003D4D09">
        <w:rPr>
          <w:rFonts w:cs="Calibri"/>
          <w:i/>
          <w:szCs w:val="20"/>
          <w:lang w:val="en-US"/>
        </w:rPr>
        <w:t>.”</w:t>
      </w:r>
    </w:p>
    <w:p w14:paraId="6403C44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7F8DC02A"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Evidently, the relevant parts forw</w:t>
      </w:r>
      <w:r>
        <w:rPr>
          <w:rFonts w:ascii="Verdana" w:hAnsi="Verdana" w:cs="Calibri"/>
          <w:sz w:val="20"/>
          <w:szCs w:val="20"/>
          <w:lang w:val="en-US"/>
        </w:rPr>
        <w:t>arded to the State must include</w:t>
      </w:r>
      <w:r w:rsidRPr="003D4D09">
        <w:rPr>
          <w:rFonts w:ascii="Verdana" w:hAnsi="Verdana" w:cs="Calibri"/>
          <w:sz w:val="20"/>
          <w:szCs w:val="20"/>
          <w:lang w:val="en-US"/>
        </w:rPr>
        <w:t xml:space="preserve">, as indicated in Article 28(h) of these Rules of Procedure, information on </w:t>
      </w:r>
      <w:r w:rsidRPr="003D4D09">
        <w:rPr>
          <w:rFonts w:ascii="Verdana" w:hAnsi="Verdana" w:cs="Calibri"/>
          <w:i/>
          <w:sz w:val="20"/>
          <w:szCs w:val="20"/>
          <w:lang w:val="en-US"/>
        </w:rPr>
        <w:t>“[a]</w:t>
      </w:r>
      <w:proofErr w:type="spellStart"/>
      <w:r w:rsidRPr="003D4D09">
        <w:rPr>
          <w:rFonts w:ascii="Verdana" w:hAnsi="Verdana"/>
          <w:i/>
          <w:sz w:val="20"/>
          <w:szCs w:val="20"/>
          <w:lang w:val="en-US"/>
        </w:rPr>
        <w:t>ny</w:t>
      </w:r>
      <w:proofErr w:type="spellEnd"/>
      <w:r w:rsidRPr="003D4D09">
        <w:rPr>
          <w:rFonts w:ascii="Verdana" w:hAnsi="Verdana"/>
          <w:i/>
          <w:sz w:val="20"/>
          <w:szCs w:val="20"/>
          <w:lang w:val="en-US"/>
        </w:rPr>
        <w:t xml:space="preserve"> steps taken to exhaust domestic remedies, or the impossibility of doing so</w:t>
      </w:r>
      <w:r w:rsidRPr="003D4D09">
        <w:rPr>
          <w:rFonts w:ascii="Verdana" w:hAnsi="Verdana" w:cs="Calibri"/>
          <w:i/>
          <w:sz w:val="20"/>
          <w:szCs w:val="20"/>
          <w:lang w:val="en-US"/>
        </w:rPr>
        <w:t xml:space="preserve"> </w:t>
      </w:r>
      <w:r w:rsidRPr="003D4D09">
        <w:rPr>
          <w:rFonts w:ascii="Verdana" w:hAnsi="Verdana"/>
          <w:i/>
          <w:sz w:val="20"/>
          <w:szCs w:val="20"/>
          <w:lang w:val="en-US"/>
        </w:rPr>
        <w:t xml:space="preserve">as provided in Article 31 of these Rules of Procedure.” </w:t>
      </w:r>
      <w:r>
        <w:rPr>
          <w:rFonts w:ascii="Verdana" w:hAnsi="Verdana"/>
          <w:sz w:val="20"/>
          <w:szCs w:val="20"/>
          <w:lang w:val="en-US"/>
        </w:rPr>
        <w:t>And Article 30(3) cited above</w:t>
      </w:r>
      <w:r w:rsidRPr="003D4D09">
        <w:rPr>
          <w:rFonts w:ascii="Verdana" w:hAnsi="Verdana"/>
          <w:sz w:val="20"/>
          <w:szCs w:val="20"/>
          <w:lang w:val="en-US"/>
        </w:rPr>
        <w:t xml:space="preserve"> adds that “[</w:t>
      </w:r>
      <w:r w:rsidRPr="003D4D09">
        <w:rPr>
          <w:rFonts w:ascii="Verdana" w:hAnsi="Verdana"/>
          <w:i/>
          <w:sz w:val="20"/>
          <w:szCs w:val="20"/>
          <w:lang w:val="en-US"/>
        </w:rPr>
        <w:t xml:space="preserve">t]he State shall submit its response within two months from the </w:t>
      </w:r>
      <w:r>
        <w:rPr>
          <w:rFonts w:ascii="Verdana" w:hAnsi="Verdana"/>
          <w:i/>
          <w:sz w:val="20"/>
          <w:szCs w:val="20"/>
          <w:lang w:val="en-US"/>
        </w:rPr>
        <w:t>date the request is transmitted</w:t>
      </w:r>
      <w:r w:rsidRPr="003D4D09">
        <w:rPr>
          <w:rFonts w:ascii="Verdana" w:hAnsi="Verdana"/>
          <w:i/>
          <w:sz w:val="20"/>
          <w:szCs w:val="20"/>
          <w:lang w:val="en-US"/>
        </w:rPr>
        <w:t>”</w:t>
      </w:r>
      <w:r>
        <w:rPr>
          <w:rFonts w:ascii="Verdana" w:hAnsi="Verdana"/>
          <w:i/>
          <w:sz w:val="20"/>
          <w:szCs w:val="20"/>
          <w:lang w:val="en-US"/>
        </w:rPr>
        <w:t>;</w:t>
      </w:r>
      <w:r w:rsidRPr="003D4D09">
        <w:rPr>
          <w:rFonts w:ascii="Verdana" w:hAnsi="Verdana"/>
          <w:i/>
          <w:sz w:val="20"/>
          <w:szCs w:val="20"/>
          <w:lang w:val="en-US"/>
        </w:rPr>
        <w:t xml:space="preserve"> </w:t>
      </w:r>
      <w:r w:rsidRPr="003D4D09">
        <w:rPr>
          <w:rFonts w:ascii="Verdana" w:hAnsi="Verdana"/>
          <w:sz w:val="20"/>
          <w:szCs w:val="20"/>
          <w:lang w:val="en-US"/>
        </w:rPr>
        <w:t>a respons</w:t>
      </w:r>
      <w:r>
        <w:rPr>
          <w:rFonts w:ascii="Verdana" w:hAnsi="Verdana"/>
          <w:sz w:val="20"/>
          <w:szCs w:val="20"/>
          <w:lang w:val="en-US"/>
        </w:rPr>
        <w:t>e that, evidently, must contain</w:t>
      </w:r>
      <w:r w:rsidRPr="003D4D09">
        <w:rPr>
          <w:rFonts w:ascii="Verdana" w:hAnsi="Verdana"/>
          <w:sz w:val="20"/>
          <w:szCs w:val="20"/>
          <w:lang w:val="en-US"/>
        </w:rPr>
        <w:t xml:space="preserve"> the preliminary objection of absence of prior exhaustion of domestic remedies by </w:t>
      </w:r>
      <w:r w:rsidRPr="003D4D09">
        <w:rPr>
          <w:rFonts w:ascii="Verdana" w:hAnsi="Verdana" w:cs="Calibri"/>
          <w:sz w:val="20"/>
          <w:szCs w:val="20"/>
          <w:lang w:val="en-US"/>
        </w:rPr>
        <w:t>the presumed victim or the petitioner, if the State wishes to file this objection.</w:t>
      </w:r>
    </w:p>
    <w:p w14:paraId="7C120C6E" w14:textId="77777777" w:rsidR="000F66F8" w:rsidRPr="003D4D09" w:rsidRDefault="000F66F8" w:rsidP="000F66F8">
      <w:pPr>
        <w:pStyle w:val="ListParagraph"/>
        <w:keepNext/>
        <w:ind w:left="0"/>
        <w:rPr>
          <w:rFonts w:cs="Calibri"/>
          <w:szCs w:val="20"/>
          <w:lang w:val="en-US"/>
        </w:rPr>
      </w:pPr>
    </w:p>
    <w:p w14:paraId="5B73DDDB" w14:textId="77777777" w:rsidR="000F66F8" w:rsidRPr="003D4D09" w:rsidRDefault="000F66F8" w:rsidP="000F66F8">
      <w:pPr>
        <w:pStyle w:val="ListParagraph"/>
        <w:keepNext/>
        <w:ind w:left="0"/>
        <w:rPr>
          <w:i/>
          <w:szCs w:val="20"/>
          <w:lang w:val="en-US"/>
        </w:rPr>
      </w:pPr>
      <w:r w:rsidRPr="003D4D09">
        <w:rPr>
          <w:rFonts w:cs="Calibri"/>
          <w:szCs w:val="20"/>
          <w:lang w:val="en-US"/>
        </w:rPr>
        <w:t xml:space="preserve">Moreover, </w:t>
      </w:r>
      <w:r>
        <w:rPr>
          <w:rFonts w:cs="Calibri"/>
          <w:szCs w:val="20"/>
          <w:lang w:val="en-US"/>
        </w:rPr>
        <w:t>similarly</w:t>
      </w:r>
      <w:r w:rsidRPr="003D4D09">
        <w:rPr>
          <w:rFonts w:cs="Calibri"/>
          <w:szCs w:val="20"/>
          <w:lang w:val="en-US"/>
        </w:rPr>
        <w:t xml:space="preserve">, Article 31(3) of the Commission’s Rules of Procedure stipulates that </w:t>
      </w:r>
      <w:r w:rsidRPr="003D4D09">
        <w:rPr>
          <w:rFonts w:cs="Calibri"/>
          <w:i/>
          <w:szCs w:val="20"/>
          <w:lang w:val="en-US"/>
        </w:rPr>
        <w:t>“[w]</w:t>
      </w:r>
      <w:r w:rsidRPr="003D4D09">
        <w:rPr>
          <w:i/>
          <w:szCs w:val="20"/>
          <w:lang w:val="en-US"/>
        </w:rPr>
        <w:t>hen the petitioner contends that he or she is unable to prove compliance with the requirement indicated in this article, it shall be up to the State concerned to demonstrate to the Commission that the remedies under domestic law have not been previously exhausted, unless that is clearly evident from the record.</w:t>
      </w:r>
      <w:r w:rsidRPr="003D4D09">
        <w:rPr>
          <w:rFonts w:cs="Calibri"/>
          <w:szCs w:val="20"/>
          <w:lang w:val="en-US"/>
        </w:rPr>
        <w:t xml:space="preserve">” </w:t>
      </w:r>
    </w:p>
    <w:p w14:paraId="07130B2E" w14:textId="77777777" w:rsidR="000F66F8" w:rsidRPr="003D4D09" w:rsidRDefault="000F66F8" w:rsidP="000F66F8">
      <w:pPr>
        <w:keepNext/>
        <w:rPr>
          <w:rFonts w:cs="Calibri"/>
          <w:szCs w:val="20"/>
          <w:lang w:val="en-US"/>
        </w:rPr>
      </w:pPr>
    </w:p>
    <w:p w14:paraId="00A0976A" w14:textId="77777777" w:rsidR="000F66F8" w:rsidRPr="003D4D09" w:rsidRDefault="000F66F8" w:rsidP="000F66F8">
      <w:pPr>
        <w:keepNext/>
        <w:rPr>
          <w:rFonts w:cs="Calibri"/>
          <w:szCs w:val="20"/>
          <w:lang w:val="en-US"/>
        </w:rPr>
      </w:pPr>
      <w:r>
        <w:rPr>
          <w:rFonts w:cs="Calibri"/>
          <w:szCs w:val="20"/>
          <w:lang w:val="en-US"/>
        </w:rPr>
        <w:t>I</w:t>
      </w:r>
      <w:r w:rsidRPr="001D5A7B">
        <w:rPr>
          <w:rFonts w:cs="Calibri"/>
          <w:szCs w:val="20"/>
          <w:lang w:val="en-US"/>
        </w:rPr>
        <w:t>n other words, if the petitioner alleges in his petition that he is unable to prove that he</w:t>
      </w:r>
      <w:r w:rsidRPr="003D4D09">
        <w:rPr>
          <w:rFonts w:cs="Calibri"/>
          <w:szCs w:val="20"/>
          <w:lang w:val="en-US"/>
        </w:rPr>
        <w:t xml:space="preserve"> has previously exhausted the domestic remedies, the State may contest this allegation, in which case it must prove that they have not been exhausted, provided that this is not </w:t>
      </w:r>
      <w:r>
        <w:rPr>
          <w:rFonts w:cs="Calibri"/>
          <w:szCs w:val="20"/>
          <w:lang w:val="en-US"/>
        </w:rPr>
        <w:t xml:space="preserve">evident from </w:t>
      </w:r>
      <w:r w:rsidRPr="003D4D09">
        <w:rPr>
          <w:rFonts w:cs="Calibri"/>
          <w:szCs w:val="20"/>
          <w:lang w:val="en-US"/>
        </w:rPr>
        <w:t xml:space="preserve">the case file. It is in relation to this possibility that the Court’s </w:t>
      </w:r>
      <w:r>
        <w:rPr>
          <w:rFonts w:cs="Calibri"/>
          <w:szCs w:val="20"/>
          <w:lang w:val="en-US"/>
        </w:rPr>
        <w:t>assertion</w:t>
      </w:r>
      <w:r w:rsidRPr="003D4D09">
        <w:rPr>
          <w:rFonts w:cs="Calibri"/>
          <w:szCs w:val="20"/>
          <w:lang w:val="en-US"/>
        </w:rPr>
        <w:t xml:space="preserve"> that</w:t>
      </w:r>
      <w:r>
        <w:rPr>
          <w:rFonts w:cs="Calibri"/>
          <w:szCs w:val="20"/>
          <w:lang w:val="en-US"/>
        </w:rPr>
        <w:t>,</w:t>
      </w:r>
      <w:r w:rsidRPr="003D4D09">
        <w:rPr>
          <w:rFonts w:cs="Calibri"/>
          <w:szCs w:val="20"/>
          <w:lang w:val="en-US"/>
        </w:rPr>
        <w:t xml:space="preserve"> “[</w:t>
      </w:r>
      <w:r w:rsidRPr="003D4D09">
        <w:rPr>
          <w:rFonts w:cs="Calibri"/>
          <w:i/>
          <w:szCs w:val="20"/>
          <w:lang w:val="en-US"/>
        </w:rPr>
        <w:t>w]hen arguing the failure to exhaust domestic remedies, the State must specify the domestic remedies that remain to be exhausted, and prove that these remedies were available, adequate, appropriate and effective</w:t>
      </w:r>
      <w:r>
        <w:rPr>
          <w:rFonts w:cs="Calibri"/>
          <w:i/>
          <w:szCs w:val="20"/>
          <w:lang w:val="en-US"/>
        </w:rPr>
        <w:t>,</w:t>
      </w:r>
      <w:r w:rsidRPr="003D4D09">
        <w:rPr>
          <w:rFonts w:cs="Calibri"/>
          <w:i/>
          <w:szCs w:val="20"/>
          <w:lang w:val="en-US"/>
        </w:rPr>
        <w:t>”</w:t>
      </w:r>
      <w:r w:rsidRPr="003D4D09">
        <w:rPr>
          <w:rStyle w:val="FootnoteReference"/>
          <w:rFonts w:cs="Calibri"/>
          <w:i/>
          <w:szCs w:val="20"/>
          <w:lang w:val="en-US"/>
        </w:rPr>
        <w:footnoteReference w:id="430"/>
      </w:r>
      <w:r w:rsidRPr="003D4D09">
        <w:rPr>
          <w:rFonts w:cs="Calibri"/>
          <w:szCs w:val="20"/>
          <w:lang w:val="en-US"/>
        </w:rPr>
        <w:t xml:space="preserve"> should be understood. </w:t>
      </w:r>
    </w:p>
    <w:p w14:paraId="2BDD7DB9" w14:textId="77777777" w:rsidR="000F66F8" w:rsidRPr="003D4D09" w:rsidRDefault="000F66F8" w:rsidP="000F66F8">
      <w:pPr>
        <w:keepNext/>
        <w:rPr>
          <w:rFonts w:cs="Calibri"/>
          <w:szCs w:val="20"/>
          <w:lang w:val="en-US"/>
        </w:rPr>
      </w:pPr>
    </w:p>
    <w:p w14:paraId="6B2CEF3B" w14:textId="77777777" w:rsidR="000F66F8" w:rsidRPr="003D4D09" w:rsidRDefault="000F66F8" w:rsidP="000F66F8">
      <w:pPr>
        <w:keepNext/>
        <w:rPr>
          <w:rFonts w:cs="Calibri"/>
          <w:szCs w:val="20"/>
          <w:lang w:val="en-US"/>
        </w:rPr>
      </w:pPr>
      <w:r w:rsidRPr="003D4D09">
        <w:rPr>
          <w:rFonts w:cs="Calibri"/>
          <w:szCs w:val="20"/>
          <w:lang w:val="en-US"/>
        </w:rPr>
        <w:t>Nevertheless, it should be recalled th</w:t>
      </w:r>
      <w:r>
        <w:rPr>
          <w:rFonts w:cs="Calibri"/>
          <w:szCs w:val="20"/>
          <w:lang w:val="en-US"/>
        </w:rPr>
        <w:t>at, logically, also in the case – which</w:t>
      </w:r>
      <w:r w:rsidRPr="003D4D09">
        <w:rPr>
          <w:rFonts w:cs="Calibri"/>
          <w:szCs w:val="20"/>
          <w:lang w:val="en-US"/>
        </w:rPr>
        <w:t xml:space="preserve"> is not expressly considered in the Commission’s Rules of Procedure</w:t>
      </w:r>
      <w:r>
        <w:rPr>
          <w:rFonts w:cs="Calibri"/>
          <w:szCs w:val="20"/>
          <w:lang w:val="en-US"/>
        </w:rPr>
        <w:t xml:space="preserve"> – that</w:t>
      </w:r>
      <w:r w:rsidRPr="003D4D09">
        <w:rPr>
          <w:rFonts w:cs="Calibri"/>
          <w:szCs w:val="20"/>
          <w:lang w:val="en-US"/>
        </w:rPr>
        <w:t xml:space="preserve"> the petitioner indicates in his petition that he has previously ex</w:t>
      </w:r>
      <w:r>
        <w:rPr>
          <w:rFonts w:cs="Calibri"/>
          <w:szCs w:val="20"/>
          <w:lang w:val="en-US"/>
        </w:rPr>
        <w:t>hausted the domestic remedies (</w:t>
      </w:r>
      <w:r w:rsidRPr="003D4D09">
        <w:rPr>
          <w:rFonts w:cs="Calibri"/>
          <w:szCs w:val="20"/>
          <w:lang w:val="en-US"/>
        </w:rPr>
        <w:t>that is, he has met the requirements of Art</w:t>
      </w:r>
      <w:r>
        <w:rPr>
          <w:rFonts w:cs="Calibri"/>
          <w:szCs w:val="20"/>
          <w:lang w:val="en-US"/>
        </w:rPr>
        <w:t>icle 46(1</w:t>
      </w:r>
      <w:proofErr w:type="gramStart"/>
      <w:r>
        <w:rPr>
          <w:rFonts w:cs="Calibri"/>
          <w:szCs w:val="20"/>
          <w:lang w:val="en-US"/>
        </w:rPr>
        <w:t>)(</w:t>
      </w:r>
      <w:proofErr w:type="gramEnd"/>
      <w:r>
        <w:rPr>
          <w:rFonts w:cs="Calibri"/>
          <w:szCs w:val="20"/>
          <w:lang w:val="en-US"/>
        </w:rPr>
        <w:t>a) of the Convention), the</w:t>
      </w:r>
      <w:r w:rsidRPr="003D4D09">
        <w:rPr>
          <w:rFonts w:cs="Calibri"/>
          <w:szCs w:val="20"/>
          <w:lang w:val="en-US"/>
        </w:rPr>
        <w:t xml:space="preserve"> State may file the objection that this has not occurred.</w:t>
      </w:r>
    </w:p>
    <w:p w14:paraId="35E2ABA6" w14:textId="77777777" w:rsidR="000F66F8" w:rsidRPr="003D4D09" w:rsidRDefault="000F66F8" w:rsidP="000F66F8">
      <w:pPr>
        <w:keepNext/>
        <w:rPr>
          <w:rFonts w:cs="Calibri"/>
          <w:szCs w:val="20"/>
          <w:lang w:val="en-US"/>
        </w:rPr>
      </w:pPr>
    </w:p>
    <w:p w14:paraId="53DFCF1A" w14:textId="77777777" w:rsidR="000F66F8" w:rsidRPr="003D4D09" w:rsidRDefault="000F66F8" w:rsidP="000F66F8">
      <w:pPr>
        <w:keepNext/>
        <w:rPr>
          <w:rFonts w:cs="Calibri"/>
          <w:szCs w:val="20"/>
          <w:lang w:val="en-US"/>
        </w:rPr>
      </w:pPr>
      <w:r w:rsidRPr="003D4D09">
        <w:rPr>
          <w:rFonts w:cs="Calibri"/>
          <w:szCs w:val="20"/>
          <w:lang w:val="en-US"/>
        </w:rPr>
        <w:t xml:space="preserve">Thus, it is clear that compliance with the rule of prior exhaustion of domestic remedies or the impossibility of complying with it must be indicated in the petition, because, otherwise, the State could not respond to this. In other words, </w:t>
      </w:r>
      <w:r>
        <w:rPr>
          <w:rFonts w:cs="Calibri"/>
          <w:szCs w:val="20"/>
          <w:lang w:val="en-US"/>
        </w:rPr>
        <w:t xml:space="preserve">it is </w:t>
      </w:r>
      <w:r w:rsidRPr="003D4D09">
        <w:rPr>
          <w:rFonts w:cs="Calibri"/>
          <w:szCs w:val="20"/>
          <w:lang w:val="en-US"/>
        </w:rPr>
        <w:t xml:space="preserve">only if the petition </w:t>
      </w:r>
      <w:r w:rsidRPr="003D4D09">
        <w:rPr>
          <w:rFonts w:cs="Calibri"/>
          <w:szCs w:val="20"/>
          <w:lang w:val="en-US"/>
        </w:rPr>
        <w:lastRenderedPageBreak/>
        <w:t>indicates that this rule has been complied with or that it is impossible to do so,</w:t>
      </w:r>
      <w:r>
        <w:rPr>
          <w:rFonts w:cs="Calibri"/>
          <w:szCs w:val="20"/>
          <w:lang w:val="en-US"/>
        </w:rPr>
        <w:t xml:space="preserve"> that</w:t>
      </w:r>
      <w:r w:rsidRPr="003D4D09">
        <w:rPr>
          <w:rFonts w:cs="Calibri"/>
          <w:szCs w:val="20"/>
          <w:lang w:val="en-US"/>
        </w:rPr>
        <w:t xml:space="preserve"> the State may argue that it has not been complied with and, in this case, it must prove the availability, adequacy, appropriateness and effectiveness of the domestic remedies that were not exhausted, all of which shows, once again, that this requirement must have been met previously; that is, before drawing up the petition </w:t>
      </w:r>
      <w:r>
        <w:rPr>
          <w:rFonts w:cs="Calibri"/>
          <w:szCs w:val="20"/>
          <w:lang w:val="en-US"/>
        </w:rPr>
        <w:t>the</w:t>
      </w:r>
      <w:r w:rsidRPr="003D4D09">
        <w:rPr>
          <w:rFonts w:cs="Calibri"/>
          <w:szCs w:val="20"/>
          <w:lang w:val="en-US"/>
        </w:rPr>
        <w:t xml:space="preserve"> relevant parts of which are forwarded to the State precisely so that it may respond to them.</w:t>
      </w:r>
    </w:p>
    <w:p w14:paraId="4C190371" w14:textId="77777777" w:rsidR="000F66F8" w:rsidRPr="003D4D09" w:rsidRDefault="000F66F8" w:rsidP="000F66F8">
      <w:pPr>
        <w:keepNext/>
        <w:rPr>
          <w:rFonts w:cs="Calibri"/>
          <w:szCs w:val="20"/>
          <w:lang w:val="en-US"/>
        </w:rPr>
      </w:pPr>
    </w:p>
    <w:p w14:paraId="76A5EE93" w14:textId="77777777" w:rsidR="000F66F8" w:rsidRPr="003D4D09" w:rsidRDefault="000F66F8" w:rsidP="000F66F8">
      <w:pPr>
        <w:keepNext/>
        <w:rPr>
          <w:rFonts w:cs="Calibri"/>
          <w:szCs w:val="20"/>
          <w:lang w:val="en-US"/>
        </w:rPr>
      </w:pPr>
      <w:proofErr w:type="gramStart"/>
      <w:r w:rsidRPr="003D4D09">
        <w:rPr>
          <w:rFonts w:cs="Calibri"/>
          <w:szCs w:val="20"/>
          <w:lang w:val="en-US"/>
        </w:rPr>
        <w:t xml:space="preserve">Furthermore, Article 30(5) and </w:t>
      </w:r>
      <w:r>
        <w:rPr>
          <w:rFonts w:cs="Calibri"/>
          <w:szCs w:val="20"/>
          <w:lang w:val="en-US"/>
        </w:rPr>
        <w:t>(</w:t>
      </w:r>
      <w:r w:rsidRPr="003D4D09">
        <w:rPr>
          <w:rFonts w:cs="Calibri"/>
          <w:szCs w:val="20"/>
          <w:lang w:val="en-US"/>
        </w:rPr>
        <w:t>6</w:t>
      </w:r>
      <w:r>
        <w:rPr>
          <w:rFonts w:cs="Calibri"/>
          <w:szCs w:val="20"/>
          <w:lang w:val="en-US"/>
        </w:rPr>
        <w:t>)</w:t>
      </w:r>
      <w:r w:rsidRPr="003D4D09">
        <w:rPr>
          <w:rFonts w:cs="Calibri"/>
          <w:szCs w:val="20"/>
          <w:lang w:val="en-US"/>
        </w:rPr>
        <w:t xml:space="preserve"> of the Commission’s Rules of Procedure point in the same direction.</w:t>
      </w:r>
      <w:proofErr w:type="gramEnd"/>
      <w:r w:rsidRPr="003D4D09">
        <w:rPr>
          <w:rFonts w:cs="Calibri"/>
          <w:szCs w:val="20"/>
          <w:lang w:val="en-US"/>
        </w:rPr>
        <w:t xml:space="preserve"> Indeed, they establish that “</w:t>
      </w:r>
      <w:r w:rsidRPr="003D4D09">
        <w:rPr>
          <w:i/>
          <w:szCs w:val="20"/>
          <w:lang w:val="en-US"/>
        </w:rPr>
        <w:t>[p]</w:t>
      </w:r>
      <w:proofErr w:type="spellStart"/>
      <w:r w:rsidRPr="003D4D09">
        <w:rPr>
          <w:i/>
          <w:szCs w:val="20"/>
          <w:lang w:val="en-US"/>
        </w:rPr>
        <w:t>rior</w:t>
      </w:r>
      <w:proofErr w:type="spellEnd"/>
      <w:r w:rsidRPr="003D4D09">
        <w:rPr>
          <w:i/>
          <w:szCs w:val="20"/>
          <w:lang w:val="en-US"/>
        </w:rPr>
        <w:t xml:space="preserve"> to deciding upon the admissibility of the petition, the Commission may invite the parties to submit additional observations, either in writing or in a hearing, as provided for in Chapter VI of the […] Rules of Procedure</w:t>
      </w:r>
      <w:r w:rsidRPr="003D4D09">
        <w:rPr>
          <w:szCs w:val="20"/>
          <w:lang w:val="en-US"/>
        </w:rPr>
        <w:t>,” which leaves no margin of doubt that the said “</w:t>
      </w:r>
      <w:r w:rsidRPr="003D4D09">
        <w:rPr>
          <w:i/>
          <w:szCs w:val="20"/>
          <w:lang w:val="en-US"/>
        </w:rPr>
        <w:t>additional observations</w:t>
      </w:r>
      <w:r w:rsidRPr="003D4D09">
        <w:rPr>
          <w:szCs w:val="20"/>
          <w:lang w:val="en-US"/>
        </w:rPr>
        <w:t>” must relate to the petition, as it was “</w:t>
      </w:r>
      <w:r w:rsidRPr="003D4D09">
        <w:rPr>
          <w:i/>
          <w:szCs w:val="20"/>
          <w:lang w:val="en-US"/>
        </w:rPr>
        <w:t>lodged</w:t>
      </w:r>
      <w:r w:rsidRPr="003D4D09">
        <w:rPr>
          <w:szCs w:val="20"/>
          <w:lang w:val="en-US"/>
        </w:rPr>
        <w:t>” and not constitute a new petition or modify the original one, unless, as is logical, this entails its withdrawal.</w:t>
      </w:r>
    </w:p>
    <w:p w14:paraId="56BE6627" w14:textId="77777777" w:rsidR="000F66F8" w:rsidRPr="003D4D09" w:rsidRDefault="000F66F8" w:rsidP="000F66F8">
      <w:pPr>
        <w:keepNext/>
        <w:rPr>
          <w:rFonts w:cs="Calibri"/>
          <w:szCs w:val="20"/>
          <w:lang w:val="en-US"/>
        </w:rPr>
      </w:pPr>
    </w:p>
    <w:p w14:paraId="6161BD75" w14:textId="77777777" w:rsidR="000F66F8" w:rsidRPr="003D4D09" w:rsidRDefault="000F66F8" w:rsidP="000F66F8">
      <w:pPr>
        <w:keepNext/>
        <w:rPr>
          <w:rFonts w:cs="Calibri"/>
          <w:szCs w:val="20"/>
          <w:lang w:val="en-US"/>
        </w:rPr>
      </w:pPr>
      <w:r w:rsidRPr="003D4D09">
        <w:rPr>
          <w:rFonts w:cs="Calibri"/>
          <w:szCs w:val="20"/>
          <w:lang w:val="en-US"/>
        </w:rPr>
        <w:t xml:space="preserve">Consequently, it is </w:t>
      </w:r>
      <w:r>
        <w:rPr>
          <w:rFonts w:cs="Calibri"/>
          <w:szCs w:val="20"/>
          <w:lang w:val="en-US"/>
        </w:rPr>
        <w:t>undeniable that this response by</w:t>
      </w:r>
      <w:r w:rsidRPr="003D4D09">
        <w:rPr>
          <w:rFonts w:cs="Calibri"/>
          <w:szCs w:val="20"/>
          <w:lang w:val="en-US"/>
        </w:rPr>
        <w:t xml:space="preserve"> the State logically and necessarily must </w:t>
      </w:r>
      <w:r>
        <w:rPr>
          <w:rFonts w:cs="Calibri"/>
          <w:szCs w:val="20"/>
          <w:lang w:val="en-US"/>
        </w:rPr>
        <w:t>relate to</w:t>
      </w:r>
      <w:r w:rsidRPr="003D4D09">
        <w:rPr>
          <w:rFonts w:cs="Calibri"/>
          <w:szCs w:val="20"/>
          <w:lang w:val="en-US"/>
        </w:rPr>
        <w:t xml:space="preserve"> the petition that was </w:t>
      </w:r>
      <w:r w:rsidRPr="003D4D09">
        <w:rPr>
          <w:szCs w:val="20"/>
          <w:lang w:val="en-US"/>
        </w:rPr>
        <w:t>“</w:t>
      </w:r>
      <w:r w:rsidRPr="003D4D09">
        <w:rPr>
          <w:i/>
          <w:szCs w:val="20"/>
          <w:lang w:val="en-US"/>
        </w:rPr>
        <w:t>lodged</w:t>
      </w:r>
      <w:r w:rsidRPr="003D4D09">
        <w:rPr>
          <w:szCs w:val="20"/>
          <w:lang w:val="en-US"/>
        </w:rPr>
        <w:t>” before the Commission</w:t>
      </w:r>
      <w:r>
        <w:rPr>
          <w:szCs w:val="20"/>
          <w:lang w:val="en-US"/>
        </w:rPr>
        <w:t>,</w:t>
      </w:r>
      <w:r w:rsidRPr="003D4D09">
        <w:rPr>
          <w:szCs w:val="20"/>
          <w:lang w:val="en-US"/>
        </w:rPr>
        <w:t xml:space="preserve"> and that it is at that moment</w:t>
      </w:r>
      <w:r>
        <w:rPr>
          <w:szCs w:val="20"/>
          <w:lang w:val="en-US"/>
        </w:rPr>
        <w:t>,</w:t>
      </w:r>
      <w:r w:rsidRPr="003D4D09">
        <w:rPr>
          <w:szCs w:val="20"/>
          <w:lang w:val="en-US"/>
        </w:rPr>
        <w:t xml:space="preserve"> and not afterwards</w:t>
      </w:r>
      <w:r>
        <w:rPr>
          <w:szCs w:val="20"/>
          <w:lang w:val="en-US"/>
        </w:rPr>
        <w:t>,</w:t>
      </w:r>
      <w:r w:rsidRPr="003D4D09">
        <w:rPr>
          <w:szCs w:val="20"/>
          <w:lang w:val="en-US"/>
        </w:rPr>
        <w:t xml:space="preserve"> that</w:t>
      </w:r>
      <w:r>
        <w:rPr>
          <w:szCs w:val="20"/>
          <w:lang w:val="en-US"/>
        </w:rPr>
        <w:t xml:space="preserve"> the</w:t>
      </w:r>
      <w:r w:rsidRPr="003D4D09">
        <w:rPr>
          <w:szCs w:val="20"/>
          <w:lang w:val="en-US"/>
        </w:rPr>
        <w:t xml:space="preserve"> legal proceedings</w:t>
      </w:r>
      <w:r>
        <w:rPr>
          <w:szCs w:val="20"/>
          <w:lang w:val="en-US"/>
        </w:rPr>
        <w:t>,</w:t>
      </w:r>
      <w:r w:rsidRPr="003D4D09">
        <w:rPr>
          <w:szCs w:val="20"/>
          <w:lang w:val="en-US"/>
        </w:rPr>
        <w:t xml:space="preserve"> or the adversarial proceedings</w:t>
      </w:r>
      <w:r>
        <w:rPr>
          <w:szCs w:val="20"/>
          <w:lang w:val="en-US"/>
        </w:rPr>
        <w:t>,</w:t>
      </w:r>
      <w:r w:rsidRPr="003D4D09">
        <w:rPr>
          <w:szCs w:val="20"/>
          <w:lang w:val="en-US"/>
        </w:rPr>
        <w:t xml:space="preserve"> as regards the exhaustion of domestic remedies</w:t>
      </w:r>
      <w:r>
        <w:rPr>
          <w:szCs w:val="20"/>
          <w:lang w:val="en-US"/>
        </w:rPr>
        <w:t xml:space="preserve"> are instituted</w:t>
      </w:r>
      <w:r w:rsidRPr="003D4D09">
        <w:rPr>
          <w:szCs w:val="20"/>
          <w:lang w:val="en-US"/>
        </w:rPr>
        <w:t>.</w:t>
      </w:r>
    </w:p>
    <w:p w14:paraId="7DAE22CB" w14:textId="77777777" w:rsidR="000F66F8" w:rsidRPr="003D4D09" w:rsidRDefault="000F66F8" w:rsidP="000F66F8">
      <w:pPr>
        <w:keepNext/>
        <w:rPr>
          <w:rFonts w:cs="Calibri"/>
          <w:szCs w:val="20"/>
          <w:lang w:val="en-US"/>
        </w:rPr>
      </w:pPr>
    </w:p>
    <w:p w14:paraId="1C79B82A" w14:textId="77777777" w:rsidR="000F66F8" w:rsidRPr="003D4D09" w:rsidRDefault="000F66F8" w:rsidP="000F66F8">
      <w:pPr>
        <w:keepNext/>
        <w:rPr>
          <w:rFonts w:cs="Calibri"/>
          <w:szCs w:val="20"/>
          <w:lang w:val="en-US"/>
        </w:rPr>
      </w:pPr>
      <w:r w:rsidRPr="003D4D09">
        <w:rPr>
          <w:rFonts w:cs="Calibri"/>
          <w:szCs w:val="20"/>
          <w:lang w:val="en-US"/>
        </w:rPr>
        <w:t>And, for the same reason, it is</w:t>
      </w:r>
      <w:r>
        <w:rPr>
          <w:rFonts w:cs="Calibri"/>
          <w:szCs w:val="20"/>
          <w:lang w:val="en-US"/>
        </w:rPr>
        <w:t xml:space="preserve"> at that moment</w:t>
      </w:r>
      <w:r w:rsidRPr="003D4D09">
        <w:rPr>
          <w:rFonts w:cs="Calibri"/>
          <w:szCs w:val="20"/>
          <w:lang w:val="en-US"/>
        </w:rPr>
        <w:t xml:space="preserve"> that the domestic remedies must have been exhausted or that the petitioner indicates the impossibility of exhausting them. To affirm that those remedies could be exhausted after the petition has been </w:t>
      </w:r>
      <w:r w:rsidRPr="003D4D09">
        <w:rPr>
          <w:szCs w:val="20"/>
          <w:lang w:val="en-US"/>
        </w:rPr>
        <w:t>“</w:t>
      </w:r>
      <w:r w:rsidRPr="003D4D09">
        <w:rPr>
          <w:i/>
          <w:szCs w:val="20"/>
          <w:lang w:val="en-US"/>
        </w:rPr>
        <w:t>lodged</w:t>
      </w:r>
      <w:r w:rsidRPr="003D4D09">
        <w:rPr>
          <w:szCs w:val="20"/>
          <w:lang w:val="en-US"/>
        </w:rPr>
        <w:t>” and, consequently, notified to the State, would affect the essential procedural balance and would l</w:t>
      </w:r>
      <w:r>
        <w:rPr>
          <w:szCs w:val="20"/>
          <w:lang w:val="en-US"/>
        </w:rPr>
        <w:t>eave the State</w:t>
      </w:r>
      <w:r w:rsidRPr="003D4D09">
        <w:rPr>
          <w:szCs w:val="20"/>
          <w:lang w:val="en-US"/>
        </w:rPr>
        <w:t xml:space="preserve"> defenseless, because it could not file the pertinent preliminary objection in time and in due form.</w:t>
      </w:r>
    </w:p>
    <w:p w14:paraId="049AE4D3" w14:textId="77777777" w:rsidR="000F66F8" w:rsidRPr="003D4D09" w:rsidRDefault="000F66F8" w:rsidP="000F66F8">
      <w:pPr>
        <w:pStyle w:val="ListParagraph"/>
        <w:keepNext/>
        <w:ind w:left="0"/>
        <w:rPr>
          <w:rFonts w:cs="Calibri"/>
          <w:szCs w:val="20"/>
          <w:lang w:val="en-US"/>
        </w:rPr>
      </w:pPr>
    </w:p>
    <w:p w14:paraId="454923A8" w14:textId="77777777" w:rsidR="000F66F8" w:rsidRPr="003D4D09" w:rsidRDefault="000F66F8" w:rsidP="000F66F8">
      <w:pPr>
        <w:pStyle w:val="ListParagraph"/>
        <w:keepNext/>
        <w:ind w:left="0"/>
        <w:rPr>
          <w:rFonts w:cs="Calibri"/>
          <w:szCs w:val="20"/>
          <w:lang w:val="en-US"/>
        </w:rPr>
      </w:pPr>
      <w:r w:rsidRPr="003D4D09">
        <w:rPr>
          <w:rFonts w:cs="Calibri"/>
          <w:szCs w:val="20"/>
          <w:lang w:val="en-US"/>
        </w:rPr>
        <w:t>It is in this context that the criterion “</w:t>
      </w:r>
      <w:r w:rsidRPr="003D4D09">
        <w:rPr>
          <w:rFonts w:cs="Calibri"/>
          <w:i/>
          <w:szCs w:val="20"/>
          <w:lang w:val="en-US"/>
        </w:rPr>
        <w:t>consistently affirmed</w:t>
      </w:r>
      <w:r w:rsidRPr="003D4D09">
        <w:rPr>
          <w:rFonts w:cs="Calibri"/>
          <w:szCs w:val="20"/>
          <w:lang w:val="en-US"/>
        </w:rPr>
        <w:t xml:space="preserve"> [by the Court that] </w:t>
      </w:r>
      <w:r w:rsidRPr="003D4D09">
        <w:rPr>
          <w:rFonts w:cs="Calibri"/>
          <w:i/>
          <w:szCs w:val="20"/>
          <w:lang w:val="en-US"/>
        </w:rPr>
        <w:t>an objection to the jurisdiction of the Court based on the supposed failure to exhaust domestic remedies must be filed at the appropriate procedural opportunity; that is, during the admissibility stage of the proceedings before the Commission”</w:t>
      </w:r>
      <w:r w:rsidRPr="003D4D09">
        <w:rPr>
          <w:rStyle w:val="FootnoteReference"/>
          <w:rFonts w:cs="Calibri"/>
          <w:szCs w:val="20"/>
          <w:lang w:val="en-US"/>
        </w:rPr>
        <w:footnoteReference w:id="431"/>
      </w:r>
      <w:r w:rsidRPr="003D4D09">
        <w:rPr>
          <w:rFonts w:cs="Calibri"/>
          <w:szCs w:val="20"/>
          <w:lang w:val="en-US"/>
        </w:rPr>
        <w:t>should be understood.</w:t>
      </w:r>
    </w:p>
    <w:p w14:paraId="21E9B5EE" w14:textId="77777777" w:rsidR="000F66F8" w:rsidRPr="003D4D09" w:rsidRDefault="000F66F8" w:rsidP="000F66F8">
      <w:pPr>
        <w:pStyle w:val="ListParagraph"/>
        <w:keepNext/>
        <w:ind w:left="0"/>
        <w:rPr>
          <w:rFonts w:cs="Calibri"/>
          <w:szCs w:val="20"/>
          <w:lang w:val="en-US" w:eastAsia="es-MX"/>
        </w:rPr>
      </w:pPr>
    </w:p>
    <w:p w14:paraId="1DF53365" w14:textId="77777777" w:rsidR="000F66F8" w:rsidRPr="003D4D09" w:rsidRDefault="000F66F8" w:rsidP="000F66F8">
      <w:pPr>
        <w:pStyle w:val="ListParagraph"/>
        <w:keepNext/>
        <w:numPr>
          <w:ilvl w:val="0"/>
          <w:numId w:val="16"/>
        </w:numPr>
        <w:ind w:left="567" w:hanging="283"/>
        <w:contextualSpacing w:val="0"/>
        <w:rPr>
          <w:rFonts w:cs="Calibri"/>
          <w:b/>
          <w:szCs w:val="20"/>
          <w:lang w:val="en-US"/>
        </w:rPr>
      </w:pPr>
      <w:r w:rsidRPr="003D4D09">
        <w:rPr>
          <w:rFonts w:cs="Calibri"/>
          <w:b/>
          <w:szCs w:val="20"/>
          <w:lang w:val="en-US"/>
        </w:rPr>
        <w:t>Admissibility of the petition</w:t>
      </w:r>
    </w:p>
    <w:p w14:paraId="62C16B8D" w14:textId="77777777" w:rsidR="000F66F8" w:rsidRPr="003D4D09" w:rsidRDefault="000F66F8" w:rsidP="000F66F8">
      <w:pPr>
        <w:keepNext/>
        <w:rPr>
          <w:rFonts w:cs="Calibri"/>
          <w:szCs w:val="20"/>
          <w:lang w:val="en-US"/>
        </w:rPr>
      </w:pPr>
    </w:p>
    <w:p w14:paraId="3147F377" w14:textId="77777777" w:rsidR="000F66F8" w:rsidRPr="003D4D09" w:rsidRDefault="000F66F8" w:rsidP="000F66F8">
      <w:pPr>
        <w:keepNext/>
        <w:rPr>
          <w:rFonts w:cs="Calibri"/>
          <w:szCs w:val="20"/>
          <w:lang w:val="en-US"/>
        </w:rPr>
      </w:pPr>
      <w:r w:rsidRPr="003D4D09">
        <w:rPr>
          <w:rFonts w:cs="Calibri"/>
          <w:szCs w:val="20"/>
          <w:lang w:val="en-US"/>
        </w:rPr>
        <w:t>The preceding consideration is also evi</w:t>
      </w:r>
      <w:r>
        <w:rPr>
          <w:rFonts w:cs="Calibri"/>
          <w:szCs w:val="20"/>
          <w:lang w:val="en-US"/>
        </w:rPr>
        <w:t>dent from Article 31(1) of the Commission’s</w:t>
      </w:r>
      <w:r w:rsidRPr="003D4D09">
        <w:rPr>
          <w:rFonts w:cs="Calibri"/>
          <w:szCs w:val="20"/>
          <w:lang w:val="en-US"/>
        </w:rPr>
        <w:t xml:space="preserve"> Rules of Procedure, which establishes that “</w:t>
      </w:r>
      <w:r w:rsidRPr="003D4D09">
        <w:rPr>
          <w:i/>
          <w:szCs w:val="20"/>
          <w:lang w:val="en-US"/>
        </w:rPr>
        <w:t>[</w:t>
      </w:r>
      <w:proofErr w:type="spellStart"/>
      <w:r w:rsidRPr="003D4D09">
        <w:rPr>
          <w:i/>
          <w:szCs w:val="20"/>
          <w:lang w:val="en-US"/>
        </w:rPr>
        <w:t>i</w:t>
      </w:r>
      <w:proofErr w:type="spellEnd"/>
      <w:r w:rsidRPr="003D4D09">
        <w:rPr>
          <w:i/>
          <w:szCs w:val="20"/>
          <w:lang w:val="en-US"/>
        </w:rPr>
        <w:t>]n order to decide on the admissibility of a matter, the Commission shall verify whether the remedies of the domestic legal system have been pursued and exhausted in accordance with the generally recognized principles of international law</w:t>
      </w:r>
      <w:r w:rsidRPr="003D4D09">
        <w:rPr>
          <w:szCs w:val="20"/>
          <w:lang w:val="en-US"/>
        </w:rPr>
        <w:t>.”</w:t>
      </w:r>
    </w:p>
    <w:p w14:paraId="3053DDA5" w14:textId="77777777" w:rsidR="000F66F8" w:rsidRPr="003D4D09" w:rsidRDefault="000F66F8" w:rsidP="000F66F8">
      <w:pPr>
        <w:keepNext/>
        <w:rPr>
          <w:rFonts w:cs="Calibri"/>
          <w:szCs w:val="20"/>
          <w:lang w:val="en-US"/>
        </w:rPr>
      </w:pPr>
    </w:p>
    <w:p w14:paraId="1C6ACC60"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This provision requires the Commission to “</w:t>
      </w:r>
      <w:r w:rsidRPr="003D4D09">
        <w:rPr>
          <w:rFonts w:ascii="Verdana" w:hAnsi="Verdana" w:cs="Calibri"/>
          <w:i/>
          <w:sz w:val="20"/>
          <w:szCs w:val="20"/>
          <w:lang w:val="en-US"/>
        </w:rPr>
        <w:t>verify</w:t>
      </w:r>
      <w:r w:rsidRPr="00F13501">
        <w:rPr>
          <w:rFonts w:ascii="Verdana" w:hAnsi="Verdana" w:cs="Calibri"/>
          <w:i/>
          <w:sz w:val="20"/>
          <w:szCs w:val="20"/>
          <w:lang w:val="en-US"/>
        </w:rPr>
        <w:t>,</w:t>
      </w:r>
      <w:r w:rsidRPr="00F13501">
        <w:rPr>
          <w:rFonts w:ascii="Verdana" w:hAnsi="Verdana" w:cs="Calibri"/>
          <w:sz w:val="20"/>
          <w:szCs w:val="20"/>
          <w:lang w:val="en-US"/>
        </w:rPr>
        <w:t xml:space="preserve">” </w:t>
      </w:r>
      <w:r>
        <w:rPr>
          <w:rFonts w:ascii="Verdana" w:hAnsi="Verdana" w:cs="Calibri"/>
          <w:sz w:val="20"/>
          <w:szCs w:val="20"/>
          <w:lang w:val="en-US"/>
        </w:rPr>
        <w:t>that is</w:t>
      </w:r>
      <w:r w:rsidRPr="00F13501">
        <w:rPr>
          <w:rFonts w:ascii="Verdana" w:hAnsi="Verdana" w:cs="Calibri"/>
          <w:sz w:val="20"/>
          <w:szCs w:val="20"/>
          <w:lang w:val="en-US"/>
        </w:rPr>
        <w:t xml:space="preserve">, </w:t>
      </w:r>
      <w:r>
        <w:rPr>
          <w:rFonts w:ascii="Verdana" w:hAnsi="Verdana" w:cs="Calibri"/>
          <w:sz w:val="20"/>
          <w:szCs w:val="20"/>
          <w:lang w:val="en-US"/>
        </w:rPr>
        <w:t xml:space="preserve">to </w:t>
      </w:r>
      <w:r w:rsidRPr="00F13501">
        <w:rPr>
          <w:rFonts w:ascii="Verdana" w:hAnsi="Verdana" w:cs="Calibri"/>
          <w:sz w:val="20"/>
          <w:szCs w:val="20"/>
          <w:lang w:val="en-US"/>
        </w:rPr>
        <w:t>confirm</w:t>
      </w:r>
      <w:r>
        <w:rPr>
          <w:rFonts w:ascii="Verdana" w:hAnsi="Verdana" w:cs="Calibri"/>
          <w:sz w:val="20"/>
          <w:szCs w:val="20"/>
          <w:lang w:val="en-US"/>
        </w:rPr>
        <w:t xml:space="preserve"> [Note: </w:t>
      </w:r>
      <w:proofErr w:type="spellStart"/>
      <w:r w:rsidRPr="00F13501">
        <w:rPr>
          <w:rFonts w:ascii="Verdana" w:hAnsi="Verdana" w:cs="Calibri"/>
          <w:i/>
          <w:sz w:val="20"/>
          <w:szCs w:val="20"/>
          <w:lang w:val="en-US"/>
        </w:rPr>
        <w:t>verificar-comprobar</w:t>
      </w:r>
      <w:proofErr w:type="spellEnd"/>
      <w:r w:rsidRPr="00F13501">
        <w:rPr>
          <w:rStyle w:val="FootnoteReference"/>
          <w:rFonts w:ascii="Verdana" w:hAnsi="Verdana" w:cs="Calibri"/>
          <w:sz w:val="20"/>
          <w:szCs w:val="20"/>
          <w:lang w:val="en-US"/>
        </w:rPr>
        <w:footnoteReference w:id="432"/>
      </w:r>
      <w:r>
        <w:rPr>
          <w:rFonts w:ascii="Verdana" w:hAnsi="Verdana" w:cs="Calibri"/>
          <w:i/>
          <w:sz w:val="20"/>
          <w:szCs w:val="20"/>
          <w:lang w:val="en-US"/>
        </w:rPr>
        <w:t xml:space="preserve"> </w:t>
      </w:r>
      <w:r>
        <w:rPr>
          <w:rFonts w:ascii="Verdana" w:hAnsi="Verdana" w:cs="Calibri"/>
          <w:sz w:val="20"/>
          <w:szCs w:val="20"/>
          <w:lang w:val="en-US"/>
        </w:rPr>
        <w:t>in the Spanish text],</w:t>
      </w:r>
      <w:r w:rsidRPr="00F13501">
        <w:rPr>
          <w:rFonts w:ascii="Verdana" w:hAnsi="Verdana" w:cs="Calibri"/>
          <w:sz w:val="20"/>
          <w:szCs w:val="20"/>
          <w:lang w:val="en-US"/>
        </w:rPr>
        <w:t xml:space="preserve"> </w:t>
      </w:r>
      <w:r w:rsidRPr="003D4D09">
        <w:rPr>
          <w:rFonts w:ascii="Verdana" w:hAnsi="Verdana" w:cs="Calibri"/>
          <w:sz w:val="20"/>
          <w:szCs w:val="20"/>
          <w:lang w:val="en-US"/>
        </w:rPr>
        <w:t>the filing and exhaustion of the domestic remedies, in order</w:t>
      </w:r>
      <w:r>
        <w:rPr>
          <w:rFonts w:ascii="Verdana" w:hAnsi="Verdana" w:cs="Calibri"/>
          <w:sz w:val="20"/>
          <w:szCs w:val="20"/>
          <w:lang w:val="en-US"/>
        </w:rPr>
        <w:t xml:space="preserve"> to</w:t>
      </w:r>
      <w:r>
        <w:rPr>
          <w:rFonts w:ascii="Verdana" w:hAnsi="Verdana"/>
          <w:i/>
          <w:sz w:val="20"/>
          <w:szCs w:val="20"/>
          <w:lang w:val="en-US"/>
        </w:rPr>
        <w:t xml:space="preserve"> “</w:t>
      </w:r>
      <w:r w:rsidRPr="003D4D09">
        <w:rPr>
          <w:rFonts w:ascii="Verdana" w:hAnsi="Verdana"/>
          <w:i/>
          <w:sz w:val="20"/>
          <w:szCs w:val="20"/>
          <w:lang w:val="en-US"/>
        </w:rPr>
        <w:t xml:space="preserve">decide” </w:t>
      </w:r>
      <w:r w:rsidRPr="003D4D09">
        <w:rPr>
          <w:rFonts w:ascii="Verdana" w:hAnsi="Verdana"/>
          <w:sz w:val="20"/>
          <w:szCs w:val="20"/>
          <w:lang w:val="en-US"/>
        </w:rPr>
        <w:t xml:space="preserve">on admissibility. And, this is logical, because that decision could be not to admit the petition because such remedies have not been exhausted. This means that, in order to take a decision on the admissibility of </w:t>
      </w:r>
      <w:r w:rsidRPr="003D4D09">
        <w:rPr>
          <w:rFonts w:ascii="Verdana" w:hAnsi="Verdana" w:cs="Calibri"/>
          <w:sz w:val="20"/>
          <w:szCs w:val="20"/>
          <w:lang w:val="en-US"/>
        </w:rPr>
        <w:t xml:space="preserve">the petition, the Commission must verify whether the rule of prior exhaustion of domestic remedies has been complied with and, if not, the corresponding decision would be to declare the petition inadmissible. The </w:t>
      </w:r>
      <w:r>
        <w:rPr>
          <w:rFonts w:ascii="Verdana" w:hAnsi="Verdana" w:cs="Calibri"/>
          <w:sz w:val="20"/>
          <w:szCs w:val="20"/>
          <w:lang w:val="en-US"/>
        </w:rPr>
        <w:t>essential</w:t>
      </w:r>
      <w:r w:rsidRPr="003D4D09">
        <w:rPr>
          <w:rFonts w:ascii="Verdana" w:hAnsi="Verdana" w:cs="Calibri"/>
          <w:sz w:val="20"/>
          <w:szCs w:val="20"/>
          <w:lang w:val="en-US"/>
        </w:rPr>
        <w:t xml:space="preserve"> requi</w:t>
      </w:r>
      <w:r>
        <w:rPr>
          <w:rFonts w:ascii="Verdana" w:hAnsi="Verdana" w:cs="Calibri"/>
          <w:sz w:val="20"/>
          <w:szCs w:val="20"/>
          <w:lang w:val="en-US"/>
        </w:rPr>
        <w:t>site</w:t>
      </w:r>
      <w:r w:rsidRPr="003D4D09">
        <w:rPr>
          <w:rFonts w:ascii="Verdana" w:hAnsi="Verdana" w:cs="Calibri"/>
          <w:sz w:val="20"/>
          <w:szCs w:val="20"/>
          <w:lang w:val="en-US"/>
        </w:rPr>
        <w:t xml:space="preserve"> </w:t>
      </w:r>
      <w:r>
        <w:rPr>
          <w:rFonts w:ascii="Verdana" w:hAnsi="Verdana" w:cs="Calibri"/>
          <w:sz w:val="20"/>
          <w:szCs w:val="20"/>
          <w:lang w:val="en-US"/>
        </w:rPr>
        <w:t>that enables</w:t>
      </w:r>
      <w:r w:rsidRPr="003D4D09">
        <w:rPr>
          <w:rFonts w:ascii="Verdana" w:hAnsi="Verdana" w:cs="Calibri"/>
          <w:sz w:val="20"/>
          <w:szCs w:val="20"/>
          <w:lang w:val="en-US"/>
        </w:rPr>
        <w:t xml:space="preserve"> the Commission to </w:t>
      </w:r>
      <w:r>
        <w:rPr>
          <w:rFonts w:ascii="Verdana" w:hAnsi="Verdana" w:cs="Calibri"/>
          <w:sz w:val="20"/>
          <w:szCs w:val="20"/>
          <w:lang w:val="en-US"/>
        </w:rPr>
        <w:t>decide</w:t>
      </w:r>
      <w:r w:rsidRPr="003D4D09">
        <w:rPr>
          <w:rFonts w:ascii="Verdana" w:hAnsi="Verdana" w:cs="Calibri"/>
          <w:sz w:val="20"/>
          <w:szCs w:val="20"/>
          <w:lang w:val="en-US"/>
        </w:rPr>
        <w:t xml:space="preserve"> on the </w:t>
      </w:r>
      <w:r w:rsidRPr="003D4D09">
        <w:rPr>
          <w:rFonts w:ascii="Verdana" w:hAnsi="Verdana" w:cs="Calibri"/>
          <w:sz w:val="20"/>
          <w:szCs w:val="20"/>
          <w:lang w:val="en-US"/>
        </w:rPr>
        <w:lastRenderedPageBreak/>
        <w:t xml:space="preserve">admissibility of the petition </w:t>
      </w:r>
      <w:r>
        <w:rPr>
          <w:rFonts w:ascii="Verdana" w:hAnsi="Verdana" w:cs="Calibri"/>
          <w:sz w:val="20"/>
          <w:szCs w:val="20"/>
          <w:lang w:val="en-US"/>
        </w:rPr>
        <w:t>is, thus, the verification it must make that the petition has complied</w:t>
      </w:r>
      <w:r w:rsidRPr="003D4D09">
        <w:rPr>
          <w:rFonts w:ascii="Verdana" w:hAnsi="Verdana" w:cs="Calibri"/>
          <w:sz w:val="20"/>
          <w:szCs w:val="20"/>
          <w:lang w:val="en-US"/>
        </w:rPr>
        <w:t xml:space="preserve"> with the rule of prior exhaustion of domestic remedies</w:t>
      </w:r>
      <w:r>
        <w:rPr>
          <w:rFonts w:ascii="Verdana" w:hAnsi="Verdana" w:cs="Calibri"/>
          <w:sz w:val="20"/>
          <w:szCs w:val="20"/>
          <w:lang w:val="en-US"/>
        </w:rPr>
        <w:t>,</w:t>
      </w:r>
      <w:r w:rsidRPr="003D4D09">
        <w:rPr>
          <w:rFonts w:ascii="Verdana" w:hAnsi="Verdana" w:cs="Calibri"/>
          <w:sz w:val="20"/>
          <w:szCs w:val="20"/>
          <w:lang w:val="en-US"/>
        </w:rPr>
        <w:t xml:space="preserve"> and</w:t>
      </w:r>
      <w:r>
        <w:rPr>
          <w:rFonts w:ascii="Verdana" w:hAnsi="Verdana" w:cs="Calibri"/>
          <w:sz w:val="20"/>
          <w:szCs w:val="20"/>
          <w:lang w:val="en-US"/>
        </w:rPr>
        <w:t xml:space="preserve"> not merely that this rule has </w:t>
      </w:r>
      <w:r w:rsidRPr="003D4D09">
        <w:rPr>
          <w:rFonts w:ascii="Verdana" w:hAnsi="Verdana" w:cs="Calibri"/>
          <w:sz w:val="20"/>
          <w:szCs w:val="20"/>
          <w:lang w:val="en-US"/>
        </w:rPr>
        <w:t>been complied with.</w:t>
      </w:r>
    </w:p>
    <w:p w14:paraId="482F32A6"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55B6F7D9"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In addition, it should be noted that, although it is logical that the preliminary objection of prior failure to exhaust domestic remedies should be filed during the procedure on the admissibility of the petition – which </w:t>
      </w:r>
      <w:r>
        <w:rPr>
          <w:rFonts w:ascii="Verdana" w:hAnsi="Verdana" w:cs="Calibri"/>
          <w:sz w:val="20"/>
          <w:szCs w:val="20"/>
          <w:lang w:val="en-US"/>
        </w:rPr>
        <w:t>extends from the date</w:t>
      </w:r>
      <w:r w:rsidRPr="003D4D09">
        <w:rPr>
          <w:rFonts w:ascii="Verdana" w:hAnsi="Verdana" w:cs="Calibri"/>
          <w:sz w:val="20"/>
          <w:szCs w:val="20"/>
          <w:lang w:val="en-US"/>
        </w:rPr>
        <w:t xml:space="preserve"> the petition is received and processed by the Commission, through its Executive </w:t>
      </w:r>
      <w:r>
        <w:rPr>
          <w:rFonts w:ascii="Verdana" w:hAnsi="Verdana" w:cs="Calibri"/>
          <w:sz w:val="20"/>
          <w:szCs w:val="20"/>
          <w:lang w:val="en-US"/>
        </w:rPr>
        <w:t>Secretariat, until the moment at</w:t>
      </w:r>
      <w:r w:rsidRPr="003D4D09">
        <w:rPr>
          <w:rFonts w:ascii="Verdana" w:hAnsi="Verdana" w:cs="Calibri"/>
          <w:sz w:val="20"/>
          <w:szCs w:val="20"/>
          <w:lang w:val="en-US"/>
        </w:rPr>
        <w:t xml:space="preserve"> which the Commission rules on its admissibility – this does not mean that it should be at this latter moment </w:t>
      </w:r>
      <w:r>
        <w:rPr>
          <w:rFonts w:ascii="Verdana" w:hAnsi="Verdana" w:cs="Calibri"/>
          <w:sz w:val="20"/>
          <w:szCs w:val="20"/>
          <w:lang w:val="en-US"/>
        </w:rPr>
        <w:t>(that is, at the end of this</w:t>
      </w:r>
      <w:r w:rsidRPr="003D4D09">
        <w:rPr>
          <w:rFonts w:ascii="Verdana" w:hAnsi="Verdana" w:cs="Calibri"/>
          <w:sz w:val="20"/>
          <w:szCs w:val="20"/>
          <w:lang w:val="en-US"/>
        </w:rPr>
        <w:t xml:space="preserve"> proce</w:t>
      </w:r>
      <w:r>
        <w:rPr>
          <w:rFonts w:ascii="Verdana" w:hAnsi="Verdana" w:cs="Calibri"/>
          <w:sz w:val="20"/>
          <w:szCs w:val="20"/>
          <w:lang w:val="en-US"/>
        </w:rPr>
        <w:t>dure) when the said requirement</w:t>
      </w:r>
      <w:r w:rsidRPr="003D4D09">
        <w:rPr>
          <w:rFonts w:ascii="Verdana" w:hAnsi="Verdana" w:cs="Calibri"/>
          <w:sz w:val="20"/>
          <w:szCs w:val="20"/>
          <w:lang w:val="en-US"/>
        </w:rPr>
        <w:t xml:space="preserve"> should have been met. It only means that, at that moment, the Commission must rule on or rather “</w:t>
      </w:r>
      <w:r w:rsidRPr="003D4D09">
        <w:rPr>
          <w:rFonts w:ascii="Verdana" w:hAnsi="Verdana" w:cs="Calibri"/>
          <w:i/>
          <w:sz w:val="20"/>
          <w:szCs w:val="20"/>
          <w:lang w:val="en-US"/>
        </w:rPr>
        <w:t>verify</w:t>
      </w:r>
      <w:r w:rsidRPr="003D4D09">
        <w:rPr>
          <w:rFonts w:ascii="Verdana" w:hAnsi="Verdana" w:cs="Calibri"/>
          <w:sz w:val="20"/>
          <w:szCs w:val="20"/>
          <w:lang w:val="en-US"/>
        </w:rPr>
        <w:t>”</w:t>
      </w:r>
      <w:r w:rsidRPr="003D4D09">
        <w:rPr>
          <w:rStyle w:val="FootnoteReference"/>
          <w:rFonts w:ascii="Verdana" w:hAnsi="Verdana" w:cs="Calibri"/>
          <w:sz w:val="20"/>
          <w:szCs w:val="20"/>
          <w:lang w:val="en-US"/>
        </w:rPr>
        <w:footnoteReference w:id="433"/>
      </w:r>
      <w:r w:rsidRPr="003D4D09">
        <w:rPr>
          <w:rFonts w:ascii="Verdana" w:hAnsi="Verdana" w:cs="Calibri"/>
          <w:sz w:val="20"/>
          <w:szCs w:val="20"/>
          <w:lang w:val="en-US"/>
        </w:rPr>
        <w:t xml:space="preserve"> whether it was met when the petition was lodged.</w:t>
      </w:r>
    </w:p>
    <w:p w14:paraId="674F2F19"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63CEC82B"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This is evident if it is considered that Article 36(1) of the Commission’s Rules of Procedure establishes that </w:t>
      </w:r>
      <w:r w:rsidRPr="003D4D09">
        <w:rPr>
          <w:rFonts w:ascii="Verdana" w:hAnsi="Verdana" w:cs="Calibri"/>
          <w:i/>
          <w:sz w:val="20"/>
          <w:szCs w:val="20"/>
          <w:lang w:val="en-US"/>
        </w:rPr>
        <w:t>“[o]</w:t>
      </w:r>
      <w:proofErr w:type="spellStart"/>
      <w:r w:rsidRPr="003D4D09">
        <w:rPr>
          <w:rFonts w:ascii="Verdana" w:hAnsi="Verdana" w:cs="Calibri"/>
          <w:i/>
          <w:sz w:val="20"/>
          <w:szCs w:val="20"/>
          <w:lang w:val="en-US"/>
        </w:rPr>
        <w:t>n</w:t>
      </w:r>
      <w:r w:rsidRPr="003D4D09">
        <w:rPr>
          <w:rFonts w:ascii="Verdana" w:hAnsi="Verdana"/>
          <w:i/>
          <w:sz w:val="20"/>
          <w:szCs w:val="20"/>
          <w:lang w:val="en-US"/>
        </w:rPr>
        <w:t>ce</w:t>
      </w:r>
      <w:proofErr w:type="spellEnd"/>
      <w:r w:rsidRPr="003D4D09">
        <w:rPr>
          <w:rFonts w:ascii="Verdana" w:hAnsi="Verdana"/>
          <w:i/>
          <w:sz w:val="20"/>
          <w:szCs w:val="20"/>
          <w:lang w:val="en-US"/>
        </w:rPr>
        <w:t xml:space="preserve"> it has considered the positions of the parties, the Commission shall make a decision on the admissibility of the matter</w:t>
      </w:r>
      <w:r w:rsidRPr="003D4D09">
        <w:rPr>
          <w:rFonts w:ascii="Verdana" w:hAnsi="Verdana"/>
          <w:sz w:val="20"/>
          <w:szCs w:val="20"/>
          <w:lang w:val="en-US"/>
        </w:rPr>
        <w:t>.</w:t>
      </w:r>
      <w:r w:rsidRPr="003D4D09">
        <w:rPr>
          <w:rFonts w:ascii="Verdana" w:hAnsi="Verdana" w:cs="Calibri"/>
          <w:sz w:val="20"/>
          <w:szCs w:val="20"/>
          <w:lang w:val="en-US"/>
        </w:rPr>
        <w:t>”</w:t>
      </w:r>
    </w:p>
    <w:p w14:paraId="0EE1FDA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0ECCB5F4"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Hence, it is indisputable that the moment at which the Commission rules on the admissibility of the petition is distinct from the moment when it is lodged or completed. This is clear when it is recalled that the Commission’s Rules of Procedure establish an “</w:t>
      </w:r>
      <w:r w:rsidRPr="003D4D09">
        <w:rPr>
          <w:rFonts w:ascii="Verdana" w:hAnsi="Verdana" w:cs="Calibri"/>
          <w:i/>
          <w:sz w:val="20"/>
          <w:szCs w:val="20"/>
          <w:lang w:val="en-US"/>
        </w:rPr>
        <w:t>initial processing”</w:t>
      </w:r>
      <w:r w:rsidRPr="003D4D09">
        <w:rPr>
          <w:rStyle w:val="FootnoteReference"/>
          <w:rFonts w:ascii="Verdana" w:hAnsi="Verdana" w:cs="Calibri"/>
          <w:sz w:val="20"/>
          <w:szCs w:val="20"/>
          <w:lang w:val="en-US"/>
        </w:rPr>
        <w:footnoteReference w:id="434"/>
      </w:r>
      <w:r w:rsidRPr="003D4D09">
        <w:rPr>
          <w:rFonts w:ascii="Verdana" w:hAnsi="Verdana" w:cs="Calibri"/>
          <w:i/>
          <w:sz w:val="20"/>
          <w:szCs w:val="20"/>
          <w:lang w:val="en-US"/>
        </w:rPr>
        <w:t xml:space="preserve"> </w:t>
      </w:r>
      <w:r w:rsidRPr="003D4D09">
        <w:rPr>
          <w:rFonts w:ascii="Verdana" w:hAnsi="Verdana" w:cs="Calibri"/>
          <w:sz w:val="20"/>
          <w:szCs w:val="20"/>
          <w:lang w:val="en-US"/>
        </w:rPr>
        <w:t>of the</w:t>
      </w:r>
      <w:r w:rsidRPr="003D4D09">
        <w:rPr>
          <w:rFonts w:ascii="Verdana" w:hAnsi="Verdana" w:cs="Calibri"/>
          <w:i/>
          <w:sz w:val="20"/>
          <w:szCs w:val="20"/>
          <w:lang w:val="en-US"/>
        </w:rPr>
        <w:t xml:space="preserve"> </w:t>
      </w:r>
      <w:r w:rsidRPr="003D4D09">
        <w:rPr>
          <w:rFonts w:ascii="Verdana" w:hAnsi="Verdana" w:cs="Calibri"/>
          <w:sz w:val="20"/>
          <w:szCs w:val="20"/>
          <w:lang w:val="en-US"/>
        </w:rPr>
        <w:t xml:space="preserve">petition, that the petition </w:t>
      </w:r>
      <w:r>
        <w:rPr>
          <w:rFonts w:ascii="Verdana" w:hAnsi="Verdana" w:cs="Calibri"/>
          <w:sz w:val="20"/>
          <w:szCs w:val="20"/>
          <w:lang w:val="en-US"/>
        </w:rPr>
        <w:t xml:space="preserve">must </w:t>
      </w:r>
      <w:r w:rsidRPr="003D4D09">
        <w:rPr>
          <w:rFonts w:ascii="Verdana" w:hAnsi="Verdana" w:cs="Calibri"/>
          <w:sz w:val="20"/>
          <w:szCs w:val="20"/>
          <w:lang w:val="en-US"/>
        </w:rPr>
        <w:t>be “</w:t>
      </w:r>
      <w:r w:rsidRPr="003D4D09">
        <w:rPr>
          <w:rFonts w:ascii="Verdana" w:hAnsi="Verdana" w:cs="Calibri"/>
          <w:i/>
          <w:sz w:val="20"/>
          <w:szCs w:val="20"/>
          <w:lang w:val="en-US"/>
        </w:rPr>
        <w:t>register[</w:t>
      </w:r>
      <w:proofErr w:type="spellStart"/>
      <w:r w:rsidRPr="003D4D09">
        <w:rPr>
          <w:rFonts w:ascii="Verdana" w:hAnsi="Verdana" w:cs="Calibri"/>
          <w:i/>
          <w:sz w:val="20"/>
          <w:szCs w:val="20"/>
          <w:lang w:val="en-US"/>
        </w:rPr>
        <w:t>ed</w:t>
      </w:r>
      <w:proofErr w:type="spellEnd"/>
      <w:r w:rsidRPr="003D4D09">
        <w:rPr>
          <w:rFonts w:ascii="Verdana" w:hAnsi="Verdana" w:cs="Calibri"/>
          <w:sz w:val="20"/>
          <w:szCs w:val="20"/>
          <w:lang w:val="en-US"/>
        </w:rPr>
        <w:t>],”</w:t>
      </w:r>
      <w:r w:rsidRPr="003D4D09">
        <w:rPr>
          <w:rStyle w:val="FootnoteReference"/>
          <w:rFonts w:ascii="Verdana" w:hAnsi="Verdana" w:cs="Calibri"/>
          <w:sz w:val="20"/>
          <w:szCs w:val="20"/>
          <w:lang w:val="en-US"/>
        </w:rPr>
        <w:footnoteReference w:id="435"/>
      </w:r>
      <w:r w:rsidRPr="003D4D09">
        <w:rPr>
          <w:rFonts w:ascii="Verdana" w:hAnsi="Verdana" w:cs="Calibri"/>
          <w:sz w:val="20"/>
          <w:szCs w:val="20"/>
          <w:lang w:val="en-US"/>
        </w:rPr>
        <w:t xml:space="preserve"> and that the “</w:t>
      </w:r>
      <w:r w:rsidRPr="003D4D09">
        <w:rPr>
          <w:rFonts w:ascii="Verdana" w:hAnsi="Verdana" w:cs="Calibri"/>
          <w:i/>
          <w:sz w:val="20"/>
          <w:szCs w:val="20"/>
          <w:lang w:val="en-US"/>
        </w:rPr>
        <w:t>relevant parts</w:t>
      </w:r>
      <w:r w:rsidRPr="003D4D09">
        <w:rPr>
          <w:rFonts w:ascii="Verdana" w:hAnsi="Verdana" w:cs="Calibri"/>
          <w:sz w:val="20"/>
          <w:szCs w:val="20"/>
          <w:lang w:val="en-US"/>
        </w:rPr>
        <w:t>”</w:t>
      </w:r>
      <w:r w:rsidRPr="003D4D09">
        <w:rPr>
          <w:rStyle w:val="FootnoteReference"/>
          <w:rFonts w:ascii="Verdana" w:hAnsi="Verdana" w:cs="Calibri"/>
          <w:sz w:val="20"/>
          <w:szCs w:val="20"/>
          <w:lang w:val="en-US"/>
        </w:rPr>
        <w:footnoteReference w:id="436"/>
      </w:r>
      <w:r w:rsidRPr="003D4D09">
        <w:rPr>
          <w:rFonts w:ascii="Verdana" w:hAnsi="Verdana" w:cs="Calibri"/>
          <w:sz w:val="20"/>
          <w:szCs w:val="20"/>
          <w:lang w:val="en-US"/>
        </w:rPr>
        <w:t xml:space="preserve"> </w:t>
      </w:r>
      <w:r>
        <w:rPr>
          <w:rFonts w:ascii="Verdana" w:hAnsi="Verdana" w:cs="Calibri"/>
          <w:sz w:val="20"/>
          <w:szCs w:val="20"/>
          <w:lang w:val="en-US"/>
        </w:rPr>
        <w:t>must be forwarded to the State. It</w:t>
      </w:r>
      <w:r w:rsidRPr="003D4D09">
        <w:rPr>
          <w:rFonts w:ascii="Verdana" w:hAnsi="Verdana" w:cs="Calibri"/>
          <w:sz w:val="20"/>
          <w:szCs w:val="20"/>
          <w:lang w:val="en-US"/>
        </w:rPr>
        <w:t xml:space="preserve"> is only after the State has submitted its observations th</w:t>
      </w:r>
      <w:r>
        <w:rPr>
          <w:rFonts w:ascii="Verdana" w:hAnsi="Verdana" w:cs="Calibri"/>
          <w:sz w:val="20"/>
          <w:szCs w:val="20"/>
          <w:lang w:val="en-US"/>
        </w:rPr>
        <w:t>at the Commission determines the</w:t>
      </w:r>
      <w:r w:rsidRPr="003D4D09">
        <w:rPr>
          <w:rFonts w:ascii="Verdana" w:hAnsi="Verdana" w:cs="Calibri"/>
          <w:sz w:val="20"/>
          <w:szCs w:val="20"/>
          <w:lang w:val="en-US"/>
        </w:rPr>
        <w:t xml:space="preserve"> admissibility</w:t>
      </w:r>
      <w:r>
        <w:rPr>
          <w:rFonts w:ascii="Verdana" w:hAnsi="Verdana" w:cs="Calibri"/>
          <w:sz w:val="20"/>
          <w:szCs w:val="20"/>
          <w:lang w:val="en-US"/>
        </w:rPr>
        <w:t xml:space="preserve"> of the petition</w:t>
      </w:r>
      <w:r w:rsidRPr="003D4D09">
        <w:rPr>
          <w:rFonts w:ascii="Verdana" w:hAnsi="Verdana" w:cs="Calibri"/>
          <w:sz w:val="20"/>
          <w:szCs w:val="20"/>
          <w:lang w:val="en-US"/>
        </w:rPr>
        <w:t xml:space="preserve"> and, to this end, “</w:t>
      </w:r>
      <w:r>
        <w:rPr>
          <w:rFonts w:ascii="Verdana" w:hAnsi="Verdana" w:cs="Calibri"/>
          <w:i/>
          <w:sz w:val="20"/>
          <w:szCs w:val="20"/>
          <w:lang w:val="en-US"/>
        </w:rPr>
        <w:t>shall verify,</w:t>
      </w:r>
      <w:r w:rsidRPr="003D4D09">
        <w:rPr>
          <w:rFonts w:ascii="Verdana" w:hAnsi="Verdana" w:cs="Calibri"/>
          <w:sz w:val="20"/>
          <w:szCs w:val="20"/>
          <w:lang w:val="en-US"/>
        </w:rPr>
        <w:t>”</w:t>
      </w:r>
      <w:r w:rsidRPr="003D4D09">
        <w:rPr>
          <w:rStyle w:val="FootnoteReference"/>
          <w:rFonts w:ascii="Verdana" w:hAnsi="Verdana" w:cs="Calibri"/>
          <w:sz w:val="20"/>
          <w:szCs w:val="20"/>
          <w:lang w:val="en-US"/>
        </w:rPr>
        <w:footnoteReference w:id="437"/>
      </w:r>
      <w:r>
        <w:rPr>
          <w:rFonts w:ascii="Verdana" w:hAnsi="Verdana" w:cs="Calibri"/>
          <w:sz w:val="20"/>
          <w:szCs w:val="20"/>
          <w:lang w:val="en-US"/>
        </w:rPr>
        <w:t xml:space="preserve"> that is, confirm, that</w:t>
      </w:r>
      <w:r w:rsidRPr="003D4D09">
        <w:rPr>
          <w:rFonts w:ascii="Verdana" w:hAnsi="Verdana" w:cs="Calibri"/>
          <w:sz w:val="20"/>
          <w:szCs w:val="20"/>
          <w:lang w:val="en-US"/>
        </w:rPr>
        <w:t xml:space="preserve"> the correspon</w:t>
      </w:r>
      <w:r>
        <w:rPr>
          <w:rFonts w:ascii="Verdana" w:hAnsi="Verdana" w:cs="Calibri"/>
          <w:sz w:val="20"/>
          <w:szCs w:val="20"/>
          <w:lang w:val="en-US"/>
        </w:rPr>
        <w:t>ding requirements have been met – incl</w:t>
      </w:r>
      <w:r w:rsidRPr="003D4D09">
        <w:rPr>
          <w:rFonts w:ascii="Verdana" w:hAnsi="Verdana" w:cs="Calibri"/>
          <w:sz w:val="20"/>
          <w:szCs w:val="20"/>
          <w:lang w:val="en-US"/>
        </w:rPr>
        <w:t>uding those relating to the prior exhaustion of domestic remedies</w:t>
      </w:r>
      <w:r>
        <w:rPr>
          <w:rFonts w:ascii="Verdana" w:hAnsi="Verdana" w:cs="Calibri"/>
          <w:sz w:val="20"/>
          <w:szCs w:val="20"/>
          <w:lang w:val="en-US"/>
        </w:rPr>
        <w:t xml:space="preserve"> – an</w:t>
      </w:r>
      <w:r w:rsidRPr="003D4D09">
        <w:rPr>
          <w:rFonts w:ascii="Verdana" w:hAnsi="Verdana" w:cs="Calibri"/>
          <w:sz w:val="20"/>
          <w:szCs w:val="20"/>
          <w:lang w:val="en-US"/>
        </w:rPr>
        <w:t>d, consequently, “</w:t>
      </w:r>
      <w:r>
        <w:rPr>
          <w:rFonts w:ascii="Verdana" w:hAnsi="Verdana" w:cs="Calibri"/>
          <w:i/>
          <w:sz w:val="20"/>
          <w:szCs w:val="20"/>
          <w:lang w:val="en-US"/>
        </w:rPr>
        <w:t>shall decide</w:t>
      </w:r>
      <w:r w:rsidRPr="003D4D09">
        <w:rPr>
          <w:rFonts w:ascii="Verdana" w:hAnsi="Verdana" w:cs="Calibri"/>
          <w:sz w:val="20"/>
          <w:szCs w:val="20"/>
          <w:lang w:val="en-US"/>
        </w:rPr>
        <w:t>” on admissibility or inadmissibility.</w:t>
      </w:r>
    </w:p>
    <w:p w14:paraId="5E6D13A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1997C87C"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In short, the Commission’s Rules of Procedure do not establish that it is when the Commission decides on the admissibility of the petition that the domestic reme</w:t>
      </w:r>
      <w:r>
        <w:rPr>
          <w:rFonts w:ascii="Verdana" w:hAnsi="Verdana" w:cs="Calibri"/>
          <w:sz w:val="20"/>
          <w:szCs w:val="20"/>
          <w:lang w:val="en-US"/>
        </w:rPr>
        <w:t>dies should have been exhausted. R</w:t>
      </w:r>
      <w:r w:rsidRPr="003D4D09">
        <w:rPr>
          <w:rFonts w:ascii="Verdana" w:hAnsi="Verdana" w:cs="Calibri"/>
          <w:sz w:val="20"/>
          <w:szCs w:val="20"/>
          <w:lang w:val="en-US"/>
        </w:rPr>
        <w:t>ather, to the contrary, they indicate that it is when the Commission “</w:t>
      </w:r>
      <w:r w:rsidRPr="003D4D09">
        <w:rPr>
          <w:rFonts w:ascii="Verdana" w:hAnsi="Verdana" w:cs="Calibri"/>
          <w:i/>
          <w:sz w:val="20"/>
          <w:szCs w:val="20"/>
          <w:lang w:val="en-US"/>
        </w:rPr>
        <w:t>shall verify</w:t>
      </w:r>
      <w:r w:rsidRPr="003D4D09">
        <w:rPr>
          <w:rFonts w:ascii="Verdana" w:hAnsi="Verdana" w:cs="Calibri"/>
          <w:sz w:val="20"/>
          <w:szCs w:val="20"/>
          <w:lang w:val="en-US"/>
        </w:rPr>
        <w:t>” whether</w:t>
      </w:r>
      <w:r>
        <w:rPr>
          <w:rFonts w:ascii="Verdana" w:hAnsi="Verdana" w:cs="Calibri"/>
          <w:sz w:val="20"/>
          <w:szCs w:val="20"/>
          <w:lang w:val="en-US"/>
        </w:rPr>
        <w:t xml:space="preserve"> such remedies </w:t>
      </w:r>
      <w:r w:rsidRPr="003D4D09">
        <w:rPr>
          <w:rFonts w:ascii="Verdana" w:hAnsi="Verdana" w:cs="Calibri"/>
          <w:sz w:val="20"/>
          <w:szCs w:val="20"/>
          <w:lang w:val="en-US"/>
        </w:rPr>
        <w:t>were filed and exhausted in a timely manner or whether this was unnecessary and, on this basis, “</w:t>
      </w:r>
      <w:r w:rsidRPr="003D4D09">
        <w:rPr>
          <w:rFonts w:ascii="Verdana" w:hAnsi="Verdana" w:cs="Calibri"/>
          <w:i/>
          <w:sz w:val="20"/>
          <w:szCs w:val="20"/>
          <w:lang w:val="en-US"/>
        </w:rPr>
        <w:t>shall decide</w:t>
      </w:r>
      <w:r>
        <w:rPr>
          <w:rFonts w:ascii="Verdana" w:hAnsi="Verdana" w:cs="Calibri"/>
          <w:sz w:val="20"/>
          <w:szCs w:val="20"/>
          <w:lang w:val="en-US"/>
        </w:rPr>
        <w:t>” – in other words, make</w:t>
      </w:r>
      <w:r w:rsidRPr="003D4D09">
        <w:rPr>
          <w:rFonts w:ascii="Verdana" w:hAnsi="Verdana" w:cs="Calibri"/>
          <w:sz w:val="20"/>
          <w:szCs w:val="20"/>
          <w:lang w:val="en-US"/>
        </w:rPr>
        <w:t xml:space="preserve"> a second control of conventionality of the petition, checking it against the provisions of the Convention as regards the requirements that should have been met – and, </w:t>
      </w:r>
      <w:r>
        <w:rPr>
          <w:rFonts w:ascii="Verdana" w:hAnsi="Verdana" w:cs="Calibri"/>
          <w:sz w:val="20"/>
          <w:szCs w:val="20"/>
          <w:lang w:val="en-US"/>
        </w:rPr>
        <w:t>thus</w:t>
      </w:r>
      <w:r w:rsidRPr="003D4D09">
        <w:rPr>
          <w:rFonts w:ascii="Verdana" w:hAnsi="Verdana" w:cs="Calibri"/>
          <w:sz w:val="20"/>
          <w:szCs w:val="20"/>
          <w:lang w:val="en-US"/>
        </w:rPr>
        <w:t xml:space="preserve">, it </w:t>
      </w:r>
      <w:r>
        <w:rPr>
          <w:rFonts w:ascii="Verdana" w:hAnsi="Verdana" w:cs="Calibri"/>
          <w:sz w:val="20"/>
          <w:szCs w:val="20"/>
          <w:lang w:val="en-US"/>
        </w:rPr>
        <w:t>may</w:t>
      </w:r>
      <w:r w:rsidRPr="003D4D09">
        <w:rPr>
          <w:rFonts w:ascii="Verdana" w:hAnsi="Verdana" w:cs="Calibri"/>
          <w:sz w:val="20"/>
          <w:szCs w:val="20"/>
          <w:lang w:val="en-US"/>
        </w:rPr>
        <w:t xml:space="preserve"> either be admitted or rejected. </w:t>
      </w:r>
    </w:p>
    <w:p w14:paraId="6EF2F637" w14:textId="77777777" w:rsidR="000F66F8" w:rsidRDefault="000F66F8" w:rsidP="000F66F8">
      <w:pPr>
        <w:pStyle w:val="NormalWeb"/>
        <w:keepNext/>
        <w:spacing w:before="0" w:beforeAutospacing="0" w:after="0" w:afterAutospacing="0"/>
        <w:jc w:val="both"/>
        <w:rPr>
          <w:rFonts w:ascii="Verdana" w:hAnsi="Verdana" w:cs="Calibri"/>
          <w:sz w:val="20"/>
          <w:szCs w:val="20"/>
          <w:lang w:val="en-US"/>
        </w:rPr>
      </w:pPr>
    </w:p>
    <w:p w14:paraId="79DC8C85" w14:textId="77777777" w:rsidR="000F66F8" w:rsidRDefault="000F66F8" w:rsidP="000F66F8">
      <w:pPr>
        <w:pStyle w:val="NormalWeb"/>
        <w:keepNext/>
        <w:spacing w:before="0" w:beforeAutospacing="0" w:after="0" w:afterAutospacing="0"/>
        <w:jc w:val="both"/>
        <w:rPr>
          <w:rFonts w:ascii="Verdana" w:hAnsi="Verdana" w:cs="Calibri"/>
          <w:sz w:val="20"/>
          <w:szCs w:val="20"/>
          <w:lang w:val="en-US"/>
        </w:rPr>
      </w:pPr>
    </w:p>
    <w:p w14:paraId="1D07C3C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4DEE6DB4" w14:textId="77777777" w:rsidR="000F66F8" w:rsidRPr="003D4D09" w:rsidRDefault="000F66F8" w:rsidP="000F66F8">
      <w:pPr>
        <w:keepNext/>
        <w:numPr>
          <w:ilvl w:val="0"/>
          <w:numId w:val="16"/>
        </w:numPr>
        <w:ind w:left="567" w:hanging="283"/>
        <w:rPr>
          <w:rFonts w:cs="Calibri"/>
          <w:b/>
          <w:szCs w:val="20"/>
          <w:lang w:val="en-US"/>
        </w:rPr>
      </w:pPr>
      <w:r w:rsidRPr="003D4D09">
        <w:rPr>
          <w:rFonts w:cs="Calibri"/>
          <w:b/>
          <w:szCs w:val="20"/>
          <w:lang w:val="en-US"/>
        </w:rPr>
        <w:t>The Court’s ruling</w:t>
      </w:r>
    </w:p>
    <w:p w14:paraId="4EF36603" w14:textId="77777777" w:rsidR="000F66F8" w:rsidRPr="003D4D09" w:rsidRDefault="000F66F8" w:rsidP="000F66F8">
      <w:pPr>
        <w:keepNext/>
        <w:rPr>
          <w:rFonts w:cs="Calibri"/>
          <w:szCs w:val="20"/>
          <w:lang w:val="en-US"/>
        </w:rPr>
      </w:pPr>
    </w:p>
    <w:p w14:paraId="6A9D4FD6" w14:textId="77777777" w:rsidR="000F66F8" w:rsidRPr="003D4D09" w:rsidRDefault="000F66F8" w:rsidP="000F66F8">
      <w:pPr>
        <w:keepNext/>
        <w:rPr>
          <w:rFonts w:cs="Calibri"/>
          <w:szCs w:val="20"/>
          <w:lang w:val="en-US"/>
        </w:rPr>
      </w:pPr>
      <w:r w:rsidRPr="00D00030">
        <w:rPr>
          <w:rFonts w:cs="Calibri"/>
          <w:szCs w:val="20"/>
          <w:lang w:val="en-US"/>
        </w:rPr>
        <w:t>Lastly, in relation to the Court’s function as regards compliance with the requirements</w:t>
      </w:r>
      <w:r w:rsidRPr="003D4D09">
        <w:rPr>
          <w:rFonts w:cs="Calibri"/>
          <w:szCs w:val="20"/>
          <w:lang w:val="en-US"/>
        </w:rPr>
        <w:t xml:space="preserve"> that the petition must meet, it should be recalled that, according to Article 61(2) of the Convention, </w:t>
      </w:r>
      <w:r w:rsidRPr="003D4D09">
        <w:rPr>
          <w:rFonts w:cs="Calibri"/>
          <w:i/>
          <w:szCs w:val="20"/>
          <w:lang w:val="en-US"/>
        </w:rPr>
        <w:t>“[</w:t>
      </w:r>
      <w:proofErr w:type="spellStart"/>
      <w:r w:rsidRPr="003D4D09">
        <w:rPr>
          <w:rFonts w:cs="Calibri"/>
          <w:i/>
          <w:szCs w:val="20"/>
          <w:lang w:val="en-US"/>
        </w:rPr>
        <w:t>i</w:t>
      </w:r>
      <w:proofErr w:type="spellEnd"/>
      <w:r w:rsidRPr="003D4D09">
        <w:rPr>
          <w:rFonts w:cs="Calibri"/>
          <w:i/>
          <w:szCs w:val="20"/>
          <w:lang w:val="en-US"/>
        </w:rPr>
        <w:t xml:space="preserve">]n </w:t>
      </w:r>
      <w:r w:rsidRPr="003D4D09">
        <w:rPr>
          <w:i/>
          <w:spacing w:val="-3"/>
          <w:szCs w:val="20"/>
          <w:lang w:val="en-US"/>
        </w:rPr>
        <w:t>order for the Court to hear a case, it is necessary that the procedures set forth in Articles 48 and 50 shall have been completed.</w:t>
      </w:r>
      <w:r w:rsidRPr="003D4D09">
        <w:rPr>
          <w:rFonts w:cs="Calibri"/>
          <w:szCs w:val="20"/>
          <w:lang w:val="en-US"/>
        </w:rPr>
        <w:t>”</w:t>
      </w:r>
    </w:p>
    <w:p w14:paraId="300CC146" w14:textId="77777777" w:rsidR="000F66F8" w:rsidRPr="003D4D09" w:rsidRDefault="000F66F8" w:rsidP="000F66F8">
      <w:pPr>
        <w:keepNext/>
        <w:rPr>
          <w:rFonts w:cs="Calibri"/>
          <w:szCs w:val="20"/>
          <w:lang w:val="en-US"/>
        </w:rPr>
      </w:pPr>
    </w:p>
    <w:p w14:paraId="745F6FEC" w14:textId="77777777" w:rsidR="000F66F8" w:rsidRPr="003D4D09" w:rsidRDefault="000F66F8" w:rsidP="000F66F8">
      <w:pPr>
        <w:keepNext/>
        <w:rPr>
          <w:rFonts w:cs="Calibri"/>
          <w:i/>
          <w:szCs w:val="20"/>
          <w:lang w:val="en-US"/>
        </w:rPr>
      </w:pPr>
      <w:r w:rsidRPr="003D4D09">
        <w:rPr>
          <w:rFonts w:cs="Calibri"/>
          <w:szCs w:val="20"/>
          <w:lang w:val="en-US"/>
        </w:rPr>
        <w:t xml:space="preserve">Thus, the Court must verify that the requirement of prior exhaustion of domestic remedies has been duly </w:t>
      </w:r>
      <w:r>
        <w:rPr>
          <w:rFonts w:cs="Calibri"/>
          <w:szCs w:val="20"/>
          <w:lang w:val="en-US"/>
        </w:rPr>
        <w:t>complied with</w:t>
      </w:r>
      <w:r w:rsidRPr="003D4D09">
        <w:rPr>
          <w:rFonts w:cs="Calibri"/>
          <w:szCs w:val="20"/>
          <w:lang w:val="en-US"/>
        </w:rPr>
        <w:t xml:space="preserve"> before the Commission. As the Court has a</w:t>
      </w:r>
      <w:r>
        <w:rPr>
          <w:rFonts w:cs="Calibri"/>
          <w:szCs w:val="20"/>
          <w:lang w:val="en-US"/>
        </w:rPr>
        <w:t>ssert</w:t>
      </w:r>
      <w:r w:rsidRPr="003D4D09">
        <w:rPr>
          <w:rFonts w:cs="Calibri"/>
          <w:szCs w:val="20"/>
          <w:lang w:val="en-US"/>
        </w:rPr>
        <w:t>ed, “</w:t>
      </w:r>
      <w:r w:rsidRPr="003D4D09">
        <w:rPr>
          <w:rFonts w:cs="Calibri"/>
          <w:i/>
          <w:szCs w:val="20"/>
          <w:lang w:val="en-US"/>
        </w:rPr>
        <w:t>in matters that it is hearing, the Court has the authority to carry out a control of the legality of the Commission’s actions</w:t>
      </w:r>
      <w:r>
        <w:rPr>
          <w:rFonts w:cs="Calibri"/>
          <w:i/>
          <w:szCs w:val="20"/>
          <w:lang w:val="en-US"/>
        </w:rPr>
        <w:t>,</w:t>
      </w:r>
      <w:r w:rsidRPr="003D4D09">
        <w:rPr>
          <w:rFonts w:cs="Calibri"/>
          <w:i/>
          <w:szCs w:val="20"/>
          <w:lang w:val="en-US"/>
        </w:rPr>
        <w:t>”</w:t>
      </w:r>
      <w:r w:rsidRPr="003D4D09">
        <w:rPr>
          <w:rStyle w:val="FootnoteReference"/>
          <w:rFonts w:cs="Calibri"/>
          <w:i/>
          <w:szCs w:val="20"/>
          <w:lang w:val="en-US"/>
        </w:rPr>
        <w:footnoteReference w:id="438"/>
      </w:r>
      <w:r>
        <w:rPr>
          <w:rFonts w:cs="Calibri"/>
          <w:szCs w:val="20"/>
          <w:lang w:val="en-US"/>
        </w:rPr>
        <w:t xml:space="preserve"> and</w:t>
      </w:r>
      <w:r w:rsidRPr="003D4D09">
        <w:rPr>
          <w:rFonts w:cs="Calibri"/>
          <w:szCs w:val="20"/>
          <w:lang w:val="en-US"/>
        </w:rPr>
        <w:t xml:space="preserve"> that it “</w:t>
      </w:r>
      <w:r w:rsidRPr="003D4D09">
        <w:rPr>
          <w:rFonts w:cs="Calibri"/>
          <w:i/>
          <w:szCs w:val="20"/>
          <w:lang w:val="en-US"/>
        </w:rPr>
        <w:t>has the authority to review whether the Commission has complied with the statutor</w:t>
      </w:r>
      <w:r>
        <w:rPr>
          <w:rFonts w:cs="Calibri"/>
          <w:i/>
          <w:szCs w:val="20"/>
          <w:lang w:val="en-US"/>
        </w:rPr>
        <w:t>y and regulatory provisions, as well as</w:t>
      </w:r>
      <w:r w:rsidRPr="003D4D09">
        <w:rPr>
          <w:rFonts w:cs="Calibri"/>
          <w:i/>
          <w:szCs w:val="20"/>
          <w:lang w:val="en-US"/>
        </w:rPr>
        <w:t xml:space="preserve"> those of the Convention.”</w:t>
      </w:r>
      <w:r w:rsidRPr="003D4D09">
        <w:rPr>
          <w:rStyle w:val="FootnoteReference"/>
          <w:rFonts w:cs="Calibri"/>
          <w:i/>
          <w:szCs w:val="20"/>
          <w:lang w:val="en-US"/>
        </w:rPr>
        <w:footnoteReference w:id="439"/>
      </w:r>
    </w:p>
    <w:p w14:paraId="0C55943E" w14:textId="77777777" w:rsidR="000F66F8" w:rsidRPr="003D4D09" w:rsidRDefault="000F66F8" w:rsidP="000F66F8">
      <w:pPr>
        <w:keepNext/>
        <w:rPr>
          <w:rFonts w:cs="Calibri"/>
          <w:szCs w:val="20"/>
          <w:lang w:val="en-US"/>
        </w:rPr>
      </w:pPr>
    </w:p>
    <w:p w14:paraId="4A24CA64" w14:textId="77777777" w:rsidR="000F66F8" w:rsidRPr="003D4D09" w:rsidRDefault="000F66F8" w:rsidP="000F66F8">
      <w:pPr>
        <w:keepNext/>
        <w:rPr>
          <w:rFonts w:cs="Calibri"/>
          <w:szCs w:val="20"/>
          <w:lang w:val="en-US"/>
        </w:rPr>
      </w:pPr>
      <w:r w:rsidRPr="003D4D09">
        <w:rPr>
          <w:rFonts w:cs="Calibri"/>
          <w:szCs w:val="20"/>
          <w:lang w:val="en-US"/>
        </w:rPr>
        <w:t>And it could n</w:t>
      </w:r>
      <w:r>
        <w:rPr>
          <w:rFonts w:cs="Calibri"/>
          <w:szCs w:val="20"/>
          <w:lang w:val="en-US"/>
        </w:rPr>
        <w:t>ot be otherwise, because if it</w:t>
      </w:r>
      <w:r w:rsidRPr="003D4D09">
        <w:rPr>
          <w:rFonts w:cs="Calibri"/>
          <w:szCs w:val="20"/>
          <w:lang w:val="en-US"/>
        </w:rPr>
        <w:t xml:space="preserve"> were not so, the Commission would be </w:t>
      </w:r>
      <w:r>
        <w:rPr>
          <w:rFonts w:cs="Calibri"/>
          <w:szCs w:val="20"/>
          <w:lang w:val="en-US"/>
        </w:rPr>
        <w:t>accorded</w:t>
      </w:r>
      <w:r w:rsidRPr="003D4D09">
        <w:rPr>
          <w:rFonts w:cs="Calibri"/>
          <w:szCs w:val="20"/>
          <w:lang w:val="en-US"/>
        </w:rPr>
        <w:t xml:space="preserve"> the broadest possible authority to take an exclusive and final decision on the admission or</w:t>
      </w:r>
      <w:r>
        <w:rPr>
          <w:rFonts w:cs="Calibri"/>
          <w:szCs w:val="20"/>
          <w:lang w:val="en-US"/>
        </w:rPr>
        <w:t xml:space="preserve"> rejection of a petition, which would clearly </w:t>
      </w:r>
      <w:r w:rsidRPr="003D4D09">
        <w:rPr>
          <w:rFonts w:cs="Calibri"/>
          <w:szCs w:val="20"/>
          <w:lang w:val="en-US"/>
        </w:rPr>
        <w:t>mean that this power would be discretionary and could even be arbitrary, undermining the jurisdiction of the Court, because, in this hypothesis, the Court would have no alternative but</w:t>
      </w:r>
      <w:r>
        <w:rPr>
          <w:rFonts w:cs="Calibri"/>
          <w:szCs w:val="20"/>
          <w:lang w:val="en-US"/>
        </w:rPr>
        <w:t xml:space="preserve"> merely</w:t>
      </w:r>
      <w:r w:rsidRPr="003D4D09">
        <w:rPr>
          <w:rFonts w:cs="Calibri"/>
          <w:szCs w:val="20"/>
          <w:lang w:val="en-US"/>
        </w:rPr>
        <w:t xml:space="preserve"> to be an entity that confirms or </w:t>
      </w:r>
      <w:r>
        <w:rPr>
          <w:rFonts w:cs="Calibri"/>
          <w:szCs w:val="20"/>
          <w:lang w:val="en-US"/>
        </w:rPr>
        <w:t>observes,</w:t>
      </w:r>
      <w:r w:rsidRPr="00F13501">
        <w:rPr>
          <w:rFonts w:cs="Calibri"/>
          <w:szCs w:val="20"/>
          <w:lang w:val="en-US"/>
        </w:rPr>
        <w:t xml:space="preserve"> </w:t>
      </w:r>
      <w:r>
        <w:rPr>
          <w:rFonts w:cs="Calibri"/>
          <w:szCs w:val="20"/>
          <w:lang w:val="en-US"/>
        </w:rPr>
        <w:t>without even ratifying</w:t>
      </w:r>
      <w:r w:rsidRPr="003D4D09">
        <w:rPr>
          <w:rFonts w:cs="Calibri"/>
          <w:szCs w:val="20"/>
          <w:lang w:val="en-US"/>
        </w:rPr>
        <w:t xml:space="preserve">, the actions of the </w:t>
      </w:r>
      <w:r>
        <w:rPr>
          <w:rFonts w:cs="Calibri"/>
          <w:szCs w:val="20"/>
          <w:lang w:val="en-US"/>
        </w:rPr>
        <w:t>Commission</w:t>
      </w:r>
      <w:r w:rsidRPr="003D4D09">
        <w:rPr>
          <w:rFonts w:cs="Calibri"/>
          <w:szCs w:val="20"/>
          <w:lang w:val="en-US"/>
        </w:rPr>
        <w:t xml:space="preserve">, </w:t>
      </w:r>
      <w:r>
        <w:rPr>
          <w:rFonts w:cs="Calibri"/>
          <w:szCs w:val="20"/>
          <w:lang w:val="en-US"/>
        </w:rPr>
        <w:t xml:space="preserve">and there can be no doubt that this </w:t>
      </w:r>
      <w:r w:rsidRPr="003D4D09">
        <w:rPr>
          <w:rFonts w:cs="Calibri"/>
          <w:szCs w:val="20"/>
          <w:lang w:val="en-US"/>
        </w:rPr>
        <w:t xml:space="preserve">is not in keeping with the letter and spirit of the </w:t>
      </w:r>
      <w:r>
        <w:rPr>
          <w:rFonts w:cs="Calibri"/>
          <w:szCs w:val="20"/>
          <w:lang w:val="en-US"/>
        </w:rPr>
        <w:t>said</w:t>
      </w:r>
      <w:r w:rsidRPr="003D4D09">
        <w:rPr>
          <w:rFonts w:cs="Calibri"/>
          <w:szCs w:val="20"/>
          <w:lang w:val="en-US"/>
        </w:rPr>
        <w:t xml:space="preserve"> Article 61(2) of the Convention.</w:t>
      </w:r>
    </w:p>
    <w:p w14:paraId="00753D31" w14:textId="77777777" w:rsidR="000F66F8" w:rsidRPr="003D4D09" w:rsidRDefault="000F66F8" w:rsidP="000F66F8">
      <w:pPr>
        <w:keepNext/>
        <w:rPr>
          <w:rFonts w:cs="Calibri"/>
          <w:szCs w:val="20"/>
          <w:lang w:val="en-US"/>
        </w:rPr>
      </w:pPr>
    </w:p>
    <w:p w14:paraId="2CB932A1" w14:textId="77777777" w:rsidR="000F66F8" w:rsidRPr="003D4D09" w:rsidRDefault="000F66F8" w:rsidP="000F66F8">
      <w:pPr>
        <w:pStyle w:val="NormalWeb"/>
        <w:keepNext/>
        <w:numPr>
          <w:ilvl w:val="0"/>
          <w:numId w:val="16"/>
        </w:numPr>
        <w:spacing w:before="0" w:beforeAutospacing="0" w:after="0" w:afterAutospacing="0"/>
        <w:ind w:left="567" w:hanging="283"/>
        <w:jc w:val="both"/>
        <w:rPr>
          <w:rFonts w:ascii="Verdana" w:hAnsi="Verdana" w:cs="Calibri"/>
          <w:b/>
          <w:sz w:val="20"/>
          <w:szCs w:val="20"/>
          <w:lang w:val="en-US"/>
        </w:rPr>
      </w:pPr>
      <w:r w:rsidRPr="003D4D09">
        <w:rPr>
          <w:rFonts w:ascii="Verdana" w:hAnsi="Verdana" w:cs="Calibri"/>
          <w:b/>
          <w:sz w:val="20"/>
          <w:szCs w:val="20"/>
          <w:lang w:val="en-US"/>
        </w:rPr>
        <w:t xml:space="preserve">Consequences of considering the rule of prior exhaustion of domestic remedies as a requirement for the admissibility of the petition and not </w:t>
      </w:r>
      <w:r>
        <w:rPr>
          <w:rFonts w:ascii="Verdana" w:hAnsi="Verdana" w:cs="Calibri"/>
          <w:b/>
          <w:sz w:val="20"/>
          <w:szCs w:val="20"/>
          <w:lang w:val="en-US"/>
        </w:rPr>
        <w:t xml:space="preserve">a requirement </w:t>
      </w:r>
      <w:r w:rsidRPr="003D4D09">
        <w:rPr>
          <w:rFonts w:ascii="Verdana" w:hAnsi="Verdana" w:cs="Calibri"/>
          <w:b/>
          <w:sz w:val="20"/>
          <w:szCs w:val="20"/>
          <w:lang w:val="en-US"/>
        </w:rPr>
        <w:t>of the petition itself</w:t>
      </w:r>
    </w:p>
    <w:p w14:paraId="57D81C4F"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18C2F588"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 xml:space="preserve">In addition to the above considerations, it should be reiterated that if it were not </w:t>
      </w:r>
      <w:r>
        <w:rPr>
          <w:rFonts w:ascii="Verdana" w:hAnsi="Verdana" w:cs="Calibri"/>
          <w:sz w:val="20"/>
          <w:szCs w:val="20"/>
          <w:lang w:val="en-US"/>
        </w:rPr>
        <w:t>compuls</w:t>
      </w:r>
      <w:r w:rsidRPr="003D4D09">
        <w:rPr>
          <w:rFonts w:ascii="Verdana" w:hAnsi="Verdana" w:cs="Calibri"/>
          <w:sz w:val="20"/>
          <w:szCs w:val="20"/>
          <w:lang w:val="en-US"/>
        </w:rPr>
        <w:t xml:space="preserve">ory to have exhausted the domestic remedies before </w:t>
      </w:r>
      <w:r>
        <w:rPr>
          <w:rFonts w:ascii="Verdana" w:hAnsi="Verdana" w:cs="Calibri"/>
          <w:sz w:val="20"/>
          <w:szCs w:val="20"/>
          <w:lang w:val="en-US"/>
        </w:rPr>
        <w:t>lodging</w:t>
      </w:r>
      <w:r w:rsidRPr="003D4D09">
        <w:rPr>
          <w:rFonts w:ascii="Verdana" w:hAnsi="Verdana" w:cs="Calibri"/>
          <w:sz w:val="20"/>
          <w:szCs w:val="20"/>
          <w:lang w:val="en-US"/>
        </w:rPr>
        <w:t xml:space="preserve"> the petition, it would be permissible that, at least for some time – that is, between the </w:t>
      </w:r>
      <w:r>
        <w:rPr>
          <w:rFonts w:ascii="Verdana" w:hAnsi="Verdana" w:cs="Calibri"/>
          <w:sz w:val="20"/>
          <w:szCs w:val="20"/>
          <w:lang w:val="en-US"/>
        </w:rPr>
        <w:t>moment</w:t>
      </w:r>
      <w:r w:rsidRPr="003D4D09">
        <w:rPr>
          <w:rFonts w:ascii="Verdana" w:hAnsi="Verdana" w:cs="Calibri"/>
          <w:sz w:val="20"/>
          <w:szCs w:val="20"/>
          <w:lang w:val="en-US"/>
        </w:rPr>
        <w:t xml:space="preserve"> at which the petition is lodged and the moment at which the decision is taken on its admissibility (which in many situations may be considered extremely lengthy) – the same case could be dealt with simultaneously by </w:t>
      </w:r>
      <w:r>
        <w:rPr>
          <w:rFonts w:ascii="Verdana" w:hAnsi="Verdana" w:cs="Calibri"/>
          <w:sz w:val="20"/>
          <w:szCs w:val="20"/>
          <w:lang w:val="en-US"/>
        </w:rPr>
        <w:t xml:space="preserve">both </w:t>
      </w:r>
      <w:r w:rsidRPr="003D4D09">
        <w:rPr>
          <w:rFonts w:ascii="Verdana" w:hAnsi="Verdana" w:cs="Calibri"/>
          <w:sz w:val="20"/>
          <w:szCs w:val="20"/>
          <w:lang w:val="en-US"/>
        </w:rPr>
        <w:t>the domestic jurisdiction and the international jurisdiction</w:t>
      </w:r>
      <w:r>
        <w:rPr>
          <w:rFonts w:ascii="Verdana" w:hAnsi="Verdana" w:cs="Calibri"/>
          <w:sz w:val="20"/>
          <w:szCs w:val="20"/>
          <w:lang w:val="en-US"/>
        </w:rPr>
        <w:t xml:space="preserve">. This </w:t>
      </w:r>
      <w:r w:rsidRPr="003D4D09">
        <w:rPr>
          <w:rFonts w:ascii="Verdana" w:hAnsi="Verdana" w:cs="Calibri"/>
          <w:sz w:val="20"/>
          <w:szCs w:val="20"/>
          <w:lang w:val="en-US"/>
        </w:rPr>
        <w:t>would evidently render the statement in the second paragraph of the Preamble meaningless</w:t>
      </w:r>
      <w:r>
        <w:rPr>
          <w:rFonts w:ascii="Verdana" w:hAnsi="Verdana" w:cs="Calibri"/>
          <w:sz w:val="20"/>
          <w:szCs w:val="20"/>
          <w:lang w:val="en-US"/>
        </w:rPr>
        <w:t>,</w:t>
      </w:r>
      <w:r w:rsidRPr="003D4D09">
        <w:rPr>
          <w:rFonts w:ascii="Verdana" w:hAnsi="Verdana" w:cs="Calibri"/>
          <w:sz w:val="20"/>
          <w:szCs w:val="20"/>
          <w:lang w:val="en-US"/>
        </w:rPr>
        <w:t xml:space="preserve"> and even the rule of prior exhaustion of domestic remedies as a whole. In other words, in this situation, the inter-American jurisdiction would not</w:t>
      </w:r>
      <w:r>
        <w:rPr>
          <w:rFonts w:ascii="Verdana" w:hAnsi="Verdana" w:cs="Calibri"/>
          <w:sz w:val="20"/>
          <w:szCs w:val="20"/>
          <w:lang w:val="en-US"/>
        </w:rPr>
        <w:t xml:space="preserve"> reinforce or</w:t>
      </w:r>
      <w:r w:rsidRPr="003D4D09">
        <w:rPr>
          <w:rFonts w:ascii="Verdana" w:hAnsi="Verdana" w:cs="Calibri"/>
          <w:sz w:val="20"/>
          <w:szCs w:val="20"/>
          <w:lang w:val="en-US"/>
        </w:rPr>
        <w:t xml:space="preserve"> be complementary </w:t>
      </w:r>
      <w:r>
        <w:rPr>
          <w:rFonts w:ascii="Verdana" w:hAnsi="Verdana" w:cs="Calibri"/>
          <w:sz w:val="20"/>
          <w:szCs w:val="20"/>
          <w:lang w:val="en-US"/>
        </w:rPr>
        <w:t xml:space="preserve">to </w:t>
      </w:r>
      <w:r w:rsidRPr="003D4D09">
        <w:rPr>
          <w:rFonts w:ascii="Verdana" w:hAnsi="Verdana" w:cs="Calibri"/>
          <w:sz w:val="20"/>
          <w:szCs w:val="20"/>
          <w:lang w:val="en-US"/>
        </w:rPr>
        <w:t>the domestic jurisdiction, but rather would substitute it or, at least, could be used to bring pressure to bear on the latter and, clearly, this is not what the Convention seeks.</w:t>
      </w:r>
    </w:p>
    <w:p w14:paraId="0A5210B7"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0957F9B3"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Pr>
          <w:rFonts w:ascii="Verdana" w:hAnsi="Verdana" w:cs="Calibri"/>
          <w:sz w:val="20"/>
          <w:szCs w:val="20"/>
          <w:lang w:val="en-US"/>
        </w:rPr>
        <w:t>Moreover, it</w:t>
      </w:r>
      <w:r w:rsidRPr="003D4D09">
        <w:rPr>
          <w:rFonts w:ascii="Verdana" w:hAnsi="Verdana" w:cs="Calibri"/>
          <w:sz w:val="20"/>
          <w:szCs w:val="20"/>
          <w:lang w:val="en-US"/>
        </w:rPr>
        <w:t xml:space="preserve"> </w:t>
      </w:r>
      <w:r>
        <w:rPr>
          <w:rFonts w:ascii="Verdana" w:hAnsi="Verdana" w:cs="Calibri"/>
          <w:sz w:val="20"/>
          <w:szCs w:val="20"/>
          <w:lang w:val="en-US"/>
        </w:rPr>
        <w:t>might</w:t>
      </w:r>
      <w:r w:rsidRPr="003D4D09">
        <w:rPr>
          <w:rFonts w:ascii="Verdana" w:hAnsi="Verdana" w:cs="Calibri"/>
          <w:sz w:val="20"/>
          <w:szCs w:val="20"/>
          <w:lang w:val="en-US"/>
        </w:rPr>
        <w:t xml:space="preserve"> constitute an incentive, which could be considered perverse, to lodge petition</w:t>
      </w:r>
      <w:r>
        <w:rPr>
          <w:rFonts w:ascii="Verdana" w:hAnsi="Verdana" w:cs="Calibri"/>
          <w:sz w:val="20"/>
          <w:szCs w:val="20"/>
          <w:lang w:val="en-US"/>
        </w:rPr>
        <w:t>s</w:t>
      </w:r>
      <w:r w:rsidRPr="003D4D09">
        <w:rPr>
          <w:rFonts w:ascii="Verdana" w:hAnsi="Verdana" w:cs="Calibri"/>
          <w:sz w:val="20"/>
          <w:szCs w:val="20"/>
          <w:lang w:val="en-US"/>
        </w:rPr>
        <w:t xml:space="preserve"> before the Commission when the said requirement has not been met in the hope that it can be </w:t>
      </w:r>
      <w:r>
        <w:rPr>
          <w:rFonts w:ascii="Verdana" w:hAnsi="Verdana" w:cs="Calibri"/>
          <w:sz w:val="20"/>
          <w:szCs w:val="20"/>
          <w:lang w:val="en-US"/>
        </w:rPr>
        <w:t>complied with</w:t>
      </w:r>
      <w:r w:rsidRPr="003D4D09">
        <w:rPr>
          <w:rFonts w:ascii="Verdana" w:hAnsi="Verdana" w:cs="Calibri"/>
          <w:sz w:val="20"/>
          <w:szCs w:val="20"/>
          <w:lang w:val="en-US"/>
        </w:rPr>
        <w:t xml:space="preserve"> befo</w:t>
      </w:r>
      <w:r>
        <w:rPr>
          <w:rFonts w:ascii="Verdana" w:hAnsi="Verdana" w:cs="Calibri"/>
          <w:sz w:val="20"/>
          <w:szCs w:val="20"/>
          <w:lang w:val="en-US"/>
        </w:rPr>
        <w:t>re the Commission decides on their admissibility</w:t>
      </w:r>
      <w:r w:rsidRPr="003D4D09">
        <w:rPr>
          <w:rFonts w:ascii="Verdana" w:hAnsi="Verdana" w:cs="Calibri"/>
          <w:sz w:val="20"/>
          <w:szCs w:val="20"/>
          <w:lang w:val="en-US"/>
        </w:rPr>
        <w:t xml:space="preserve"> </w:t>
      </w:r>
      <w:r>
        <w:rPr>
          <w:rFonts w:ascii="Verdana" w:hAnsi="Verdana" w:cs="Calibri"/>
          <w:sz w:val="20"/>
          <w:szCs w:val="20"/>
          <w:lang w:val="en-US"/>
        </w:rPr>
        <w:t>and,</w:t>
      </w:r>
      <w:r w:rsidRPr="003D4D09">
        <w:rPr>
          <w:rFonts w:ascii="Verdana" w:hAnsi="Verdana" w:cs="Calibri"/>
          <w:sz w:val="20"/>
          <w:szCs w:val="20"/>
          <w:lang w:val="en-US"/>
        </w:rPr>
        <w:t xml:space="preserve"> evidently, </w:t>
      </w:r>
      <w:r>
        <w:rPr>
          <w:rFonts w:ascii="Verdana" w:hAnsi="Verdana" w:cs="Calibri"/>
          <w:sz w:val="20"/>
          <w:szCs w:val="20"/>
          <w:lang w:val="en-US"/>
        </w:rPr>
        <w:t xml:space="preserve">this </w:t>
      </w:r>
      <w:r w:rsidRPr="003D4D09">
        <w:rPr>
          <w:rFonts w:ascii="Verdana" w:hAnsi="Verdana" w:cs="Calibri"/>
          <w:sz w:val="20"/>
          <w:szCs w:val="20"/>
          <w:lang w:val="en-US"/>
        </w:rPr>
        <w:t xml:space="preserve">was not anticipated or sought by the Convention. </w:t>
      </w:r>
    </w:p>
    <w:p w14:paraId="0F130ADE"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68949B05"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In addition, this begs the question of whether the “</w:t>
      </w:r>
      <w:r w:rsidRPr="003D4D09">
        <w:rPr>
          <w:rFonts w:ascii="Verdana" w:hAnsi="Verdana"/>
          <w:i/>
          <w:sz w:val="20"/>
          <w:szCs w:val="20"/>
          <w:lang w:val="en-US"/>
        </w:rPr>
        <w:t>study and initial processing</w:t>
      </w:r>
      <w:r>
        <w:rPr>
          <w:rFonts w:ascii="Verdana" w:hAnsi="Verdana"/>
          <w:sz w:val="20"/>
          <w:szCs w:val="20"/>
          <w:lang w:val="en-US"/>
        </w:rPr>
        <w:t>” of the petition is required, if it</w:t>
      </w:r>
      <w:r w:rsidRPr="003D4D09">
        <w:rPr>
          <w:rFonts w:ascii="Verdana" w:hAnsi="Verdana"/>
          <w:sz w:val="20"/>
          <w:szCs w:val="20"/>
          <w:lang w:val="en-US"/>
        </w:rPr>
        <w:t xml:space="preserve"> could be lodged without having previously exhausted the domestic remedies. Indeed, if this requirement was only </w:t>
      </w:r>
      <w:r>
        <w:rPr>
          <w:rFonts w:ascii="Verdana" w:hAnsi="Verdana"/>
          <w:sz w:val="20"/>
          <w:szCs w:val="20"/>
          <w:lang w:val="en-US"/>
        </w:rPr>
        <w:t>compulsory</w:t>
      </w:r>
      <w:r w:rsidRPr="003D4D09">
        <w:rPr>
          <w:rFonts w:ascii="Verdana" w:hAnsi="Verdana"/>
          <w:sz w:val="20"/>
          <w:szCs w:val="20"/>
          <w:lang w:val="en-US"/>
        </w:rPr>
        <w:t xml:space="preserve"> when deciding on the admissibility of the petition, it is legitimate to question why it would be necessary </w:t>
      </w:r>
      <w:r>
        <w:rPr>
          <w:rFonts w:ascii="Verdana" w:hAnsi="Verdana"/>
          <w:sz w:val="20"/>
          <w:szCs w:val="20"/>
          <w:lang w:val="en-US"/>
        </w:rPr>
        <w:t xml:space="preserve">to </w:t>
      </w:r>
      <w:r w:rsidRPr="003D4D09">
        <w:rPr>
          <w:rFonts w:ascii="Verdana" w:hAnsi="Verdana"/>
          <w:sz w:val="20"/>
          <w:szCs w:val="20"/>
          <w:lang w:val="en-US"/>
        </w:rPr>
        <w:t>make an initi</w:t>
      </w:r>
      <w:r>
        <w:rPr>
          <w:rFonts w:ascii="Verdana" w:hAnsi="Verdana"/>
          <w:sz w:val="20"/>
          <w:szCs w:val="20"/>
          <w:lang w:val="en-US"/>
        </w:rPr>
        <w:t>al study of the petition and, furthermore,</w:t>
      </w:r>
      <w:r w:rsidRPr="003D4D09">
        <w:rPr>
          <w:rFonts w:ascii="Verdana" w:hAnsi="Verdana"/>
          <w:sz w:val="20"/>
          <w:szCs w:val="20"/>
          <w:lang w:val="en-US"/>
        </w:rPr>
        <w:t xml:space="preserve"> what would be the reason </w:t>
      </w:r>
      <w:r>
        <w:rPr>
          <w:rFonts w:ascii="Verdana" w:hAnsi="Verdana"/>
          <w:sz w:val="20"/>
          <w:szCs w:val="20"/>
          <w:lang w:val="en-US"/>
        </w:rPr>
        <w:t xml:space="preserve">for </w:t>
      </w:r>
      <w:r w:rsidRPr="003D4D09">
        <w:rPr>
          <w:rFonts w:ascii="Verdana" w:hAnsi="Verdana"/>
          <w:sz w:val="20"/>
          <w:szCs w:val="20"/>
          <w:lang w:val="en-US"/>
        </w:rPr>
        <w:t>and the practical ef</w:t>
      </w:r>
      <w:r>
        <w:rPr>
          <w:rFonts w:ascii="Verdana" w:hAnsi="Verdana"/>
          <w:sz w:val="20"/>
          <w:szCs w:val="20"/>
          <w:lang w:val="en-US"/>
        </w:rPr>
        <w:t>fect</w:t>
      </w:r>
      <w:r w:rsidRPr="003D4D09">
        <w:rPr>
          <w:rFonts w:ascii="Verdana" w:hAnsi="Verdana"/>
          <w:sz w:val="20"/>
          <w:szCs w:val="20"/>
          <w:lang w:val="en-US"/>
        </w:rPr>
        <w:t xml:space="preserve"> of the Convention making a distinction between the moment of the lodging of the petit</w:t>
      </w:r>
      <w:r>
        <w:rPr>
          <w:rFonts w:ascii="Verdana" w:hAnsi="Verdana"/>
          <w:sz w:val="20"/>
          <w:szCs w:val="20"/>
          <w:lang w:val="en-US"/>
        </w:rPr>
        <w:t>ion and the moment</w:t>
      </w:r>
      <w:r w:rsidRPr="003D4D09">
        <w:rPr>
          <w:rFonts w:ascii="Verdana" w:hAnsi="Verdana"/>
          <w:sz w:val="20"/>
          <w:szCs w:val="20"/>
          <w:lang w:val="en-US"/>
        </w:rPr>
        <w:t xml:space="preserve"> of its </w:t>
      </w:r>
      <w:r>
        <w:rPr>
          <w:rFonts w:ascii="Verdana" w:hAnsi="Verdana"/>
          <w:sz w:val="20"/>
          <w:szCs w:val="20"/>
          <w:lang w:val="en-US"/>
        </w:rPr>
        <w:t>admissibility.</w:t>
      </w:r>
      <w:r w:rsidRPr="003D4D09">
        <w:rPr>
          <w:rFonts w:ascii="Verdana" w:hAnsi="Verdana"/>
          <w:sz w:val="20"/>
          <w:szCs w:val="20"/>
          <w:lang w:val="en-US"/>
        </w:rPr>
        <w:t xml:space="preserve"> Likewise, if it is considered that the said requirement or rule must be complied with when the decision on the admissibility of the petition is taken and not wh</w:t>
      </w:r>
      <w:r>
        <w:rPr>
          <w:rFonts w:ascii="Verdana" w:hAnsi="Verdana"/>
          <w:sz w:val="20"/>
          <w:szCs w:val="20"/>
          <w:lang w:val="en-US"/>
        </w:rPr>
        <w:t>en it is lodged, it is logical</w:t>
      </w:r>
      <w:r w:rsidRPr="003D4D09">
        <w:rPr>
          <w:rFonts w:ascii="Verdana" w:hAnsi="Verdana"/>
          <w:sz w:val="20"/>
          <w:szCs w:val="20"/>
          <w:lang w:val="en-US"/>
        </w:rPr>
        <w:t xml:space="preserve"> to question the meaning of the petition itself.</w:t>
      </w:r>
    </w:p>
    <w:p w14:paraId="280C0DBF" w14:textId="77777777" w:rsidR="000F66F8" w:rsidRPr="003D4D09" w:rsidRDefault="000F66F8" w:rsidP="000F66F8">
      <w:pPr>
        <w:keepNext/>
        <w:rPr>
          <w:rFonts w:cs="Calibri"/>
          <w:szCs w:val="20"/>
          <w:lang w:val="en-US"/>
        </w:rPr>
      </w:pPr>
    </w:p>
    <w:p w14:paraId="717826AF" w14:textId="77777777" w:rsidR="000F66F8" w:rsidRPr="003D4D09" w:rsidRDefault="000F66F8" w:rsidP="000F66F8">
      <w:pPr>
        <w:keepNext/>
        <w:rPr>
          <w:rFonts w:cs="Calibri"/>
          <w:szCs w:val="20"/>
          <w:lang w:val="en-US"/>
        </w:rPr>
      </w:pPr>
      <w:r w:rsidRPr="003D4D09">
        <w:rPr>
          <w:rFonts w:cs="Calibri"/>
          <w:szCs w:val="20"/>
          <w:lang w:val="en-US"/>
        </w:rPr>
        <w:t xml:space="preserve">It should also be noted that, if the criterion that </w:t>
      </w:r>
      <w:r>
        <w:rPr>
          <w:rFonts w:cs="Calibri"/>
          <w:szCs w:val="20"/>
          <w:lang w:val="en-US"/>
        </w:rPr>
        <w:t>this</w:t>
      </w:r>
      <w:r w:rsidRPr="003D4D09">
        <w:rPr>
          <w:rFonts w:cs="Calibri"/>
          <w:szCs w:val="20"/>
          <w:lang w:val="en-US"/>
        </w:rPr>
        <w:t xml:space="preserve"> </w:t>
      </w:r>
      <w:r>
        <w:rPr>
          <w:rFonts w:cs="Calibri"/>
          <w:szCs w:val="20"/>
          <w:lang w:val="en-US"/>
        </w:rPr>
        <w:t xml:space="preserve">compliance </w:t>
      </w:r>
      <w:r w:rsidRPr="003D4D09">
        <w:rPr>
          <w:rFonts w:cs="Calibri"/>
          <w:szCs w:val="20"/>
          <w:lang w:val="en-US"/>
        </w:rPr>
        <w:t xml:space="preserve">should </w:t>
      </w:r>
      <w:r>
        <w:rPr>
          <w:rFonts w:cs="Calibri"/>
          <w:szCs w:val="20"/>
          <w:lang w:val="en-US"/>
        </w:rPr>
        <w:t xml:space="preserve">have </w:t>
      </w:r>
      <w:r w:rsidRPr="003D4D09">
        <w:rPr>
          <w:rFonts w:cs="Calibri"/>
          <w:szCs w:val="20"/>
          <w:lang w:val="en-US"/>
        </w:rPr>
        <w:t>tak</w:t>
      </w:r>
      <w:r>
        <w:rPr>
          <w:rFonts w:cs="Calibri"/>
          <w:szCs w:val="20"/>
          <w:lang w:val="en-US"/>
        </w:rPr>
        <w:t>en</w:t>
      </w:r>
      <w:r w:rsidRPr="003D4D09">
        <w:rPr>
          <w:rFonts w:cs="Calibri"/>
          <w:szCs w:val="20"/>
          <w:lang w:val="en-US"/>
        </w:rPr>
        <w:t xml:space="preserve"> place at the time the petition is lodged or completed is not respected and, to the contrary, </w:t>
      </w:r>
      <w:r>
        <w:rPr>
          <w:rFonts w:cs="Calibri"/>
          <w:szCs w:val="20"/>
          <w:lang w:val="en-US"/>
        </w:rPr>
        <w:t>the thesis is adopted that compliance</w:t>
      </w:r>
      <w:r w:rsidRPr="003D4D09">
        <w:rPr>
          <w:rFonts w:cs="Calibri"/>
          <w:szCs w:val="20"/>
          <w:lang w:val="en-US"/>
        </w:rPr>
        <w:t xml:space="preserve"> is determined </w:t>
      </w:r>
      <w:r>
        <w:rPr>
          <w:rFonts w:cs="Calibri"/>
          <w:szCs w:val="20"/>
          <w:lang w:val="en-US"/>
        </w:rPr>
        <w:t>when</w:t>
      </w:r>
      <w:r w:rsidRPr="003D4D09">
        <w:rPr>
          <w:rFonts w:cs="Calibri"/>
          <w:szCs w:val="20"/>
          <w:lang w:val="en-US"/>
        </w:rPr>
        <w:t xml:space="preserve"> the Commission decides on the admissibility of the petition, this would result in situations of evident injustice or arbitrariness, insofar as the </w:t>
      </w:r>
      <w:r>
        <w:rPr>
          <w:rFonts w:cs="Calibri"/>
          <w:szCs w:val="20"/>
          <w:lang w:val="en-US"/>
        </w:rPr>
        <w:t>moment</w:t>
      </w:r>
      <w:r w:rsidRPr="003D4D09">
        <w:rPr>
          <w:rFonts w:cs="Calibri"/>
          <w:szCs w:val="20"/>
          <w:lang w:val="en-US"/>
        </w:rPr>
        <w:t xml:space="preserve"> of this </w:t>
      </w:r>
      <w:r>
        <w:rPr>
          <w:rFonts w:cs="Calibri"/>
          <w:szCs w:val="20"/>
          <w:lang w:val="en-US"/>
        </w:rPr>
        <w:t xml:space="preserve">compliance </w:t>
      </w:r>
      <w:r w:rsidRPr="003D4D09">
        <w:rPr>
          <w:rFonts w:cs="Calibri"/>
          <w:szCs w:val="20"/>
          <w:lang w:val="en-US"/>
        </w:rPr>
        <w:t xml:space="preserve">would ultimately depend not on the victim or the petitioner, but on the Commission’s </w:t>
      </w:r>
      <w:r>
        <w:rPr>
          <w:rFonts w:cs="Calibri"/>
          <w:szCs w:val="20"/>
          <w:lang w:val="en-US"/>
        </w:rPr>
        <w:t>ruling</w:t>
      </w:r>
      <w:r w:rsidRPr="003D4D09">
        <w:rPr>
          <w:rFonts w:cs="Calibri"/>
          <w:szCs w:val="20"/>
          <w:lang w:val="en-US"/>
        </w:rPr>
        <w:t xml:space="preserve"> when deciding on the admissibility or inad</w:t>
      </w:r>
      <w:r>
        <w:rPr>
          <w:rFonts w:cs="Calibri"/>
          <w:szCs w:val="20"/>
          <w:lang w:val="en-US"/>
        </w:rPr>
        <w:t>missibility of the petition. T</w:t>
      </w:r>
      <w:r w:rsidRPr="003D4D09">
        <w:rPr>
          <w:rFonts w:cs="Calibri"/>
          <w:szCs w:val="20"/>
          <w:lang w:val="en-US"/>
        </w:rPr>
        <w:t xml:space="preserve">hus, </w:t>
      </w:r>
      <w:r>
        <w:rPr>
          <w:rFonts w:cs="Calibri"/>
          <w:szCs w:val="20"/>
          <w:lang w:val="en-US"/>
        </w:rPr>
        <w:t xml:space="preserve">the requirement </w:t>
      </w:r>
      <w:r w:rsidRPr="003D4D09">
        <w:rPr>
          <w:rFonts w:cs="Calibri"/>
          <w:szCs w:val="20"/>
          <w:lang w:val="en-US"/>
        </w:rPr>
        <w:t xml:space="preserve">would evidently not be </w:t>
      </w:r>
      <w:r>
        <w:rPr>
          <w:rFonts w:cs="Calibri"/>
          <w:szCs w:val="20"/>
          <w:lang w:val="en-US"/>
        </w:rPr>
        <w:t>the same in all cases, or</w:t>
      </w:r>
      <w:r w:rsidRPr="003D4D09">
        <w:rPr>
          <w:rFonts w:cs="Calibri"/>
          <w:szCs w:val="20"/>
          <w:lang w:val="en-US"/>
        </w:rPr>
        <w:t xml:space="preserve"> known with </w:t>
      </w:r>
      <w:r w:rsidRPr="00F13501">
        <w:rPr>
          <w:rFonts w:cs="Calibri"/>
          <w:szCs w:val="20"/>
          <w:lang w:val="en-US"/>
        </w:rPr>
        <w:t xml:space="preserve">due </w:t>
      </w:r>
      <w:r>
        <w:rPr>
          <w:rFonts w:cs="Calibri"/>
          <w:szCs w:val="20"/>
          <w:lang w:val="en-US"/>
        </w:rPr>
        <w:t>anticipation</w:t>
      </w:r>
      <w:r w:rsidRPr="003D4D09">
        <w:rPr>
          <w:rFonts w:cs="Calibri"/>
          <w:szCs w:val="20"/>
          <w:lang w:val="en-US"/>
        </w:rPr>
        <w:t>.</w:t>
      </w:r>
    </w:p>
    <w:p w14:paraId="297100A9" w14:textId="77777777" w:rsidR="000F66F8" w:rsidRPr="003D4D09" w:rsidRDefault="000F66F8" w:rsidP="000F66F8">
      <w:pPr>
        <w:keepNext/>
        <w:rPr>
          <w:rFonts w:cs="Calibri"/>
          <w:szCs w:val="20"/>
          <w:lang w:val="en-US"/>
        </w:rPr>
      </w:pPr>
    </w:p>
    <w:p w14:paraId="6F331B40" w14:textId="77777777" w:rsidR="000F66F8" w:rsidRPr="003D4D09" w:rsidRDefault="000F66F8" w:rsidP="000F66F8">
      <w:pPr>
        <w:keepNext/>
        <w:numPr>
          <w:ilvl w:val="0"/>
          <w:numId w:val="17"/>
        </w:numPr>
        <w:ind w:left="0" w:firstLine="0"/>
        <w:rPr>
          <w:rFonts w:cs="Calibri"/>
          <w:b/>
          <w:szCs w:val="20"/>
          <w:lang w:val="en-US"/>
        </w:rPr>
      </w:pPr>
      <w:r w:rsidRPr="003D4D09">
        <w:rPr>
          <w:rFonts w:cs="Calibri"/>
          <w:b/>
          <w:szCs w:val="20"/>
          <w:lang w:val="en-US"/>
        </w:rPr>
        <w:t xml:space="preserve">THE FACTS </w:t>
      </w:r>
      <w:r>
        <w:rPr>
          <w:rFonts w:cs="Calibri"/>
          <w:b/>
          <w:szCs w:val="20"/>
          <w:lang w:val="en-US"/>
        </w:rPr>
        <w:t>RELATING TO</w:t>
      </w:r>
      <w:r w:rsidRPr="003D4D09">
        <w:rPr>
          <w:rFonts w:cs="Calibri"/>
          <w:b/>
          <w:szCs w:val="20"/>
          <w:lang w:val="en-US"/>
        </w:rPr>
        <w:t xml:space="preserve"> THE OBJECTION OF </w:t>
      </w:r>
      <w:r>
        <w:rPr>
          <w:rFonts w:cs="Calibri"/>
          <w:b/>
          <w:szCs w:val="20"/>
          <w:lang w:val="en-US"/>
        </w:rPr>
        <w:t xml:space="preserve">PRIOR </w:t>
      </w:r>
      <w:r w:rsidRPr="003D4D09">
        <w:rPr>
          <w:rFonts w:cs="Calibri"/>
          <w:b/>
          <w:szCs w:val="20"/>
          <w:lang w:val="en-US"/>
        </w:rPr>
        <w:t>FAILURE TO EXHAU</w:t>
      </w:r>
      <w:r>
        <w:rPr>
          <w:rFonts w:cs="Calibri"/>
          <w:b/>
          <w:szCs w:val="20"/>
          <w:lang w:val="en-US"/>
        </w:rPr>
        <w:t>ST DOMESTIC REMEDIES</w:t>
      </w:r>
    </w:p>
    <w:p w14:paraId="16A94783" w14:textId="77777777" w:rsidR="000F66F8" w:rsidRPr="003D4D09" w:rsidRDefault="000F66F8" w:rsidP="000F66F8">
      <w:pPr>
        <w:keepNext/>
        <w:rPr>
          <w:rFonts w:cs="Calibri"/>
          <w:szCs w:val="20"/>
          <w:lang w:val="en-US"/>
        </w:rPr>
      </w:pPr>
    </w:p>
    <w:p w14:paraId="77291739" w14:textId="77777777" w:rsidR="000F66F8" w:rsidRPr="003D4D09" w:rsidRDefault="000F66F8" w:rsidP="000F66F8">
      <w:pPr>
        <w:keepNext/>
        <w:rPr>
          <w:rFonts w:cs="Calibri"/>
          <w:szCs w:val="20"/>
          <w:lang w:val="en-US"/>
        </w:rPr>
      </w:pPr>
      <w:r w:rsidRPr="00BD4F02">
        <w:rPr>
          <w:rFonts w:cs="Calibri"/>
          <w:szCs w:val="20"/>
          <w:lang w:val="en-US"/>
        </w:rPr>
        <w:t>Based on the norms that have been mentioned, the relevant facts relating to the objection</w:t>
      </w:r>
      <w:r w:rsidRPr="003D4D09">
        <w:rPr>
          <w:rFonts w:cs="Calibri"/>
          <w:szCs w:val="20"/>
          <w:lang w:val="en-US"/>
        </w:rPr>
        <w:t xml:space="preserve"> of non-compliance with the rule of prior exhaustion of domestic remedies are as follows.</w:t>
      </w:r>
    </w:p>
    <w:p w14:paraId="7E6CCD1B" w14:textId="77777777" w:rsidR="000F66F8" w:rsidRPr="003D4D09" w:rsidRDefault="000F66F8" w:rsidP="000F66F8">
      <w:pPr>
        <w:keepNext/>
        <w:rPr>
          <w:rFonts w:cs="Calibri"/>
          <w:szCs w:val="20"/>
          <w:lang w:val="en-US"/>
        </w:rPr>
      </w:pPr>
    </w:p>
    <w:p w14:paraId="2F057820" w14:textId="77777777" w:rsidR="000F66F8" w:rsidRPr="003D4D09" w:rsidRDefault="000F66F8" w:rsidP="000F66F8">
      <w:pPr>
        <w:keepNext/>
        <w:numPr>
          <w:ilvl w:val="0"/>
          <w:numId w:val="18"/>
        </w:numPr>
        <w:ind w:left="567" w:hanging="283"/>
        <w:rPr>
          <w:rFonts w:cs="Calibri"/>
          <w:szCs w:val="20"/>
          <w:lang w:val="en-US"/>
        </w:rPr>
      </w:pPr>
      <w:r w:rsidRPr="003D4D09">
        <w:rPr>
          <w:rFonts w:cs="Calibri"/>
          <w:b/>
          <w:szCs w:val="20"/>
          <w:lang w:val="en-US"/>
        </w:rPr>
        <w:t>Those set out in the petition</w:t>
      </w:r>
    </w:p>
    <w:p w14:paraId="7FDE2C14" w14:textId="77777777" w:rsidR="000F66F8" w:rsidRPr="003D4D09" w:rsidRDefault="000F66F8" w:rsidP="000F66F8">
      <w:pPr>
        <w:keepNext/>
        <w:ind w:left="567"/>
        <w:rPr>
          <w:rFonts w:cs="Calibri"/>
          <w:szCs w:val="20"/>
          <w:lang w:val="en-US"/>
        </w:rPr>
      </w:pPr>
    </w:p>
    <w:p w14:paraId="094DEDE9" w14:textId="77777777" w:rsidR="000F66F8" w:rsidRPr="003D4D09" w:rsidRDefault="000F66F8" w:rsidP="000F66F8">
      <w:pPr>
        <w:keepNext/>
        <w:rPr>
          <w:rFonts w:cs="Calibri"/>
          <w:i/>
          <w:szCs w:val="20"/>
          <w:lang w:val="en-US"/>
        </w:rPr>
      </w:pPr>
      <w:r w:rsidRPr="003D4D09">
        <w:rPr>
          <w:rFonts w:cs="Calibri"/>
          <w:szCs w:val="20"/>
          <w:lang w:val="en-US"/>
        </w:rPr>
        <w:t>The petition of March 27, 2009, indicated that “</w:t>
      </w:r>
      <w:r w:rsidRPr="003D4D09">
        <w:rPr>
          <w:rFonts w:cs="Calibri"/>
          <w:i/>
          <w:szCs w:val="20"/>
          <w:lang w:val="en-US"/>
        </w:rPr>
        <w:t>[</w:t>
      </w:r>
      <w:proofErr w:type="spellStart"/>
      <w:r w:rsidRPr="003D4D09">
        <w:rPr>
          <w:rFonts w:cs="Calibri"/>
          <w:i/>
          <w:szCs w:val="20"/>
          <w:lang w:val="en-US"/>
        </w:rPr>
        <w:t>i</w:t>
      </w:r>
      <w:proofErr w:type="spellEnd"/>
      <w:r w:rsidRPr="003D4D09">
        <w:rPr>
          <w:rFonts w:cs="Calibri"/>
          <w:i/>
          <w:szCs w:val="20"/>
          <w:lang w:val="en-US"/>
        </w:rPr>
        <w:t>]n this case, the petitioner ha[d] duly exhausted the ordinary remedi</w:t>
      </w:r>
      <w:r>
        <w:rPr>
          <w:rFonts w:cs="Calibri"/>
          <w:i/>
          <w:szCs w:val="20"/>
          <w:lang w:val="en-US"/>
        </w:rPr>
        <w:t>es of the domestic jurisdiction</w:t>
      </w:r>
      <w:r w:rsidRPr="003D4D09">
        <w:rPr>
          <w:rFonts w:cs="Calibri"/>
          <w:i/>
          <w:szCs w:val="20"/>
          <w:lang w:val="en-US"/>
        </w:rPr>
        <w:t xml:space="preserve"> because, as established in the third and fourth paragraphs of article 521 of the Code of Criminal Procedure, in extradition proceedings, there is a single entity that decides a request of this nature[.] In other words, </w:t>
      </w:r>
      <w:r>
        <w:rPr>
          <w:rFonts w:cs="Calibri"/>
          <w:i/>
          <w:szCs w:val="20"/>
          <w:lang w:val="en-US"/>
        </w:rPr>
        <w:t xml:space="preserve">the </w:t>
      </w:r>
      <w:r w:rsidRPr="003D4D09">
        <w:rPr>
          <w:rFonts w:cs="Calibri"/>
          <w:i/>
          <w:szCs w:val="20"/>
          <w:lang w:val="en-US"/>
        </w:rPr>
        <w:t xml:space="preserve">jurisdictional extradition proceedings </w:t>
      </w:r>
      <w:r>
        <w:rPr>
          <w:rFonts w:cs="Calibri"/>
          <w:i/>
          <w:szCs w:val="20"/>
          <w:lang w:val="en-US"/>
        </w:rPr>
        <w:t xml:space="preserve">had </w:t>
      </w:r>
      <w:r w:rsidRPr="003D4D09">
        <w:rPr>
          <w:rFonts w:cs="Calibri"/>
          <w:i/>
          <w:szCs w:val="20"/>
          <w:lang w:val="en-US"/>
        </w:rPr>
        <w:t xml:space="preserve">concluded with the final judgment delivered by the Second Transitory Criminal Chamber of the Supreme Court of Justice which declared that the extradition request </w:t>
      </w:r>
      <w:r>
        <w:rPr>
          <w:rFonts w:cs="Calibri"/>
          <w:i/>
          <w:szCs w:val="20"/>
          <w:lang w:val="en-US"/>
        </w:rPr>
        <w:t>was admissible</w:t>
      </w:r>
      <w:r w:rsidRPr="003D4D09">
        <w:rPr>
          <w:rFonts w:cs="Calibri"/>
          <w:i/>
          <w:szCs w:val="20"/>
          <w:lang w:val="en-US"/>
        </w:rPr>
        <w:t>.”</w:t>
      </w:r>
    </w:p>
    <w:p w14:paraId="0DACB3AD" w14:textId="77777777" w:rsidR="000F66F8" w:rsidRPr="003D4D09" w:rsidRDefault="000F66F8" w:rsidP="000F66F8">
      <w:pPr>
        <w:keepNext/>
        <w:rPr>
          <w:rFonts w:cs="Calibri"/>
          <w:i/>
          <w:szCs w:val="20"/>
          <w:lang w:val="en-US"/>
        </w:rPr>
      </w:pPr>
    </w:p>
    <w:p w14:paraId="3575B7E2" w14:textId="77777777" w:rsidR="000F66F8" w:rsidRPr="003D4D09" w:rsidRDefault="000F66F8" w:rsidP="000F66F8">
      <w:pPr>
        <w:keepNext/>
        <w:rPr>
          <w:rFonts w:cs="Calibri"/>
          <w:szCs w:val="20"/>
          <w:lang w:val="en-US"/>
        </w:rPr>
      </w:pPr>
      <w:r w:rsidRPr="003D4D09">
        <w:rPr>
          <w:rFonts w:cs="Calibri"/>
          <w:szCs w:val="20"/>
          <w:lang w:val="en-US"/>
        </w:rPr>
        <w:t xml:space="preserve">As revealed by the above, the petitioner expressly indicated that, prior to the petition, he had exhausted the remedies established in the domestic jurisdiction, and did not make any mention of the </w:t>
      </w:r>
      <w:r>
        <w:rPr>
          <w:rFonts w:cs="Calibri"/>
          <w:szCs w:val="20"/>
          <w:lang w:val="en-US"/>
        </w:rPr>
        <w:t>situations</w:t>
      </w:r>
      <w:r w:rsidRPr="003D4D09">
        <w:rPr>
          <w:rFonts w:cs="Calibri"/>
          <w:szCs w:val="20"/>
          <w:lang w:val="en-US"/>
        </w:rPr>
        <w:t xml:space="preserve"> indicated in Article 46(2) of the Convention in which</w:t>
      </w:r>
      <w:r>
        <w:rPr>
          <w:rFonts w:cs="Calibri"/>
          <w:szCs w:val="20"/>
          <w:lang w:val="en-US"/>
        </w:rPr>
        <w:t xml:space="preserve"> it is unnecessary to apply</w:t>
      </w:r>
      <w:r w:rsidRPr="003D4D09">
        <w:rPr>
          <w:rFonts w:cs="Calibri"/>
          <w:szCs w:val="20"/>
          <w:lang w:val="en-US"/>
        </w:rPr>
        <w:t xml:space="preserve"> the requirement under Article</w:t>
      </w:r>
      <w:r>
        <w:rPr>
          <w:rFonts w:cs="Calibri"/>
          <w:szCs w:val="20"/>
          <w:lang w:val="en-US"/>
        </w:rPr>
        <w:t xml:space="preserve"> 46(1)(a) of this instrument</w:t>
      </w:r>
      <w:r w:rsidRPr="003D4D09">
        <w:rPr>
          <w:rFonts w:cs="Calibri"/>
          <w:szCs w:val="20"/>
          <w:lang w:val="en-US"/>
        </w:rPr>
        <w:t xml:space="preserve">. In other words, the </w:t>
      </w:r>
      <w:r>
        <w:rPr>
          <w:rFonts w:cs="Calibri"/>
          <w:szCs w:val="20"/>
          <w:lang w:val="en-US"/>
        </w:rPr>
        <w:t>situations</w:t>
      </w:r>
      <w:r w:rsidRPr="003D4D09">
        <w:rPr>
          <w:rFonts w:cs="Calibri"/>
          <w:szCs w:val="20"/>
          <w:lang w:val="en-US"/>
        </w:rPr>
        <w:t xml:space="preserve"> in which it is not necessary to have previously exhausted the domestic remedies in order to lodge a petition before the Commission.</w:t>
      </w:r>
    </w:p>
    <w:p w14:paraId="001C303F" w14:textId="77777777" w:rsidR="000F66F8" w:rsidRPr="003D4D09" w:rsidRDefault="000F66F8" w:rsidP="000F66F8">
      <w:pPr>
        <w:keepNext/>
        <w:rPr>
          <w:rFonts w:cs="Calibri"/>
          <w:szCs w:val="20"/>
          <w:lang w:val="en-US"/>
        </w:rPr>
      </w:pPr>
    </w:p>
    <w:p w14:paraId="54739DE1" w14:textId="77777777" w:rsidR="000F66F8" w:rsidRPr="003D4D09" w:rsidRDefault="000F66F8" w:rsidP="000F66F8">
      <w:pPr>
        <w:keepNext/>
        <w:numPr>
          <w:ilvl w:val="0"/>
          <w:numId w:val="18"/>
        </w:numPr>
        <w:ind w:left="567" w:hanging="283"/>
        <w:rPr>
          <w:rFonts w:cs="Calibri"/>
          <w:b/>
          <w:szCs w:val="20"/>
          <w:lang w:val="en-US"/>
        </w:rPr>
      </w:pPr>
      <w:r w:rsidRPr="003D4D09">
        <w:rPr>
          <w:rFonts w:cs="Calibri"/>
          <w:b/>
          <w:szCs w:val="20"/>
          <w:lang w:val="en-US"/>
        </w:rPr>
        <w:t>Those contained in the</w:t>
      </w:r>
      <w:r>
        <w:rPr>
          <w:rFonts w:cs="Calibri"/>
          <w:b/>
          <w:szCs w:val="20"/>
          <w:lang w:val="en-US"/>
        </w:rPr>
        <w:t xml:space="preserve"> State’s response or observations</w:t>
      </w:r>
    </w:p>
    <w:p w14:paraId="727C9508" w14:textId="77777777" w:rsidR="000F66F8" w:rsidRPr="003D4D09" w:rsidRDefault="000F66F8" w:rsidP="000F66F8">
      <w:pPr>
        <w:keepNext/>
        <w:rPr>
          <w:rFonts w:cs="Calibri"/>
          <w:szCs w:val="20"/>
          <w:lang w:val="en-US"/>
        </w:rPr>
      </w:pPr>
    </w:p>
    <w:p w14:paraId="306E4965" w14:textId="77777777" w:rsidR="000F66F8" w:rsidRPr="003D4D09" w:rsidRDefault="000F66F8" w:rsidP="000F66F8">
      <w:pPr>
        <w:keepNext/>
        <w:rPr>
          <w:rFonts w:cs="Calibri"/>
          <w:i/>
          <w:szCs w:val="20"/>
          <w:lang w:val="en-US"/>
        </w:rPr>
      </w:pPr>
      <w:r w:rsidRPr="003D4D09">
        <w:rPr>
          <w:rFonts w:cs="Calibri"/>
          <w:szCs w:val="20"/>
          <w:lang w:val="en-US"/>
        </w:rPr>
        <w:t xml:space="preserve">Meanwhile, in its observations on this petition presented on April 29, 2009, the State indicated that </w:t>
      </w:r>
      <w:r w:rsidRPr="003D4D09">
        <w:rPr>
          <w:rFonts w:cs="Calibri"/>
          <w:i/>
          <w:szCs w:val="20"/>
          <w:lang w:val="en-US"/>
        </w:rPr>
        <w:t>“Wong Ho Wing ha[d] not complied with exhausting the remedies of the domestic jurisdiction; thus, this party ask[</w:t>
      </w:r>
      <w:proofErr w:type="spellStart"/>
      <w:r w:rsidRPr="003D4D09">
        <w:rPr>
          <w:rFonts w:cs="Calibri"/>
          <w:i/>
          <w:szCs w:val="20"/>
          <w:lang w:val="en-US"/>
        </w:rPr>
        <w:t>ed</w:t>
      </w:r>
      <w:proofErr w:type="spellEnd"/>
      <w:r w:rsidRPr="003D4D09">
        <w:rPr>
          <w:rFonts w:cs="Calibri"/>
          <w:i/>
          <w:szCs w:val="20"/>
          <w:lang w:val="en-US"/>
        </w:rPr>
        <w:t>] the Inter-American Commission to declare the i</w:t>
      </w:r>
      <w:r>
        <w:rPr>
          <w:rFonts w:cs="Calibri"/>
          <w:i/>
          <w:szCs w:val="20"/>
          <w:lang w:val="en-US"/>
        </w:rPr>
        <w:t>nadmissibility of this petition</w:t>
      </w:r>
      <w:r w:rsidRPr="003D4D09">
        <w:rPr>
          <w:rFonts w:cs="Calibri"/>
          <w:i/>
          <w:szCs w:val="20"/>
          <w:lang w:val="en-US"/>
        </w:rPr>
        <w:t xml:space="preserve"> pursuant to Article 46 of the American Convention on Human Rights, because the 56</w:t>
      </w:r>
      <w:r w:rsidRPr="003D4D09">
        <w:rPr>
          <w:rFonts w:cs="Calibri"/>
          <w:i/>
          <w:szCs w:val="20"/>
          <w:vertAlign w:val="superscript"/>
          <w:lang w:val="en-US"/>
        </w:rPr>
        <w:t>th</w:t>
      </w:r>
      <w:r w:rsidRPr="003D4D09">
        <w:rPr>
          <w:rFonts w:cs="Calibri"/>
          <w:i/>
          <w:szCs w:val="20"/>
          <w:lang w:val="en-US"/>
        </w:rPr>
        <w:t xml:space="preserve"> Criminal Court of Lima decided to declare that the application for </w:t>
      </w:r>
      <w:r w:rsidRPr="004E3675">
        <w:rPr>
          <w:rFonts w:cs="Calibri"/>
          <w:szCs w:val="20"/>
          <w:lang w:val="en-US"/>
        </w:rPr>
        <w:t>habeas corpus</w:t>
      </w:r>
      <w:r w:rsidRPr="003D4D09">
        <w:rPr>
          <w:rFonts w:cs="Calibri"/>
          <w:i/>
          <w:szCs w:val="20"/>
          <w:lang w:val="en-US"/>
        </w:rPr>
        <w:t xml:space="preserve"> was well-founded in part and that the decision issued by the Second Transitory Criminal Chamber of the Supreme Court of Justice on January 20, 2009, was null, and that the Chamber should issue a new decision” </w:t>
      </w:r>
      <w:r w:rsidRPr="003D4D09">
        <w:rPr>
          <w:rFonts w:cs="Calibri"/>
          <w:szCs w:val="20"/>
          <w:lang w:val="en-US"/>
        </w:rPr>
        <w:t>and that</w:t>
      </w:r>
      <w:r w:rsidRPr="003D4D09">
        <w:rPr>
          <w:rFonts w:cs="Calibri"/>
          <w:i/>
          <w:szCs w:val="20"/>
          <w:lang w:val="en-US"/>
        </w:rPr>
        <w:t xml:space="preserve"> “[t]his </w:t>
      </w:r>
      <w:r w:rsidRPr="004E3675">
        <w:rPr>
          <w:rFonts w:cs="Calibri"/>
          <w:szCs w:val="20"/>
          <w:lang w:val="en-US"/>
        </w:rPr>
        <w:t>habeas corpus</w:t>
      </w:r>
      <w:r w:rsidRPr="003D4D09">
        <w:rPr>
          <w:rFonts w:cs="Calibri"/>
          <w:i/>
          <w:szCs w:val="20"/>
          <w:lang w:val="en-US"/>
        </w:rPr>
        <w:t xml:space="preserve"> proceeding was still being processed.” </w:t>
      </w:r>
    </w:p>
    <w:p w14:paraId="12027A57" w14:textId="77777777" w:rsidR="000F66F8" w:rsidRPr="003D4D09" w:rsidRDefault="000F66F8" w:rsidP="000F66F8">
      <w:pPr>
        <w:keepNext/>
        <w:rPr>
          <w:rFonts w:cs="Calibri"/>
          <w:szCs w:val="20"/>
          <w:lang w:val="en-US"/>
        </w:rPr>
      </w:pPr>
    </w:p>
    <w:p w14:paraId="041C1C7F" w14:textId="77777777" w:rsidR="000F66F8" w:rsidRPr="003D4D09" w:rsidRDefault="000F66F8" w:rsidP="000F66F8">
      <w:pPr>
        <w:keepNext/>
        <w:rPr>
          <w:rFonts w:cs="Calibri"/>
          <w:i/>
          <w:szCs w:val="20"/>
          <w:lang w:val="en-US"/>
        </w:rPr>
      </w:pPr>
      <w:r w:rsidRPr="003D4D09">
        <w:rPr>
          <w:rFonts w:cs="Calibri"/>
          <w:szCs w:val="20"/>
          <w:lang w:val="en-US"/>
        </w:rPr>
        <w:t>The note added that “</w:t>
      </w:r>
      <w:r w:rsidRPr="003D4D09">
        <w:rPr>
          <w:rFonts w:cs="Calibri"/>
          <w:i/>
          <w:szCs w:val="20"/>
          <w:lang w:val="en-US"/>
        </w:rPr>
        <w:t>[</w:t>
      </w:r>
      <w:proofErr w:type="spellStart"/>
      <w:r w:rsidRPr="003D4D09">
        <w:rPr>
          <w:rFonts w:cs="Calibri"/>
          <w:i/>
          <w:szCs w:val="20"/>
          <w:lang w:val="en-US"/>
        </w:rPr>
        <w:t>i</w:t>
      </w:r>
      <w:proofErr w:type="spellEnd"/>
      <w:r w:rsidRPr="003D4D09">
        <w:rPr>
          <w:rFonts w:cs="Calibri"/>
          <w:i/>
          <w:szCs w:val="20"/>
          <w:lang w:val="en-US"/>
        </w:rPr>
        <w:t>]n addition, the extradition proceeding</w:t>
      </w:r>
      <w:r>
        <w:rPr>
          <w:rFonts w:cs="Calibri"/>
          <w:i/>
          <w:szCs w:val="20"/>
          <w:lang w:val="en-US"/>
        </w:rPr>
        <w:t>s</w:t>
      </w:r>
      <w:r w:rsidRPr="003D4D09">
        <w:rPr>
          <w:rFonts w:cs="Calibri"/>
          <w:i/>
          <w:szCs w:val="20"/>
          <w:lang w:val="en-US"/>
        </w:rPr>
        <w:t xml:space="preserve"> with regard to Wong Ho Wing </w:t>
      </w:r>
      <w:r>
        <w:rPr>
          <w:rFonts w:cs="Calibri"/>
          <w:i/>
          <w:szCs w:val="20"/>
          <w:lang w:val="en-US"/>
        </w:rPr>
        <w:t>have</w:t>
      </w:r>
      <w:r w:rsidRPr="003D4D09">
        <w:rPr>
          <w:rFonts w:cs="Calibri"/>
          <w:i/>
          <w:szCs w:val="20"/>
          <w:lang w:val="en-US"/>
        </w:rPr>
        <w:t xml:space="preserve"> not concluded because, pursuant to article 515 of the new Code of Criminal Procedure, it is the Peruvian Government that takes the final decision on the extradition by means of a Supreme Decision issued with the agreement of the Council of Ministers, following a report of the Official Commission on Extraditions and Prisoner Transfer</w:t>
      </w:r>
      <w:r>
        <w:rPr>
          <w:rFonts w:cs="Calibri"/>
          <w:i/>
          <w:szCs w:val="20"/>
          <w:lang w:val="en-US"/>
        </w:rPr>
        <w:t>s</w:t>
      </w:r>
      <w:r w:rsidRPr="003D4D09">
        <w:rPr>
          <w:rFonts w:cs="Calibri"/>
          <w:i/>
          <w:szCs w:val="20"/>
          <w:lang w:val="en-US"/>
        </w:rPr>
        <w:t>.”</w:t>
      </w:r>
    </w:p>
    <w:p w14:paraId="457DF327" w14:textId="77777777" w:rsidR="000F66F8" w:rsidRPr="003D4D09" w:rsidRDefault="000F66F8" w:rsidP="000F66F8">
      <w:pPr>
        <w:keepNext/>
        <w:rPr>
          <w:rFonts w:cs="Calibri"/>
          <w:i/>
          <w:szCs w:val="20"/>
          <w:lang w:val="en-US"/>
        </w:rPr>
      </w:pPr>
    </w:p>
    <w:p w14:paraId="0BE5EFCB" w14:textId="77777777" w:rsidR="000F66F8" w:rsidRPr="003D4D09" w:rsidRDefault="000F66F8" w:rsidP="000F66F8">
      <w:pPr>
        <w:keepNext/>
        <w:rPr>
          <w:rFonts w:cs="Calibri"/>
          <w:i/>
          <w:szCs w:val="20"/>
          <w:lang w:val="en-US"/>
        </w:rPr>
      </w:pPr>
      <w:r>
        <w:rPr>
          <w:rFonts w:cs="Calibri"/>
          <w:szCs w:val="20"/>
          <w:lang w:val="en-US"/>
        </w:rPr>
        <w:lastRenderedPageBreak/>
        <w:t>In this regard</w:t>
      </w:r>
      <w:r w:rsidRPr="003D4D09">
        <w:rPr>
          <w:rFonts w:cs="Calibri"/>
          <w:szCs w:val="20"/>
          <w:lang w:val="en-US"/>
        </w:rPr>
        <w:t xml:space="preserve">, the </w:t>
      </w:r>
      <w:r>
        <w:rPr>
          <w:rFonts w:cs="Calibri"/>
          <w:szCs w:val="20"/>
          <w:lang w:val="en-US"/>
        </w:rPr>
        <w:t>note</w:t>
      </w:r>
      <w:r w:rsidRPr="003D4D09">
        <w:rPr>
          <w:rFonts w:cs="Calibri"/>
          <w:szCs w:val="20"/>
          <w:lang w:val="en-US"/>
        </w:rPr>
        <w:t xml:space="preserve"> ends by indicating that: “[</w:t>
      </w:r>
      <w:proofErr w:type="spellStart"/>
      <w:r w:rsidRPr="003D4D09">
        <w:rPr>
          <w:rFonts w:cs="Calibri"/>
          <w:i/>
          <w:szCs w:val="20"/>
          <w:lang w:val="en-US"/>
        </w:rPr>
        <w:t>i</w:t>
      </w:r>
      <w:proofErr w:type="spellEnd"/>
      <w:r w:rsidRPr="003D4D09">
        <w:rPr>
          <w:rFonts w:cs="Calibri"/>
          <w:i/>
          <w:szCs w:val="20"/>
          <w:lang w:val="en-US"/>
        </w:rPr>
        <w:t>]n a decision of February 12, 2009, the 56</w:t>
      </w:r>
      <w:r w:rsidRPr="003D4D09">
        <w:rPr>
          <w:rFonts w:cs="Calibri"/>
          <w:i/>
          <w:szCs w:val="20"/>
          <w:vertAlign w:val="superscript"/>
          <w:lang w:val="en-US"/>
        </w:rPr>
        <w:t>th</w:t>
      </w:r>
      <w:r w:rsidRPr="003D4D09">
        <w:rPr>
          <w:rFonts w:cs="Calibri"/>
          <w:i/>
          <w:szCs w:val="20"/>
          <w:lang w:val="en-US"/>
        </w:rPr>
        <w:t xml:space="preserve"> Criminal Court of Lima ordered the temporary suspension of the extradition </w:t>
      </w:r>
      <w:r>
        <w:rPr>
          <w:rFonts w:cs="Calibri"/>
          <w:i/>
          <w:szCs w:val="20"/>
          <w:lang w:val="en-US"/>
        </w:rPr>
        <w:t>procedure against</w:t>
      </w:r>
      <w:r w:rsidRPr="003D4D09">
        <w:rPr>
          <w:rFonts w:cs="Calibri"/>
          <w:i/>
          <w:szCs w:val="20"/>
          <w:lang w:val="en-US"/>
        </w:rPr>
        <w:t xml:space="preserve"> the Chinese citizen, Wong Ho Wing, until the </w:t>
      </w:r>
      <w:r w:rsidRPr="004E3675">
        <w:rPr>
          <w:rFonts w:cs="Calibri"/>
          <w:szCs w:val="20"/>
          <w:lang w:val="en-US"/>
        </w:rPr>
        <w:t>habeas corpus</w:t>
      </w:r>
      <w:r w:rsidRPr="003D4D09">
        <w:rPr>
          <w:rFonts w:cs="Calibri"/>
          <w:i/>
          <w:szCs w:val="20"/>
          <w:lang w:val="en-US"/>
        </w:rPr>
        <w:t xml:space="preserve"> proceeding had concluded.”</w:t>
      </w:r>
      <w:r w:rsidRPr="003D4D09">
        <w:rPr>
          <w:rStyle w:val="FootnoteReference"/>
          <w:rFonts w:cs="Calibri"/>
          <w:szCs w:val="20"/>
          <w:lang w:val="en-US"/>
        </w:rPr>
        <w:footnoteReference w:id="440"/>
      </w:r>
    </w:p>
    <w:p w14:paraId="0F2D034F" w14:textId="77777777" w:rsidR="000F66F8" w:rsidRPr="003D4D09" w:rsidRDefault="000F66F8" w:rsidP="000F66F8">
      <w:pPr>
        <w:keepNext/>
        <w:rPr>
          <w:rFonts w:cs="Calibri"/>
          <w:szCs w:val="20"/>
          <w:lang w:val="en-US"/>
        </w:rPr>
      </w:pPr>
    </w:p>
    <w:p w14:paraId="4CE4A8E4" w14:textId="77777777" w:rsidR="000F66F8" w:rsidRPr="003D4D09" w:rsidRDefault="000F66F8" w:rsidP="000F66F8">
      <w:pPr>
        <w:keepNext/>
        <w:rPr>
          <w:rFonts w:cs="Calibri"/>
          <w:szCs w:val="20"/>
          <w:lang w:val="en-US"/>
        </w:rPr>
      </w:pPr>
      <w:r w:rsidRPr="003D4D09">
        <w:rPr>
          <w:rFonts w:cs="Calibri"/>
          <w:szCs w:val="20"/>
          <w:lang w:val="en-US"/>
        </w:rPr>
        <w:t xml:space="preserve">Thus, the State cited three reasons to support its position </w:t>
      </w:r>
      <w:r>
        <w:rPr>
          <w:rFonts w:cs="Calibri"/>
          <w:szCs w:val="20"/>
          <w:lang w:val="en-US"/>
        </w:rPr>
        <w:t>on</w:t>
      </w:r>
      <w:r w:rsidRPr="003D4D09">
        <w:rPr>
          <w:rFonts w:cs="Calibri"/>
          <w:szCs w:val="20"/>
          <w:lang w:val="en-US"/>
        </w:rPr>
        <w:t xml:space="preserve"> the inadmissibility of the petition; namely, the ongoing processing</w:t>
      </w:r>
      <w:r>
        <w:rPr>
          <w:rFonts w:cs="Calibri"/>
          <w:szCs w:val="20"/>
          <w:lang w:val="en-US"/>
        </w:rPr>
        <w:t xml:space="preserve"> </w:t>
      </w:r>
      <w:r w:rsidRPr="003D4D09">
        <w:rPr>
          <w:rFonts w:cs="Calibri"/>
          <w:szCs w:val="20"/>
          <w:lang w:val="en-US"/>
        </w:rPr>
        <w:t xml:space="preserve">when the petition was lodged of an application for </w:t>
      </w:r>
      <w:r w:rsidRPr="003D4D09">
        <w:rPr>
          <w:rFonts w:cs="Calibri"/>
          <w:i/>
          <w:szCs w:val="20"/>
          <w:lang w:val="en-US"/>
        </w:rPr>
        <w:t>habeas corpus</w:t>
      </w:r>
      <w:r w:rsidRPr="003D4D09">
        <w:rPr>
          <w:rFonts w:cs="Calibri"/>
          <w:szCs w:val="20"/>
          <w:lang w:val="en-US"/>
        </w:rPr>
        <w:t xml:space="preserve"> filed by the petitioner himself; the processing of the extradition procedure, also at that </w:t>
      </w:r>
      <w:proofErr w:type="gramStart"/>
      <w:r w:rsidRPr="003D4D09">
        <w:rPr>
          <w:rFonts w:cs="Calibri"/>
          <w:szCs w:val="20"/>
          <w:lang w:val="en-US"/>
        </w:rPr>
        <w:t>time</w:t>
      </w:r>
      <w:r>
        <w:rPr>
          <w:rFonts w:cs="Calibri"/>
          <w:szCs w:val="20"/>
          <w:lang w:val="en-US"/>
        </w:rPr>
        <w:t>,</w:t>
      </w:r>
      <w:proofErr w:type="gramEnd"/>
      <w:r w:rsidRPr="003D4D09">
        <w:rPr>
          <w:rFonts w:cs="Calibri"/>
          <w:szCs w:val="20"/>
          <w:lang w:val="en-US"/>
        </w:rPr>
        <w:t xml:space="preserve"> and, lastly, the suspension of the procedure by a court order.</w:t>
      </w:r>
    </w:p>
    <w:p w14:paraId="7B301FB2" w14:textId="77777777" w:rsidR="000F66F8" w:rsidRPr="003D4D09" w:rsidRDefault="000F66F8" w:rsidP="000F66F8">
      <w:pPr>
        <w:keepNext/>
        <w:rPr>
          <w:rFonts w:cs="Calibri"/>
          <w:i/>
          <w:szCs w:val="20"/>
          <w:lang w:val="en-US"/>
        </w:rPr>
      </w:pPr>
    </w:p>
    <w:p w14:paraId="003CECF3" w14:textId="77777777" w:rsidR="000F66F8" w:rsidRPr="003D4D09" w:rsidRDefault="000F66F8" w:rsidP="000F66F8">
      <w:pPr>
        <w:keepNext/>
        <w:numPr>
          <w:ilvl w:val="0"/>
          <w:numId w:val="18"/>
        </w:numPr>
        <w:ind w:left="567" w:hanging="283"/>
        <w:rPr>
          <w:rFonts w:cs="Calibri"/>
          <w:b/>
          <w:szCs w:val="20"/>
          <w:lang w:val="en-US"/>
        </w:rPr>
      </w:pPr>
      <w:r w:rsidRPr="003D4D09">
        <w:rPr>
          <w:rFonts w:cs="Calibri"/>
          <w:b/>
          <w:szCs w:val="20"/>
          <w:lang w:val="en-US"/>
        </w:rPr>
        <w:t>Those relating to the Admissibility Report</w:t>
      </w:r>
    </w:p>
    <w:p w14:paraId="3C5ACE5D" w14:textId="77777777" w:rsidR="000F66F8" w:rsidRPr="003D4D09" w:rsidRDefault="000F66F8" w:rsidP="000F66F8">
      <w:pPr>
        <w:keepNext/>
        <w:rPr>
          <w:rFonts w:cs="Calibri"/>
          <w:szCs w:val="20"/>
          <w:lang w:val="en-US"/>
        </w:rPr>
      </w:pPr>
    </w:p>
    <w:p w14:paraId="02ABA673" w14:textId="77777777" w:rsidR="000F66F8" w:rsidRPr="003D4D09" w:rsidRDefault="000F66F8" w:rsidP="000F66F8">
      <w:pPr>
        <w:keepNext/>
        <w:rPr>
          <w:szCs w:val="20"/>
          <w:lang w:val="en-US"/>
        </w:rPr>
      </w:pPr>
      <w:r w:rsidRPr="004E3675">
        <w:rPr>
          <w:rFonts w:cs="Calibri"/>
          <w:szCs w:val="20"/>
          <w:lang w:val="en-US"/>
        </w:rPr>
        <w:t>The Admissibility Report of November 1, 2010, indicates that “</w:t>
      </w:r>
      <w:r w:rsidRPr="004E3675">
        <w:rPr>
          <w:i/>
          <w:spacing w:val="-4"/>
          <w:szCs w:val="20"/>
          <w:lang w:val="en-US"/>
        </w:rPr>
        <w:t xml:space="preserve">the presumed victim </w:t>
      </w:r>
      <w:r w:rsidRPr="004E3675">
        <w:rPr>
          <w:i/>
          <w:szCs w:val="20"/>
          <w:lang w:val="en-US"/>
        </w:rPr>
        <w:t>first argued the failure to comply with the legal and constitutional requirements for admission of the extradition request throughout the advisory proceeding decided in the final instance by the Supreme Court of Justice on January 27, 2010</w:t>
      </w:r>
      <w:r w:rsidRPr="004E3675">
        <w:rPr>
          <w:szCs w:val="20"/>
          <w:lang w:val="en-US"/>
        </w:rPr>
        <w:t xml:space="preserve">”; </w:t>
      </w:r>
      <w:r w:rsidRPr="004E3675">
        <w:rPr>
          <w:i/>
          <w:szCs w:val="20"/>
          <w:lang w:val="en-US"/>
        </w:rPr>
        <w:t>[s]</w:t>
      </w:r>
      <w:proofErr w:type="spellStart"/>
      <w:r w:rsidRPr="004E3675">
        <w:rPr>
          <w:i/>
          <w:szCs w:val="20"/>
          <w:lang w:val="en-US"/>
        </w:rPr>
        <w:t>econd</w:t>
      </w:r>
      <w:proofErr w:type="spellEnd"/>
      <w:r w:rsidRPr="004E3675">
        <w:rPr>
          <w:i/>
          <w:szCs w:val="20"/>
          <w:lang w:val="en-US"/>
        </w:rPr>
        <w:t xml:space="preserve">, he submitted two applications for </w:t>
      </w:r>
      <w:r w:rsidRPr="004E3675">
        <w:rPr>
          <w:szCs w:val="20"/>
          <w:lang w:val="en-US"/>
        </w:rPr>
        <w:t>habeas corpus</w:t>
      </w:r>
      <w:r w:rsidRPr="004E3675">
        <w:rPr>
          <w:i/>
          <w:szCs w:val="20"/>
          <w:lang w:val="en-US"/>
        </w:rPr>
        <w:t xml:space="preserve"> against the members of the Second Transitory Criminal Chamber and of the Permanent Criminal Chamber of the aforementioned Supreme Court, pointing to alleged defects in the advisory proceeding and an alleged inadequate evaluation of the guarantees provided by the Government of the People’s Republic of China concerning the non-application of the death penalty</w:t>
      </w:r>
      <w:r w:rsidRPr="004E3675">
        <w:rPr>
          <w:szCs w:val="20"/>
          <w:lang w:val="en-US"/>
        </w:rPr>
        <w:t>,” a</w:t>
      </w:r>
      <w:r>
        <w:rPr>
          <w:szCs w:val="20"/>
          <w:lang w:val="en-US"/>
        </w:rPr>
        <w:t>nd added</w:t>
      </w:r>
      <w:r w:rsidRPr="004E3675">
        <w:rPr>
          <w:szCs w:val="20"/>
          <w:lang w:val="en-US"/>
        </w:rPr>
        <w:t xml:space="preserve"> that “</w:t>
      </w:r>
      <w:r w:rsidRPr="004E3675">
        <w:rPr>
          <w:i/>
          <w:szCs w:val="20"/>
          <w:lang w:val="en-US"/>
        </w:rPr>
        <w:t>[</w:t>
      </w:r>
      <w:proofErr w:type="spellStart"/>
      <w:r w:rsidRPr="004E3675">
        <w:rPr>
          <w:i/>
          <w:szCs w:val="20"/>
          <w:lang w:val="en-US"/>
        </w:rPr>
        <w:t>i</w:t>
      </w:r>
      <w:proofErr w:type="spellEnd"/>
      <w:r w:rsidRPr="004E3675">
        <w:rPr>
          <w:i/>
          <w:szCs w:val="20"/>
          <w:lang w:val="en-US"/>
        </w:rPr>
        <w:t xml:space="preserve">]n addition, the presumed victim filed a preventive application for </w:t>
      </w:r>
      <w:r w:rsidRPr="004E3675">
        <w:rPr>
          <w:szCs w:val="20"/>
          <w:lang w:val="en-US"/>
        </w:rPr>
        <w:t>habeas corpus</w:t>
      </w:r>
      <w:r w:rsidRPr="004E3675">
        <w:rPr>
          <w:i/>
          <w:szCs w:val="20"/>
          <w:lang w:val="en-US"/>
        </w:rPr>
        <w:t xml:space="preserve"> against the President of the Republic and the Council of Ministers, which has been pending a final decision on constitutional </w:t>
      </w:r>
      <w:r>
        <w:rPr>
          <w:i/>
          <w:szCs w:val="20"/>
          <w:lang w:val="en-US"/>
        </w:rPr>
        <w:t>injury</w:t>
      </w:r>
      <w:r w:rsidRPr="004E3675">
        <w:rPr>
          <w:i/>
          <w:szCs w:val="20"/>
          <w:lang w:val="en-US"/>
        </w:rPr>
        <w:t xml:space="preserve"> from the Constitutional Court since July 14, 2010</w:t>
      </w:r>
      <w:r w:rsidRPr="004E3675">
        <w:rPr>
          <w:szCs w:val="20"/>
          <w:lang w:val="en-US"/>
        </w:rPr>
        <w:t>.”</w:t>
      </w:r>
    </w:p>
    <w:p w14:paraId="0E1D316B" w14:textId="77777777" w:rsidR="000F66F8" w:rsidRPr="003D4D09" w:rsidRDefault="000F66F8" w:rsidP="000F66F8">
      <w:pPr>
        <w:keepNext/>
        <w:tabs>
          <w:tab w:val="left" w:pos="993"/>
        </w:tabs>
        <w:rPr>
          <w:spacing w:val="-4"/>
          <w:szCs w:val="20"/>
          <w:lang w:val="en-US"/>
        </w:rPr>
      </w:pPr>
    </w:p>
    <w:p w14:paraId="10FD8CB9" w14:textId="77777777" w:rsidR="000F66F8" w:rsidRPr="003D4D09" w:rsidRDefault="000F66F8" w:rsidP="000F66F8">
      <w:pPr>
        <w:keepNext/>
        <w:tabs>
          <w:tab w:val="left" w:pos="993"/>
        </w:tabs>
        <w:rPr>
          <w:i/>
          <w:spacing w:val="-4"/>
          <w:szCs w:val="20"/>
          <w:lang w:val="en-US"/>
        </w:rPr>
      </w:pPr>
      <w:r w:rsidRPr="003D4D09">
        <w:rPr>
          <w:spacing w:val="-4"/>
          <w:szCs w:val="20"/>
          <w:lang w:val="en-US"/>
        </w:rPr>
        <w:t xml:space="preserve">The Admissibility Report also adds that </w:t>
      </w:r>
      <w:r w:rsidRPr="003D4D09">
        <w:rPr>
          <w:i/>
          <w:spacing w:val="-4"/>
          <w:szCs w:val="20"/>
          <w:lang w:val="en-US"/>
        </w:rPr>
        <w:t>“</w:t>
      </w:r>
      <w:r w:rsidRPr="003D4D09">
        <w:rPr>
          <w:i/>
          <w:szCs w:val="20"/>
          <w:lang w:val="en-US"/>
        </w:rPr>
        <w:t>[b]</w:t>
      </w:r>
      <w:proofErr w:type="spellStart"/>
      <w:r w:rsidRPr="003D4D09">
        <w:rPr>
          <w:i/>
          <w:szCs w:val="20"/>
          <w:lang w:val="en-US"/>
        </w:rPr>
        <w:t>ased</w:t>
      </w:r>
      <w:proofErr w:type="spellEnd"/>
      <w:r w:rsidRPr="003D4D09">
        <w:rPr>
          <w:i/>
          <w:szCs w:val="20"/>
          <w:lang w:val="en-US"/>
        </w:rPr>
        <w:t xml:space="preserve"> on the foregoing considerations, the [</w:t>
      </w:r>
      <w:r w:rsidRPr="004E3675">
        <w:rPr>
          <w:i/>
          <w:szCs w:val="20"/>
          <w:lang w:val="en-US"/>
        </w:rPr>
        <w:t>Commission</w:t>
      </w:r>
      <w:r w:rsidRPr="003D4D09">
        <w:rPr>
          <w:i/>
          <w:szCs w:val="20"/>
          <w:lang w:val="en-US"/>
        </w:rPr>
        <w:t>] consider[</w:t>
      </w:r>
      <w:proofErr w:type="spellStart"/>
      <w:r w:rsidRPr="003D4D09">
        <w:rPr>
          <w:i/>
          <w:szCs w:val="20"/>
          <w:lang w:val="en-US"/>
        </w:rPr>
        <w:t>ed</w:t>
      </w:r>
      <w:proofErr w:type="spellEnd"/>
      <w:r w:rsidRPr="003D4D09">
        <w:rPr>
          <w:i/>
          <w:szCs w:val="20"/>
          <w:lang w:val="en-US"/>
        </w:rPr>
        <w:t xml:space="preserve">] that the presumed victim </w:t>
      </w:r>
      <w:r>
        <w:rPr>
          <w:i/>
          <w:szCs w:val="20"/>
          <w:lang w:val="en-US"/>
        </w:rPr>
        <w:t xml:space="preserve">[had] </w:t>
      </w:r>
      <w:r w:rsidRPr="003D4D09">
        <w:rPr>
          <w:i/>
          <w:szCs w:val="20"/>
          <w:lang w:val="en-US"/>
        </w:rPr>
        <w:t>exhausted the available remedies under domestic law aimed at rectifying the alleged irregularities in the advisory proceeding in which the final decision was taken by the Permanent Criminal Chamber of the Supreme Court of Justice on January 27, 2010</w:t>
      </w:r>
      <w:r w:rsidRPr="003D4D09">
        <w:rPr>
          <w:szCs w:val="20"/>
          <w:lang w:val="en-US"/>
        </w:rPr>
        <w:t>.” Thus, the Commission concluded that, “[</w:t>
      </w:r>
      <w:r w:rsidRPr="003D4D09">
        <w:rPr>
          <w:i/>
          <w:szCs w:val="20"/>
          <w:lang w:val="en-US"/>
        </w:rPr>
        <w:t>c]</w:t>
      </w:r>
      <w:proofErr w:type="spellStart"/>
      <w:r w:rsidRPr="003D4D09">
        <w:rPr>
          <w:i/>
          <w:szCs w:val="20"/>
          <w:lang w:val="en-US"/>
        </w:rPr>
        <w:t>onsequently</w:t>
      </w:r>
      <w:proofErr w:type="spellEnd"/>
      <w:r w:rsidRPr="003D4D09">
        <w:rPr>
          <w:i/>
          <w:szCs w:val="20"/>
          <w:lang w:val="en-US"/>
        </w:rPr>
        <w:t>, the requirement established in Article 46(1</w:t>
      </w:r>
      <w:proofErr w:type="gramStart"/>
      <w:r w:rsidRPr="003D4D09">
        <w:rPr>
          <w:i/>
          <w:szCs w:val="20"/>
          <w:lang w:val="en-US"/>
        </w:rPr>
        <w:t>)(</w:t>
      </w:r>
      <w:proofErr w:type="gramEnd"/>
      <w:r w:rsidRPr="003D4D09">
        <w:rPr>
          <w:i/>
          <w:szCs w:val="20"/>
          <w:lang w:val="en-US"/>
        </w:rPr>
        <w:t>a) of the American Convention has been met</w:t>
      </w:r>
      <w:r w:rsidRPr="003D4D09">
        <w:rPr>
          <w:szCs w:val="20"/>
          <w:lang w:val="en-US"/>
        </w:rPr>
        <w:t>.”</w:t>
      </w:r>
    </w:p>
    <w:p w14:paraId="6A0C5E2F" w14:textId="77777777" w:rsidR="000F66F8" w:rsidRPr="003D4D09" w:rsidRDefault="000F66F8" w:rsidP="000F66F8">
      <w:pPr>
        <w:keepNext/>
        <w:tabs>
          <w:tab w:val="left" w:pos="993"/>
        </w:tabs>
        <w:rPr>
          <w:szCs w:val="20"/>
          <w:lang w:val="en-US"/>
        </w:rPr>
      </w:pPr>
    </w:p>
    <w:p w14:paraId="77862E20" w14:textId="77777777" w:rsidR="000F66F8" w:rsidRPr="003D4D09" w:rsidRDefault="000F66F8" w:rsidP="000F66F8">
      <w:pPr>
        <w:keepNext/>
        <w:tabs>
          <w:tab w:val="left" w:pos="993"/>
        </w:tabs>
        <w:rPr>
          <w:szCs w:val="20"/>
          <w:lang w:val="en-US"/>
        </w:rPr>
      </w:pPr>
      <w:r w:rsidRPr="003D4D09">
        <w:rPr>
          <w:szCs w:val="20"/>
          <w:lang w:val="en-US"/>
        </w:rPr>
        <w:t>First, attention s</w:t>
      </w:r>
      <w:r>
        <w:rPr>
          <w:szCs w:val="20"/>
          <w:lang w:val="en-US"/>
        </w:rPr>
        <w:t>hould be drawn to the fact that</w:t>
      </w:r>
      <w:r w:rsidRPr="003D4D09">
        <w:rPr>
          <w:szCs w:val="20"/>
          <w:lang w:val="en-US"/>
        </w:rPr>
        <w:t xml:space="preserve"> the Admissibility Report refers to facts and/or judicial actions that took place after the petition had been lodged and to the corresponding observations of the State</w:t>
      </w:r>
      <w:r w:rsidRPr="004E3675">
        <w:rPr>
          <w:szCs w:val="20"/>
          <w:lang w:val="en-US"/>
        </w:rPr>
        <w:t xml:space="preserve"> </w:t>
      </w:r>
      <w:r w:rsidRPr="003D4D09">
        <w:rPr>
          <w:szCs w:val="20"/>
          <w:lang w:val="en-US"/>
        </w:rPr>
        <w:t>as grounds for the</w:t>
      </w:r>
      <w:r>
        <w:rPr>
          <w:szCs w:val="20"/>
          <w:lang w:val="en-US"/>
        </w:rPr>
        <w:t xml:space="preserve"> decision to admit the petition. In other words, it</w:t>
      </w:r>
      <w:r w:rsidRPr="003D4D09">
        <w:rPr>
          <w:szCs w:val="20"/>
          <w:lang w:val="en-US"/>
        </w:rPr>
        <w:t xml:space="preserve"> follows its consistent practice of determining whether the domestic remedies had be</w:t>
      </w:r>
      <w:r>
        <w:rPr>
          <w:szCs w:val="20"/>
          <w:lang w:val="en-US"/>
        </w:rPr>
        <w:t>en exhausted prior to this r</w:t>
      </w:r>
      <w:r w:rsidRPr="003D4D09">
        <w:rPr>
          <w:szCs w:val="20"/>
          <w:lang w:val="en-US"/>
        </w:rPr>
        <w:t>eport, and not whether they had been exhausted prior to the petition.</w:t>
      </w:r>
      <w:r w:rsidRPr="003D4D09">
        <w:rPr>
          <w:rStyle w:val="FootnoteReference"/>
          <w:szCs w:val="20"/>
          <w:lang w:val="en-US"/>
        </w:rPr>
        <w:footnoteReference w:id="441"/>
      </w:r>
    </w:p>
    <w:p w14:paraId="71A487E5" w14:textId="77777777" w:rsidR="000F66F8" w:rsidRPr="003D4D09" w:rsidRDefault="000F66F8" w:rsidP="000F66F8">
      <w:pPr>
        <w:keepNext/>
        <w:tabs>
          <w:tab w:val="left" w:pos="993"/>
        </w:tabs>
        <w:rPr>
          <w:szCs w:val="20"/>
          <w:lang w:val="en-US"/>
        </w:rPr>
      </w:pPr>
    </w:p>
    <w:p w14:paraId="4FFE4936" w14:textId="77777777" w:rsidR="000F66F8" w:rsidRPr="003D4D09" w:rsidRDefault="000F66F8" w:rsidP="000F66F8">
      <w:pPr>
        <w:keepNext/>
        <w:tabs>
          <w:tab w:val="left" w:pos="993"/>
        </w:tabs>
        <w:rPr>
          <w:szCs w:val="20"/>
          <w:lang w:val="en-US"/>
        </w:rPr>
      </w:pPr>
      <w:r>
        <w:rPr>
          <w:szCs w:val="20"/>
          <w:lang w:val="en-US"/>
        </w:rPr>
        <w:t>I</w:t>
      </w:r>
      <w:r w:rsidRPr="003D4D09">
        <w:rPr>
          <w:szCs w:val="20"/>
          <w:lang w:val="en-US"/>
        </w:rPr>
        <w:t xml:space="preserve">t should </w:t>
      </w:r>
      <w:r>
        <w:rPr>
          <w:szCs w:val="20"/>
          <w:lang w:val="en-US"/>
        </w:rPr>
        <w:t xml:space="preserve">also </w:t>
      </w:r>
      <w:r w:rsidRPr="003D4D09">
        <w:rPr>
          <w:szCs w:val="20"/>
          <w:lang w:val="en-US"/>
        </w:rPr>
        <w:t>be pointed out that, in order to fou</w:t>
      </w:r>
      <w:r>
        <w:rPr>
          <w:szCs w:val="20"/>
          <w:lang w:val="en-US"/>
        </w:rPr>
        <w:t>nd the decision issued in this r</w:t>
      </w:r>
      <w:r w:rsidRPr="003D4D09">
        <w:rPr>
          <w:szCs w:val="20"/>
          <w:lang w:val="en-US"/>
        </w:rPr>
        <w:t xml:space="preserve">eport, the Commission does not refer to the provisional measures that, on May 28, 2010, had ordered the State to refrain from extraditing Wong Ho Wing until December 17, 2010, to allow the Inter-American Commission on Human Rights to examine and decide on petition P-366-09 lodged before that organ on March 27, 2009. </w:t>
      </w:r>
      <w:r>
        <w:rPr>
          <w:szCs w:val="20"/>
          <w:lang w:val="en-US"/>
        </w:rPr>
        <w:t>In other words, the r</w:t>
      </w:r>
      <w:r w:rsidRPr="003D4D09">
        <w:rPr>
          <w:szCs w:val="20"/>
          <w:lang w:val="en-US"/>
        </w:rPr>
        <w:t xml:space="preserve">eport does not consider that the </w:t>
      </w:r>
      <w:r>
        <w:rPr>
          <w:szCs w:val="20"/>
          <w:lang w:val="en-US"/>
        </w:rPr>
        <w:t>possible</w:t>
      </w:r>
      <w:r w:rsidRPr="003D4D09">
        <w:rPr>
          <w:szCs w:val="20"/>
          <w:lang w:val="en-US"/>
        </w:rPr>
        <w:t xml:space="preserve"> extradition of Wong Ho Wing</w:t>
      </w:r>
      <w:r>
        <w:rPr>
          <w:szCs w:val="20"/>
          <w:lang w:val="en-US"/>
        </w:rPr>
        <w:t>,</w:t>
      </w:r>
      <w:r w:rsidRPr="003D4D09">
        <w:rPr>
          <w:szCs w:val="20"/>
          <w:lang w:val="en-US"/>
        </w:rPr>
        <w:t xml:space="preserve"> </w:t>
      </w:r>
      <w:r>
        <w:rPr>
          <w:szCs w:val="20"/>
          <w:lang w:val="en-US"/>
        </w:rPr>
        <w:t>and therefore</w:t>
      </w:r>
      <w:r w:rsidRPr="003D4D09">
        <w:rPr>
          <w:szCs w:val="20"/>
          <w:lang w:val="en-US"/>
        </w:rPr>
        <w:t xml:space="preserve"> </w:t>
      </w:r>
      <w:r w:rsidRPr="003D4D09">
        <w:rPr>
          <w:szCs w:val="20"/>
          <w:lang w:val="en-US"/>
        </w:rPr>
        <w:lastRenderedPageBreak/>
        <w:t>the corresponding proceedings, had been suspended on the orders of the Court at the request of the Commission itself.</w:t>
      </w:r>
    </w:p>
    <w:p w14:paraId="694B818B" w14:textId="77777777" w:rsidR="000F66F8" w:rsidRDefault="000F66F8" w:rsidP="000F66F8">
      <w:pPr>
        <w:keepNext/>
        <w:rPr>
          <w:szCs w:val="20"/>
          <w:lang w:val="en-US"/>
        </w:rPr>
      </w:pPr>
    </w:p>
    <w:p w14:paraId="10B5A50A" w14:textId="77777777" w:rsidR="000F66F8" w:rsidRDefault="000F66F8" w:rsidP="000F66F8">
      <w:pPr>
        <w:keepNext/>
        <w:rPr>
          <w:szCs w:val="20"/>
          <w:lang w:val="en-US"/>
        </w:rPr>
      </w:pPr>
    </w:p>
    <w:p w14:paraId="2389278F" w14:textId="77777777" w:rsidR="000F66F8" w:rsidRPr="003D4D09" w:rsidRDefault="000F66F8" w:rsidP="000F66F8">
      <w:pPr>
        <w:keepNext/>
        <w:rPr>
          <w:szCs w:val="20"/>
          <w:lang w:val="en-US"/>
        </w:rPr>
      </w:pPr>
    </w:p>
    <w:p w14:paraId="5FBF51E5" w14:textId="77777777" w:rsidR="000F66F8" w:rsidRPr="003D4D09" w:rsidRDefault="000F66F8" w:rsidP="000F66F8">
      <w:pPr>
        <w:keepNext/>
        <w:numPr>
          <w:ilvl w:val="0"/>
          <w:numId w:val="17"/>
        </w:numPr>
        <w:ind w:left="0" w:firstLine="0"/>
        <w:rPr>
          <w:rFonts w:cs="Calibri"/>
          <w:b/>
          <w:szCs w:val="20"/>
          <w:lang w:val="en-US"/>
        </w:rPr>
      </w:pPr>
      <w:r w:rsidRPr="003D4D09">
        <w:rPr>
          <w:rFonts w:cs="Calibri"/>
          <w:b/>
          <w:szCs w:val="20"/>
          <w:lang w:val="en-US"/>
        </w:rPr>
        <w:t>CONSIDERATIONS ON THE JUDGMENT</w:t>
      </w:r>
    </w:p>
    <w:p w14:paraId="49B599D4" w14:textId="77777777" w:rsidR="000F66F8" w:rsidRPr="003D4D09" w:rsidRDefault="000F66F8" w:rsidP="000F66F8">
      <w:pPr>
        <w:pStyle w:val="PrrafodeSentencia"/>
        <w:keepNext/>
        <w:numPr>
          <w:ilvl w:val="0"/>
          <w:numId w:val="0"/>
        </w:numPr>
        <w:rPr>
          <w:lang w:val="en-US"/>
        </w:rPr>
      </w:pPr>
    </w:p>
    <w:p w14:paraId="56DB3979" w14:textId="77777777" w:rsidR="000F66F8" w:rsidRPr="003D4D09" w:rsidRDefault="000F66F8" w:rsidP="000F66F8">
      <w:pPr>
        <w:pStyle w:val="PrrafodeSentencia"/>
        <w:keepNext/>
        <w:numPr>
          <w:ilvl w:val="0"/>
          <w:numId w:val="0"/>
        </w:numPr>
        <w:rPr>
          <w:lang w:val="en-US"/>
        </w:rPr>
      </w:pPr>
      <w:r w:rsidRPr="003D4D09">
        <w:rPr>
          <w:lang w:val="en-US"/>
        </w:rPr>
        <w:t>The Judgment refers to two of the arguments made by the State with regard to its preliminary objection. One consists in the fact that, when the initial petition was lodged, the domestic remedies had not been exhausted, and the other to the fact that, when deciding on admissibility, the Commission did not take into account that other applications for</w:t>
      </w:r>
      <w:r w:rsidRPr="003D4D09">
        <w:rPr>
          <w:i/>
          <w:lang w:val="en-US"/>
        </w:rPr>
        <w:t xml:space="preserve"> habeas corpus</w:t>
      </w:r>
      <w:r w:rsidRPr="003D4D09">
        <w:rPr>
          <w:lang w:val="en-US"/>
        </w:rPr>
        <w:t xml:space="preserve"> filed by the representative were being processed.</w:t>
      </w:r>
      <w:r w:rsidRPr="003D4D09">
        <w:rPr>
          <w:rStyle w:val="FootnoteReference"/>
          <w:lang w:val="en-US"/>
        </w:rPr>
        <w:footnoteReference w:id="442"/>
      </w:r>
      <w:r w:rsidRPr="003D4D09">
        <w:rPr>
          <w:lang w:val="en-US"/>
        </w:rPr>
        <w:t xml:space="preserve"> This </w:t>
      </w:r>
      <w:r>
        <w:rPr>
          <w:lang w:val="en-US"/>
        </w:rPr>
        <w:t>opinion</w:t>
      </w:r>
      <w:r w:rsidRPr="003D4D09">
        <w:rPr>
          <w:lang w:val="en-US"/>
        </w:rPr>
        <w:t xml:space="preserve"> is only concerned with the first argument, regarding which the Judgment gives four reasons to reject the preliminary objection filed by the State based on the petitioner’s failure to comply with the obligation to exhaust the domestic remedies before lodging the petition.</w:t>
      </w:r>
    </w:p>
    <w:p w14:paraId="3338C088" w14:textId="77777777" w:rsidR="000F66F8" w:rsidRPr="003D4D09" w:rsidRDefault="000F66F8" w:rsidP="000F66F8">
      <w:pPr>
        <w:pStyle w:val="PrrafodeSentencia"/>
        <w:keepNext/>
        <w:numPr>
          <w:ilvl w:val="0"/>
          <w:numId w:val="0"/>
        </w:numPr>
        <w:rPr>
          <w:lang w:val="en-US"/>
        </w:rPr>
      </w:pPr>
    </w:p>
    <w:p w14:paraId="233EF8A0" w14:textId="77777777" w:rsidR="000F66F8" w:rsidRPr="003D4D09" w:rsidRDefault="000F66F8" w:rsidP="000F66F8">
      <w:pPr>
        <w:pStyle w:val="PrrafodeSentencia"/>
        <w:keepNext/>
        <w:numPr>
          <w:ilvl w:val="0"/>
          <w:numId w:val="0"/>
        </w:numPr>
        <w:rPr>
          <w:i/>
          <w:lang w:val="en-US"/>
        </w:rPr>
      </w:pPr>
      <w:r w:rsidRPr="003D4D09">
        <w:rPr>
          <w:lang w:val="en-US"/>
        </w:rPr>
        <w:t>The first reason is stated as follows: “[</w:t>
      </w:r>
      <w:r w:rsidRPr="003D4D09">
        <w:rPr>
          <w:i/>
          <w:lang w:val="en-US"/>
        </w:rPr>
        <w:t xml:space="preserve">a]s </w:t>
      </w:r>
      <w:r w:rsidRPr="003D4D09">
        <w:rPr>
          <w:i/>
          <w:spacing w:val="-2"/>
          <w:lang w:val="en-US"/>
        </w:rPr>
        <w:t>the State mentioned, the decisions that, according to the Commission, exhausted the domestic remedies were adopted after the initial petition had been lodged. However, the Court notes that, by requiring that “</w:t>
      </w:r>
      <w:r w:rsidRPr="003D4D09">
        <w:rPr>
          <w:i/>
          <w:spacing w:val="-3"/>
          <w:u w:val="single"/>
          <w:lang w:val="en-US"/>
        </w:rPr>
        <w:t>admission</w:t>
      </w:r>
      <w:r w:rsidRPr="003D4D09">
        <w:rPr>
          <w:i/>
          <w:spacing w:val="-3"/>
          <w:lang w:val="en-US"/>
        </w:rPr>
        <w:t xml:space="preserve"> by the Commission of a petition or communication […] shall be subject to” the said exhaustion (underlining added), </w:t>
      </w:r>
      <w:r w:rsidRPr="003D4D09">
        <w:rPr>
          <w:i/>
          <w:spacing w:val="-2"/>
          <w:lang w:val="en-US"/>
        </w:rPr>
        <w:t>Article 46 of the American Convention, should be interpreted in the sense that exhaustion of the remedies is required when deciding on the admissibility of the petition and not when this is lodged.</w:t>
      </w:r>
      <w:r w:rsidRPr="003D4D09">
        <w:rPr>
          <w:i/>
          <w:lang w:val="en-US"/>
        </w:rPr>
        <w:t>”</w:t>
      </w:r>
      <w:r w:rsidRPr="003D4D09">
        <w:rPr>
          <w:rStyle w:val="FootnoteReference"/>
          <w:i/>
          <w:lang w:val="en-US"/>
        </w:rPr>
        <w:footnoteReference w:id="443"/>
      </w:r>
      <w:r w:rsidRPr="003D4D09">
        <w:rPr>
          <w:i/>
          <w:lang w:val="en-US"/>
        </w:rPr>
        <w:t xml:space="preserve"> </w:t>
      </w:r>
    </w:p>
    <w:p w14:paraId="41D4D616" w14:textId="77777777" w:rsidR="000F66F8" w:rsidRPr="003D4D09" w:rsidRDefault="000F66F8" w:rsidP="000F66F8">
      <w:pPr>
        <w:pStyle w:val="PrrafodeSentencia"/>
        <w:keepNext/>
        <w:numPr>
          <w:ilvl w:val="0"/>
          <w:numId w:val="0"/>
        </w:numPr>
        <w:rPr>
          <w:lang w:val="en-US"/>
        </w:rPr>
      </w:pPr>
    </w:p>
    <w:p w14:paraId="1D25DA2B" w14:textId="77777777" w:rsidR="000F66F8" w:rsidRPr="003D4D09" w:rsidRDefault="000F66F8" w:rsidP="000F66F8">
      <w:pPr>
        <w:pStyle w:val="PrrafodeSentencia"/>
        <w:keepNext/>
        <w:numPr>
          <w:ilvl w:val="0"/>
          <w:numId w:val="0"/>
        </w:numPr>
        <w:rPr>
          <w:lang w:val="en-US"/>
        </w:rPr>
      </w:pPr>
      <w:r w:rsidRPr="003D4D09">
        <w:rPr>
          <w:lang w:val="en-US"/>
        </w:rPr>
        <w:t xml:space="preserve">Thus, the Judgment is aligned with the Court’s invariable position that the requirement of prior exhaustion of domestic remedies must be met at the time the Commission takes a decision on the admissibility of the petition and not when the latter is lodged; a position that, as indicated in Part I of this document – and especially in its sections  B, C and D – this opinion does not share, above all, </w:t>
      </w:r>
      <w:r>
        <w:rPr>
          <w:lang w:val="en-US"/>
        </w:rPr>
        <w:t xml:space="preserve">because </w:t>
      </w:r>
      <w:r w:rsidRPr="003D4D09">
        <w:rPr>
          <w:lang w:val="en-US"/>
        </w:rPr>
        <w:t>it runs counter to the express provisions of Article 46(1)(a): by disregarding the qualifying term of “</w:t>
      </w:r>
      <w:r w:rsidRPr="003D4D09">
        <w:rPr>
          <w:i/>
          <w:lang w:val="en-US"/>
        </w:rPr>
        <w:t>lodged</w:t>
      </w:r>
      <w:r w:rsidRPr="003D4D09">
        <w:rPr>
          <w:lang w:val="en-US"/>
        </w:rPr>
        <w:t xml:space="preserve">” attributed to the petition in order to indicate that it is with regard to the petition as lodged that the admissibility or inadmissibility should be declared; by not weighing the State’s observations and the fact that these could only refer to the </w:t>
      </w:r>
      <w:r>
        <w:rPr>
          <w:lang w:val="en-US"/>
        </w:rPr>
        <w:t xml:space="preserve">petition as lodged, which established </w:t>
      </w:r>
      <w:r w:rsidRPr="003D4D09">
        <w:rPr>
          <w:lang w:val="en-US"/>
        </w:rPr>
        <w:t>the adversarial proceeding</w:t>
      </w:r>
      <w:r>
        <w:rPr>
          <w:lang w:val="en-US"/>
        </w:rPr>
        <w:t>s</w:t>
      </w:r>
      <w:r w:rsidRPr="003D4D09">
        <w:rPr>
          <w:lang w:val="en-US"/>
        </w:rPr>
        <w:t xml:space="preserve"> on the matter</w:t>
      </w:r>
      <w:r>
        <w:rPr>
          <w:lang w:val="en-US"/>
        </w:rPr>
        <w:t>, and regarding which the Commission</w:t>
      </w:r>
      <w:r w:rsidRPr="003D4D09">
        <w:rPr>
          <w:lang w:val="en-US"/>
        </w:rPr>
        <w:t xml:space="preserve"> should take a decision and, lastly, by not considering that, in order to decide on admissibility, the Commission should “</w:t>
      </w:r>
      <w:r w:rsidRPr="003D4D09">
        <w:rPr>
          <w:i/>
          <w:lang w:val="en-US"/>
        </w:rPr>
        <w:t>verify,</w:t>
      </w:r>
      <w:r w:rsidRPr="003D4D09">
        <w:rPr>
          <w:lang w:val="en-US"/>
        </w:rPr>
        <w:t>” – that is,</w:t>
      </w:r>
      <w:r>
        <w:rPr>
          <w:lang w:val="en-US"/>
        </w:rPr>
        <w:t xml:space="preserve"> confirm – </w:t>
      </w:r>
      <w:r w:rsidRPr="003D4D09">
        <w:rPr>
          <w:lang w:val="en-US"/>
        </w:rPr>
        <w:t>that the requirement of prior exhaustion of domestic remedie</w:t>
      </w:r>
      <w:r>
        <w:rPr>
          <w:lang w:val="en-US"/>
        </w:rPr>
        <w:t>s has</w:t>
      </w:r>
      <w:r w:rsidRPr="003D4D09">
        <w:rPr>
          <w:lang w:val="en-US"/>
        </w:rPr>
        <w:t xml:space="preserve"> been met, which</w:t>
      </w:r>
      <w:r>
        <w:rPr>
          <w:lang w:val="en-US"/>
        </w:rPr>
        <w:t>,</w:t>
      </w:r>
      <w:r w:rsidRPr="003D4D09">
        <w:rPr>
          <w:lang w:val="en-US"/>
        </w:rPr>
        <w:t xml:space="preserve"> undoubtedly and consequently</w:t>
      </w:r>
      <w:r>
        <w:rPr>
          <w:lang w:val="en-US"/>
        </w:rPr>
        <w:t>,</w:t>
      </w:r>
      <w:r w:rsidRPr="003D4D09">
        <w:rPr>
          <w:lang w:val="en-US"/>
        </w:rPr>
        <w:t xml:space="preserve"> should have occurred before that moment. </w:t>
      </w:r>
    </w:p>
    <w:p w14:paraId="502F64BC" w14:textId="77777777" w:rsidR="000F66F8" w:rsidRPr="003D4D09" w:rsidRDefault="000F66F8" w:rsidP="000F66F8">
      <w:pPr>
        <w:pStyle w:val="PrrafodeSentencia"/>
        <w:keepNext/>
        <w:numPr>
          <w:ilvl w:val="0"/>
          <w:numId w:val="0"/>
        </w:numPr>
        <w:rPr>
          <w:lang w:val="en-US"/>
        </w:rPr>
      </w:pPr>
    </w:p>
    <w:p w14:paraId="45385437" w14:textId="77777777" w:rsidR="000F66F8" w:rsidRPr="003D4D09" w:rsidRDefault="000F66F8" w:rsidP="000F66F8">
      <w:pPr>
        <w:pStyle w:val="PrrafodeSentencia"/>
        <w:keepNext/>
        <w:numPr>
          <w:ilvl w:val="0"/>
          <w:numId w:val="0"/>
        </w:numPr>
        <w:rPr>
          <w:lang w:val="en-US"/>
        </w:rPr>
      </w:pPr>
      <w:r w:rsidRPr="003D4D09">
        <w:rPr>
          <w:lang w:val="en-US"/>
        </w:rPr>
        <w:t xml:space="preserve">It should also be noted that the Judgment appears to contain a contradiction because, when setting out the Court’s second reason for rejecting the preliminary objection in question, it </w:t>
      </w:r>
      <w:r w:rsidRPr="004E3675">
        <w:rPr>
          <w:lang w:val="en-US"/>
        </w:rPr>
        <w:t>affirms that: “</w:t>
      </w:r>
      <w:r w:rsidRPr="004E3675">
        <w:rPr>
          <w:i/>
          <w:spacing w:val="-2"/>
          <w:lang w:val="en-US"/>
        </w:rPr>
        <w:t>[o]</w:t>
      </w:r>
      <w:proofErr w:type="spellStart"/>
      <w:r w:rsidRPr="004E3675">
        <w:rPr>
          <w:i/>
          <w:spacing w:val="-2"/>
          <w:lang w:val="en-US"/>
        </w:rPr>
        <w:t>nce</w:t>
      </w:r>
      <w:proofErr w:type="spellEnd"/>
      <w:r w:rsidRPr="004E3675">
        <w:rPr>
          <w:i/>
          <w:spacing w:val="-2"/>
          <w:lang w:val="en-US"/>
        </w:rPr>
        <w:t xml:space="preserve"> the petition has been forwarded to the State, the admissibility stage starts and, consequently, the adversarial proceedings on whether the petition meets the admissibility requirements, including the requirement of exhaustion of domestic remedies</w:t>
      </w:r>
      <w:r w:rsidRPr="004E3675">
        <w:rPr>
          <w:spacing w:val="-2"/>
          <w:lang w:val="en-US"/>
        </w:rPr>
        <w:t>,” and that “</w:t>
      </w:r>
      <w:r w:rsidRPr="004E3675">
        <w:rPr>
          <w:i/>
          <w:spacing w:val="-2"/>
          <w:lang w:val="en-US"/>
        </w:rPr>
        <w:t>it is when examining admissibility that the Commission decides whether or not the petition complies with this requirement, or whether any of the exceptions established in the Convention are applicable</w:t>
      </w:r>
      <w:r w:rsidRPr="004E3675">
        <w:rPr>
          <w:spacing w:val="-2"/>
          <w:lang w:val="en-US"/>
        </w:rPr>
        <w:t>.</w:t>
      </w:r>
      <w:r w:rsidRPr="004E3675">
        <w:rPr>
          <w:rStyle w:val="FootnoteReference"/>
          <w:lang w:val="en-US"/>
        </w:rPr>
        <w:t xml:space="preserve"> </w:t>
      </w:r>
      <w:r w:rsidRPr="004E3675">
        <w:rPr>
          <w:rStyle w:val="FootnoteReference"/>
          <w:lang w:val="en-US"/>
        </w:rPr>
        <w:footnoteReference w:id="444"/>
      </w:r>
      <w:r w:rsidRPr="004E3675">
        <w:rPr>
          <w:lang w:val="en-US"/>
        </w:rPr>
        <w:t xml:space="preserve"> This appears to suggest that the Judgment follows the</w:t>
      </w:r>
      <w:r w:rsidRPr="003D4D09">
        <w:rPr>
          <w:lang w:val="en-US"/>
        </w:rPr>
        <w:t xml:space="preserve"> thesis set out in this opinion; namely, that it is </w:t>
      </w:r>
      <w:r>
        <w:rPr>
          <w:lang w:val="en-US"/>
        </w:rPr>
        <w:t>on</w:t>
      </w:r>
      <w:r w:rsidRPr="003D4D09">
        <w:rPr>
          <w:lang w:val="en-US"/>
        </w:rPr>
        <w:t xml:space="preserve"> the adversarial </w:t>
      </w:r>
      <w:r w:rsidRPr="003D4D09">
        <w:rPr>
          <w:lang w:val="en-US"/>
        </w:rPr>
        <w:lastRenderedPageBreak/>
        <w:t>proceedings established or co</w:t>
      </w:r>
      <w:r>
        <w:rPr>
          <w:lang w:val="en-US"/>
        </w:rPr>
        <w:t>nstituted</w:t>
      </w:r>
      <w:r w:rsidRPr="003D4D09">
        <w:rPr>
          <w:lang w:val="en-US"/>
        </w:rPr>
        <w:t xml:space="preserve"> by the petition and the corresponding observations of the State that the Commission’s decision on the admissibility or inadmissibility of the “</w:t>
      </w:r>
      <w:r w:rsidRPr="003D4D09">
        <w:rPr>
          <w:i/>
          <w:lang w:val="en-US"/>
        </w:rPr>
        <w:t>lodged</w:t>
      </w:r>
      <w:r>
        <w:rPr>
          <w:lang w:val="en-US"/>
        </w:rPr>
        <w:t>” petition should be based</w:t>
      </w:r>
      <w:r w:rsidRPr="003D4D09">
        <w:rPr>
          <w:lang w:val="en-US"/>
        </w:rPr>
        <w:t>.</w:t>
      </w:r>
    </w:p>
    <w:p w14:paraId="1D03AC9B" w14:textId="77777777" w:rsidR="000F66F8" w:rsidRPr="003D4D09" w:rsidRDefault="000F66F8" w:rsidP="000F66F8">
      <w:pPr>
        <w:pStyle w:val="PrrafodeSentencia"/>
        <w:keepNext/>
        <w:numPr>
          <w:ilvl w:val="0"/>
          <w:numId w:val="0"/>
        </w:numPr>
        <w:rPr>
          <w:lang w:val="en-US"/>
        </w:rPr>
      </w:pPr>
    </w:p>
    <w:p w14:paraId="31017BFE" w14:textId="77777777" w:rsidR="000F66F8" w:rsidRPr="003D4D09" w:rsidRDefault="000F66F8" w:rsidP="000F66F8">
      <w:pPr>
        <w:pStyle w:val="PrrafodeSentencia"/>
        <w:keepNext/>
        <w:numPr>
          <w:ilvl w:val="0"/>
          <w:numId w:val="0"/>
        </w:numPr>
        <w:rPr>
          <w:lang w:val="en-US"/>
        </w:rPr>
      </w:pPr>
      <w:r w:rsidRPr="003D4D09">
        <w:rPr>
          <w:lang w:val="en-US"/>
        </w:rPr>
        <w:t>However, this is not so. The second reason indicated in the Judgment to reject the said preliminary objection is that</w:t>
      </w:r>
      <w:r w:rsidRPr="003D4D09">
        <w:rPr>
          <w:i/>
          <w:lang w:val="en-US"/>
        </w:rPr>
        <w:t xml:space="preserve"> </w:t>
      </w:r>
      <w:r w:rsidRPr="003D4D09">
        <w:rPr>
          <w:lang w:val="en-US"/>
        </w:rPr>
        <w:t>“</w:t>
      </w:r>
      <w:r w:rsidRPr="003D4D09">
        <w:rPr>
          <w:i/>
          <w:lang w:val="en-US"/>
        </w:rPr>
        <w:t xml:space="preserve">the Commission’s Rules of Procedure </w:t>
      </w:r>
      <w:r w:rsidRPr="003D4D09">
        <w:rPr>
          <w:i/>
          <w:spacing w:val="-2"/>
          <w:lang w:val="en-US"/>
        </w:rPr>
        <w:t>make a distinction</w:t>
      </w:r>
      <w:r w:rsidRPr="003D4D09">
        <w:rPr>
          <w:spacing w:val="-2"/>
          <w:lang w:val="en-US"/>
        </w:rPr>
        <w:t xml:space="preserve"> </w:t>
      </w:r>
      <w:r w:rsidRPr="003D4D09">
        <w:rPr>
          <w:i/>
          <w:spacing w:val="-2"/>
          <w:lang w:val="en-US"/>
        </w:rPr>
        <w:t>between the time at which the initial processing is carried out, when it only examines whether the petition includes information on “any steps taken to exhaust domestic remedies, or the impossibility of doing so,” and the moment when it decides on admissibility, when it determines whether such remedies were exhausted, or applies an exception to this requirement.</w:t>
      </w:r>
      <w:r w:rsidRPr="003D4D09">
        <w:rPr>
          <w:lang w:val="en-US"/>
        </w:rPr>
        <w:t>”</w:t>
      </w:r>
      <w:r w:rsidRPr="003D4D09">
        <w:rPr>
          <w:rStyle w:val="FootnoteReference"/>
          <w:lang w:val="en-US"/>
        </w:rPr>
        <w:footnoteReference w:id="445"/>
      </w:r>
      <w:r w:rsidRPr="003D4D09">
        <w:rPr>
          <w:lang w:val="en-US"/>
        </w:rPr>
        <w:t xml:space="preserve"> Thus, the Judgment appears to lessen the obligation contained in Article 28(h)</w:t>
      </w:r>
      <w:r w:rsidRPr="003D4D09">
        <w:rPr>
          <w:color w:val="FF0000"/>
          <w:lang w:val="en-US"/>
        </w:rPr>
        <w:t xml:space="preserve"> </w:t>
      </w:r>
      <w:r w:rsidRPr="003D4D09">
        <w:rPr>
          <w:lang w:val="en-US"/>
        </w:rPr>
        <w:t xml:space="preserve">of the Commission’s Rules of Procedure or </w:t>
      </w:r>
      <w:r>
        <w:rPr>
          <w:lang w:val="en-US"/>
        </w:rPr>
        <w:t xml:space="preserve">to </w:t>
      </w:r>
      <w:r w:rsidRPr="003D4D09">
        <w:rPr>
          <w:lang w:val="en-US"/>
        </w:rPr>
        <w:t>place the emphasis on the fact that the petition must include “</w:t>
      </w:r>
      <w:r w:rsidRPr="003D4D09">
        <w:rPr>
          <w:i/>
          <w:spacing w:val="-2"/>
          <w:lang w:val="en-US"/>
        </w:rPr>
        <w:t>information</w:t>
      </w:r>
      <w:r>
        <w:rPr>
          <w:i/>
          <w:spacing w:val="-2"/>
          <w:lang w:val="en-US"/>
        </w:rPr>
        <w:t>,</w:t>
      </w:r>
      <w:r w:rsidRPr="003D4D09">
        <w:rPr>
          <w:i/>
          <w:spacing w:val="-2"/>
          <w:lang w:val="en-US"/>
        </w:rPr>
        <w:t>”</w:t>
      </w:r>
      <w:r w:rsidRPr="003D4D09">
        <w:rPr>
          <w:spacing w:val="-2"/>
          <w:lang w:val="en-US"/>
        </w:rPr>
        <w:t xml:space="preserve"> </w:t>
      </w:r>
      <w:r>
        <w:rPr>
          <w:spacing w:val="-2"/>
          <w:lang w:val="en-US"/>
        </w:rPr>
        <w:t>rather than</w:t>
      </w:r>
      <w:r w:rsidRPr="003D4D09">
        <w:rPr>
          <w:spacing w:val="-2"/>
          <w:lang w:val="en-US"/>
        </w:rPr>
        <w:t xml:space="preserve"> that this information must be specifically on “</w:t>
      </w:r>
      <w:r w:rsidRPr="003D4D09">
        <w:rPr>
          <w:i/>
          <w:spacing w:val="-2"/>
          <w:lang w:val="en-US"/>
        </w:rPr>
        <w:t>any steps taken to exhaust domestic remedies, or the impossibility of doing so.”</w:t>
      </w:r>
      <w:r w:rsidRPr="003D4D09">
        <w:rPr>
          <w:spacing w:val="-2"/>
          <w:lang w:val="en-US"/>
        </w:rPr>
        <w:t xml:space="preserve"> In other words, it appears that, according to the Judgment, it is sufficient that a general mention is made of some information on such steps in order to meet the requirement to consider the petition, and not that the steps taken up until that time – that is, up until the lodging of the petition - to exhaust such remedies are indicated clearly and specifically.</w:t>
      </w:r>
    </w:p>
    <w:p w14:paraId="20FE9644" w14:textId="77777777" w:rsidR="000F66F8" w:rsidRPr="003D4D09" w:rsidRDefault="000F66F8" w:rsidP="000F66F8">
      <w:pPr>
        <w:keepNext/>
        <w:autoSpaceDE w:val="0"/>
        <w:autoSpaceDN w:val="0"/>
        <w:adjustRightInd w:val="0"/>
        <w:rPr>
          <w:szCs w:val="20"/>
          <w:lang w:val="en-US"/>
        </w:rPr>
      </w:pPr>
    </w:p>
    <w:p w14:paraId="61D7841F" w14:textId="77777777" w:rsidR="000F66F8" w:rsidRPr="003D4D09" w:rsidRDefault="000F66F8" w:rsidP="000F66F8">
      <w:pPr>
        <w:keepNext/>
        <w:autoSpaceDE w:val="0"/>
        <w:autoSpaceDN w:val="0"/>
        <w:adjustRightInd w:val="0"/>
        <w:rPr>
          <w:szCs w:val="20"/>
          <w:lang w:val="en-US"/>
        </w:rPr>
      </w:pPr>
      <w:r w:rsidRPr="001D5A7B">
        <w:rPr>
          <w:szCs w:val="20"/>
          <w:lang w:val="en-US"/>
        </w:rPr>
        <w:t>To the contrary, this opinion affirms that the obligation established in Article 28(h) is not</w:t>
      </w:r>
      <w:r w:rsidRPr="003D4D09">
        <w:rPr>
          <w:szCs w:val="20"/>
          <w:lang w:val="en-US"/>
        </w:rPr>
        <w:t xml:space="preserve"> merely that of providing “</w:t>
      </w:r>
      <w:r w:rsidRPr="003D4D09">
        <w:rPr>
          <w:i/>
          <w:szCs w:val="20"/>
          <w:lang w:val="en-US"/>
        </w:rPr>
        <w:t>information</w:t>
      </w:r>
      <w:r w:rsidRPr="003D4D09">
        <w:rPr>
          <w:szCs w:val="20"/>
          <w:lang w:val="en-US"/>
        </w:rPr>
        <w:t xml:space="preserve">” that steps were taken, but rather to provide </w:t>
      </w:r>
      <w:r>
        <w:rPr>
          <w:szCs w:val="20"/>
          <w:lang w:val="en-US"/>
        </w:rPr>
        <w:t xml:space="preserve">specific </w:t>
      </w:r>
      <w:r w:rsidRPr="003D4D09">
        <w:rPr>
          <w:szCs w:val="20"/>
          <w:lang w:val="en-US"/>
        </w:rPr>
        <w:t>“</w:t>
      </w:r>
      <w:r w:rsidRPr="003D4D09">
        <w:rPr>
          <w:i/>
          <w:szCs w:val="20"/>
          <w:lang w:val="en-US"/>
        </w:rPr>
        <w:t>information</w:t>
      </w:r>
      <w:r w:rsidRPr="003D4D09">
        <w:rPr>
          <w:szCs w:val="20"/>
          <w:lang w:val="en-US"/>
        </w:rPr>
        <w:t xml:space="preserve">” on </w:t>
      </w:r>
      <w:r w:rsidRPr="003D4D09">
        <w:rPr>
          <w:spacing w:val="-2"/>
          <w:lang w:val="en-US"/>
        </w:rPr>
        <w:t>“</w:t>
      </w:r>
      <w:r w:rsidRPr="003D4D09">
        <w:rPr>
          <w:i/>
          <w:spacing w:val="-2"/>
          <w:lang w:val="en-US"/>
        </w:rPr>
        <w:t xml:space="preserve">any steps taken to exhaust domestic remedies, or the impossibility of doing so.” </w:t>
      </w:r>
      <w:r w:rsidRPr="003D4D09">
        <w:rPr>
          <w:spacing w:val="-2"/>
          <w:lang w:val="en-US"/>
        </w:rPr>
        <w:t xml:space="preserve">Hence, the obligation consists in describing the steps specifically taken </w:t>
      </w:r>
      <w:r>
        <w:rPr>
          <w:spacing w:val="-2"/>
          <w:lang w:val="en-US"/>
        </w:rPr>
        <w:t>which mean</w:t>
      </w:r>
      <w:r w:rsidRPr="003D4D09">
        <w:rPr>
          <w:spacing w:val="-2"/>
          <w:lang w:val="en-US"/>
        </w:rPr>
        <w:t xml:space="preserve"> that the said remedies have already been exhausted or indicating the impossibility of exhausting them. This obligation does not consist, consequently, in providing general information that steps were taken, but in providing specific information on the steps that were taken and that prove that either the domestic remedies were exhausted, or that it was impossible to do this.</w:t>
      </w:r>
    </w:p>
    <w:p w14:paraId="23F475CD" w14:textId="77777777" w:rsidR="000F66F8" w:rsidRPr="003D4D09" w:rsidRDefault="000F66F8" w:rsidP="000F66F8">
      <w:pPr>
        <w:pStyle w:val="PrrafodeSentencia"/>
        <w:keepNext/>
        <w:numPr>
          <w:ilvl w:val="0"/>
          <w:numId w:val="0"/>
        </w:numPr>
        <w:rPr>
          <w:lang w:val="en-US"/>
        </w:rPr>
      </w:pPr>
    </w:p>
    <w:p w14:paraId="7457F975" w14:textId="77777777" w:rsidR="000F66F8" w:rsidRPr="003D4D09" w:rsidRDefault="000F66F8" w:rsidP="000F66F8">
      <w:pPr>
        <w:pStyle w:val="PrrafodeSentencia"/>
        <w:keepNext/>
        <w:numPr>
          <w:ilvl w:val="0"/>
          <w:numId w:val="0"/>
        </w:numPr>
        <w:rPr>
          <w:rFonts w:cs="Verdana"/>
          <w:spacing w:val="-2"/>
          <w:lang w:val="en-US"/>
        </w:rPr>
      </w:pPr>
      <w:r w:rsidRPr="003D4D09">
        <w:rPr>
          <w:lang w:val="en-US"/>
        </w:rPr>
        <w:t>The third reason cited by the Judgment to reject the objection in question is indicated as follows: “</w:t>
      </w:r>
      <w:r w:rsidRPr="003D4D09">
        <w:rPr>
          <w:i/>
          <w:lang w:val="en-US"/>
        </w:rPr>
        <w:t>[t]he</w:t>
      </w:r>
      <w:r w:rsidRPr="003D4D09">
        <w:rPr>
          <w:spacing w:val="-2"/>
          <w:lang w:val="en-US"/>
        </w:rPr>
        <w:t xml:space="preserve"> </w:t>
      </w:r>
      <w:r w:rsidRPr="003D4D09">
        <w:rPr>
          <w:i/>
          <w:spacing w:val="-2"/>
          <w:lang w:val="en-US"/>
        </w:rPr>
        <w:t>Court recalls that the rule of prior exhaustion of domestic remedies was conceived in the interests of the State, because it seeks to exempt it from responding before an international organ for acts it is accused of before it has had the occasion to remedy them by its own means. Nevertheless, the subsidiary nature of the inter-American system is not affected by the fact that the analysis of compliance with the requirement of exhaustion of domestic remedies is made based on the situation when a decision is taken on a petition’s admissibility. To the contrary, if any domestic remedy is pending, the State has the opportunity to resolve the situation alleged during the admissibility stage</w:t>
      </w:r>
      <w:r w:rsidRPr="003D4D09">
        <w:rPr>
          <w:spacing w:val="-2"/>
          <w:lang w:val="en-US"/>
        </w:rPr>
        <w:t>.</w:t>
      </w:r>
      <w:r w:rsidRPr="003D4D09">
        <w:rPr>
          <w:lang w:val="en-US"/>
        </w:rPr>
        <w:t>”</w:t>
      </w:r>
      <w:r w:rsidRPr="003D4D09">
        <w:rPr>
          <w:rStyle w:val="FootnoteReference"/>
          <w:lang w:val="en-US"/>
        </w:rPr>
        <w:footnoteReference w:id="446"/>
      </w:r>
      <w:r w:rsidRPr="003D4D09">
        <w:rPr>
          <w:lang w:val="en-US"/>
        </w:rPr>
        <w:t xml:space="preserve"> </w:t>
      </w:r>
    </w:p>
    <w:p w14:paraId="6E0A0259" w14:textId="77777777" w:rsidR="000F66F8" w:rsidRPr="003D4D09" w:rsidRDefault="000F66F8" w:rsidP="000F66F8">
      <w:pPr>
        <w:pStyle w:val="PrrafodeSentencia"/>
        <w:keepNext/>
        <w:numPr>
          <w:ilvl w:val="0"/>
          <w:numId w:val="0"/>
        </w:numPr>
        <w:rPr>
          <w:lang w:val="en-US"/>
        </w:rPr>
      </w:pPr>
    </w:p>
    <w:p w14:paraId="1109127C" w14:textId="77777777" w:rsidR="000F66F8" w:rsidRPr="003D4D09" w:rsidRDefault="000F66F8" w:rsidP="000F66F8">
      <w:pPr>
        <w:pStyle w:val="PrrafodeSentencia"/>
        <w:keepNext/>
        <w:numPr>
          <w:ilvl w:val="0"/>
          <w:numId w:val="0"/>
        </w:numPr>
        <w:rPr>
          <w:lang w:val="en-US"/>
        </w:rPr>
      </w:pPr>
      <w:r w:rsidRPr="003D4D09">
        <w:rPr>
          <w:lang w:val="en-US"/>
        </w:rPr>
        <w:t xml:space="preserve">With this assertion, the Judgment forgets that compliance with the rule of prior exhaustion of domestic remedies is basically an obligation that, even though it may benefit the State or be in its interests, is essentially </w:t>
      </w:r>
      <w:r>
        <w:rPr>
          <w:lang w:val="en-US"/>
        </w:rPr>
        <w:t>required of</w:t>
      </w:r>
      <w:r w:rsidRPr="003D4D09">
        <w:rPr>
          <w:lang w:val="en-US"/>
        </w:rPr>
        <w:t xml:space="preserve"> the petitioner; in other words, it is the petitioner who must comply</w:t>
      </w:r>
      <w:r>
        <w:rPr>
          <w:lang w:val="en-US"/>
        </w:rPr>
        <w:t xml:space="preserve"> with it</w:t>
      </w:r>
      <w:r w:rsidRPr="003D4D09">
        <w:rPr>
          <w:lang w:val="en-US"/>
        </w:rPr>
        <w:t>. The Judgment, to the contrary, seems to</w:t>
      </w:r>
      <w:r>
        <w:rPr>
          <w:lang w:val="en-US"/>
        </w:rPr>
        <w:t xml:space="preserve"> understand that this rule is a State</w:t>
      </w:r>
      <w:r w:rsidRPr="003D4D09">
        <w:rPr>
          <w:lang w:val="en-US"/>
        </w:rPr>
        <w:t xml:space="preserve"> obligation, because it indicates that, if any remedy is pending, the State can resolve or re</w:t>
      </w:r>
      <w:r>
        <w:rPr>
          <w:lang w:val="en-US"/>
        </w:rPr>
        <w:t>ctify the</w:t>
      </w:r>
      <w:r w:rsidRPr="003D4D09">
        <w:rPr>
          <w:lang w:val="en-US"/>
        </w:rPr>
        <w:t xml:space="preserve"> situation. </w:t>
      </w:r>
      <w:r>
        <w:rPr>
          <w:lang w:val="en-US"/>
        </w:rPr>
        <w:t xml:space="preserve">However, </w:t>
      </w:r>
      <w:r w:rsidRPr="003D4D09">
        <w:rPr>
          <w:lang w:val="en-US"/>
        </w:rPr>
        <w:t xml:space="preserve">with this phrase, the Court is </w:t>
      </w:r>
      <w:r>
        <w:rPr>
          <w:lang w:val="en-US"/>
        </w:rPr>
        <w:t xml:space="preserve">also </w:t>
      </w:r>
      <w:r w:rsidRPr="003D4D09">
        <w:rPr>
          <w:lang w:val="en-US"/>
        </w:rPr>
        <w:t xml:space="preserve">providing an incentive for </w:t>
      </w:r>
      <w:r>
        <w:rPr>
          <w:lang w:val="en-US"/>
        </w:rPr>
        <w:t>lodging</w:t>
      </w:r>
      <w:r w:rsidRPr="003D4D09">
        <w:rPr>
          <w:lang w:val="en-US"/>
        </w:rPr>
        <w:t xml:space="preserve"> </w:t>
      </w:r>
      <w:r>
        <w:rPr>
          <w:lang w:val="en-US"/>
        </w:rPr>
        <w:t>petitions before the Commission</w:t>
      </w:r>
      <w:r w:rsidRPr="003D4D09">
        <w:rPr>
          <w:lang w:val="en-US"/>
        </w:rPr>
        <w:t xml:space="preserve"> even if domestic remedies have not been exhausted, because th</w:t>
      </w:r>
      <w:r>
        <w:rPr>
          <w:lang w:val="en-US"/>
        </w:rPr>
        <w:t>ese can be exhausted later;</w:t>
      </w:r>
      <w:r w:rsidRPr="003D4D09">
        <w:rPr>
          <w:lang w:val="en-US"/>
        </w:rPr>
        <w:t xml:space="preserve"> thus making it </w:t>
      </w:r>
      <w:r w:rsidRPr="003D4D09">
        <w:rPr>
          <w:lang w:val="en-US"/>
        </w:rPr>
        <w:lastRenderedPageBreak/>
        <w:t>possible for the domestic jurisdiction to co-exist with the inter-American jurisdiction in the same case.</w:t>
      </w:r>
    </w:p>
    <w:p w14:paraId="2416E628" w14:textId="77777777" w:rsidR="000F66F8" w:rsidRPr="003D4D09" w:rsidRDefault="000F66F8" w:rsidP="000F66F8">
      <w:pPr>
        <w:pStyle w:val="PrrafodeSentencia"/>
        <w:keepNext/>
        <w:numPr>
          <w:ilvl w:val="0"/>
          <w:numId w:val="0"/>
        </w:numPr>
        <w:rPr>
          <w:lang w:val="en-US"/>
        </w:rPr>
      </w:pPr>
    </w:p>
    <w:p w14:paraId="1D884E78" w14:textId="77777777" w:rsidR="000F66F8" w:rsidRPr="003D4D09" w:rsidRDefault="000F66F8" w:rsidP="000F66F8">
      <w:pPr>
        <w:pStyle w:val="PrrafodeSentencia"/>
        <w:keepNext/>
        <w:numPr>
          <w:ilvl w:val="0"/>
          <w:numId w:val="0"/>
        </w:numPr>
        <w:rPr>
          <w:lang w:val="en-US"/>
        </w:rPr>
      </w:pPr>
      <w:r w:rsidRPr="003D4D09">
        <w:rPr>
          <w:lang w:val="en-US"/>
        </w:rPr>
        <w:t xml:space="preserve">In addition, the Judgment appears to disregard the fact that it is not for the State to exhaust the remedies, but rather, when appropriate, it corresponds to the State to decide the situation alleged in the remedies that the petitioner has filed in its jurisdiction and, if the petitioner has not filed any remedies or if they are pending, it is not incumbent on the State to provide any solution, because its international responsibility has not yet </w:t>
      </w:r>
      <w:r w:rsidRPr="00F13501">
        <w:rPr>
          <w:lang w:val="en-US"/>
        </w:rPr>
        <w:t>been</w:t>
      </w:r>
      <w:r>
        <w:rPr>
          <w:lang w:val="en-US"/>
        </w:rPr>
        <w:t xml:space="preserve"> engaged</w:t>
      </w:r>
      <w:r w:rsidRPr="00F13501">
        <w:rPr>
          <w:lang w:val="en-US"/>
        </w:rPr>
        <w:t>.</w:t>
      </w:r>
    </w:p>
    <w:p w14:paraId="11372571" w14:textId="77777777" w:rsidR="000F66F8" w:rsidRPr="003D4D09" w:rsidRDefault="000F66F8" w:rsidP="000F66F8">
      <w:pPr>
        <w:pStyle w:val="PrrafodeSentencia"/>
        <w:keepNext/>
        <w:numPr>
          <w:ilvl w:val="0"/>
          <w:numId w:val="0"/>
        </w:numPr>
        <w:rPr>
          <w:lang w:val="en-US"/>
        </w:rPr>
      </w:pPr>
    </w:p>
    <w:p w14:paraId="0BA41D58" w14:textId="77777777" w:rsidR="000F66F8" w:rsidRPr="003D4D09" w:rsidRDefault="000F66F8" w:rsidP="000F66F8">
      <w:pPr>
        <w:pStyle w:val="PrrafodeSentencia"/>
        <w:keepNext/>
        <w:numPr>
          <w:ilvl w:val="0"/>
          <w:numId w:val="0"/>
        </w:numPr>
        <w:rPr>
          <w:spacing w:val="-2"/>
          <w:lang w:val="en-US"/>
        </w:rPr>
      </w:pPr>
      <w:r w:rsidRPr="003D4D09">
        <w:rPr>
          <w:rFonts w:eastAsia="Calibri"/>
          <w:spacing w:val="0"/>
          <w:lang w:val="en-US" w:eastAsia="en-US"/>
        </w:rPr>
        <w:t>The fourth reason cited by the Judgment for not admitting the objection in question is as follows: “</w:t>
      </w:r>
      <w:r w:rsidRPr="003D4D09">
        <w:rPr>
          <w:i/>
          <w:lang w:val="en-US"/>
        </w:rPr>
        <w:t>[</w:t>
      </w:r>
      <w:proofErr w:type="spellStart"/>
      <w:r>
        <w:rPr>
          <w:i/>
          <w:lang w:val="en-US"/>
        </w:rPr>
        <w:t>i</w:t>
      </w:r>
      <w:proofErr w:type="spellEnd"/>
      <w:r w:rsidRPr="003D4D09">
        <w:rPr>
          <w:i/>
          <w:lang w:val="en-US"/>
        </w:rPr>
        <w:t xml:space="preserve">]n </w:t>
      </w:r>
      <w:r w:rsidRPr="003D4D09">
        <w:rPr>
          <w:i/>
          <w:spacing w:val="-2"/>
          <w:lang w:val="en-US"/>
        </w:rPr>
        <w:t>addition, the Court considers that it would be contrary to the principle of procedural economy if petitions were not admitted based on the fact that, at the time of the initial presentation, domestic remedies had not been exhausted and if, when the admissibility of these</w:t>
      </w:r>
      <w:r>
        <w:rPr>
          <w:i/>
          <w:spacing w:val="-2"/>
          <w:lang w:val="en-US"/>
        </w:rPr>
        <w:t xml:space="preserve"> remedies was analyzed, they have </w:t>
      </w:r>
      <w:r w:rsidRPr="003D4D09">
        <w:rPr>
          <w:i/>
          <w:spacing w:val="-2"/>
          <w:lang w:val="en-US"/>
        </w:rPr>
        <w:t>been exhausted. The European Court of Human Rights […] has ruled similarly in some cases, as has the International Court of Justice in relation to access to its jurisdiction.</w:t>
      </w:r>
      <w:r w:rsidRPr="003D4D09">
        <w:rPr>
          <w:lang w:val="en-US"/>
        </w:rPr>
        <w:t>”</w:t>
      </w:r>
      <w:r w:rsidRPr="003D4D09">
        <w:rPr>
          <w:rStyle w:val="FootnoteReference"/>
          <w:lang w:val="en-US"/>
        </w:rPr>
        <w:footnoteReference w:id="447"/>
      </w:r>
    </w:p>
    <w:p w14:paraId="320682C6" w14:textId="77777777" w:rsidR="000F66F8" w:rsidRPr="003D4D09" w:rsidRDefault="000F66F8" w:rsidP="000F66F8">
      <w:pPr>
        <w:pStyle w:val="NormalWeb"/>
        <w:keepNext/>
        <w:spacing w:before="0" w:beforeAutospacing="0" w:after="0" w:afterAutospacing="0"/>
        <w:jc w:val="both"/>
        <w:rPr>
          <w:rFonts w:ascii="Verdana" w:hAnsi="Verdana"/>
          <w:sz w:val="20"/>
          <w:szCs w:val="20"/>
          <w:lang w:val="en-US"/>
        </w:rPr>
      </w:pPr>
    </w:p>
    <w:p w14:paraId="3ED3BC8C" w14:textId="77777777" w:rsidR="000F66F8" w:rsidRPr="003D4D09" w:rsidRDefault="000F66F8" w:rsidP="000F66F8">
      <w:pPr>
        <w:pStyle w:val="NormalWeb"/>
        <w:keepNext/>
        <w:spacing w:before="0" w:beforeAutospacing="0" w:after="0" w:afterAutospacing="0"/>
        <w:jc w:val="both"/>
        <w:rPr>
          <w:rFonts w:ascii="Verdana" w:hAnsi="Verdana"/>
          <w:sz w:val="20"/>
          <w:szCs w:val="20"/>
          <w:lang w:val="en-US"/>
        </w:rPr>
      </w:pPr>
      <w:r w:rsidRPr="003D4D09">
        <w:rPr>
          <w:rFonts w:ascii="Verdana" w:hAnsi="Verdana"/>
          <w:sz w:val="20"/>
          <w:szCs w:val="20"/>
          <w:lang w:val="en-US"/>
        </w:rPr>
        <w:t>With the reference to procedural economy, the Judgment</w:t>
      </w:r>
      <w:r>
        <w:rPr>
          <w:rFonts w:ascii="Verdana" w:hAnsi="Verdana"/>
          <w:sz w:val="20"/>
          <w:szCs w:val="20"/>
          <w:lang w:val="en-US"/>
        </w:rPr>
        <w:t xml:space="preserve"> provides more direct encouragement. Hence, it is necessary to </w:t>
      </w:r>
      <w:r w:rsidRPr="003D4D09">
        <w:rPr>
          <w:rFonts w:ascii="Verdana" w:hAnsi="Verdana"/>
          <w:sz w:val="20"/>
          <w:szCs w:val="20"/>
          <w:lang w:val="en-US"/>
        </w:rPr>
        <w:t xml:space="preserve">reiterate the assertion made previously in this </w:t>
      </w:r>
      <w:r>
        <w:rPr>
          <w:rFonts w:ascii="Verdana" w:hAnsi="Verdana"/>
          <w:sz w:val="20"/>
          <w:szCs w:val="20"/>
          <w:lang w:val="en-US"/>
        </w:rPr>
        <w:t>opinion</w:t>
      </w:r>
      <w:r w:rsidRPr="003D4D09">
        <w:rPr>
          <w:rFonts w:ascii="Verdana" w:hAnsi="Verdana"/>
          <w:sz w:val="20"/>
          <w:szCs w:val="20"/>
          <w:lang w:val="en-US"/>
        </w:rPr>
        <w:t xml:space="preserve"> that</w:t>
      </w:r>
      <w:r>
        <w:rPr>
          <w:rFonts w:ascii="Verdana" w:hAnsi="Verdana"/>
          <w:sz w:val="20"/>
          <w:szCs w:val="20"/>
          <w:lang w:val="en-US"/>
        </w:rPr>
        <w:t>,</w:t>
      </w:r>
      <w:r w:rsidRPr="003D4D09">
        <w:rPr>
          <w:rFonts w:ascii="Verdana" w:hAnsi="Verdana"/>
          <w:sz w:val="20"/>
          <w:szCs w:val="20"/>
          <w:lang w:val="en-US"/>
        </w:rPr>
        <w:t xml:space="preserve"> if was not compulsory to have exhausted domestic remedies before </w:t>
      </w:r>
      <w:r>
        <w:rPr>
          <w:rFonts w:ascii="Verdana" w:hAnsi="Verdana"/>
          <w:sz w:val="20"/>
          <w:szCs w:val="20"/>
          <w:lang w:val="en-US"/>
        </w:rPr>
        <w:t>lodging</w:t>
      </w:r>
      <w:r w:rsidRPr="003D4D09">
        <w:rPr>
          <w:rFonts w:ascii="Verdana" w:hAnsi="Verdana"/>
          <w:sz w:val="20"/>
          <w:szCs w:val="20"/>
          <w:lang w:val="en-US"/>
        </w:rPr>
        <w:t xml:space="preserve"> the petition, it would be permissible that, at least for a time, the same case </w:t>
      </w:r>
      <w:r>
        <w:rPr>
          <w:rFonts w:ascii="Verdana" w:hAnsi="Verdana"/>
          <w:sz w:val="20"/>
          <w:szCs w:val="20"/>
          <w:lang w:val="en-US"/>
        </w:rPr>
        <w:t>could be</w:t>
      </w:r>
      <w:r w:rsidRPr="003D4D09">
        <w:rPr>
          <w:rFonts w:ascii="Verdana" w:hAnsi="Verdana"/>
          <w:sz w:val="20"/>
          <w:szCs w:val="20"/>
          <w:lang w:val="en-US"/>
        </w:rPr>
        <w:t xml:space="preserve"> examined simultaneously by the domestic jurisdiction and the inte</w:t>
      </w:r>
      <w:r>
        <w:rPr>
          <w:rFonts w:ascii="Verdana" w:hAnsi="Verdana"/>
          <w:sz w:val="20"/>
          <w:szCs w:val="20"/>
          <w:lang w:val="en-US"/>
        </w:rPr>
        <w:t>rnational jurisdiction, and</w:t>
      </w:r>
      <w:r w:rsidRPr="003D4D09">
        <w:rPr>
          <w:rFonts w:ascii="Verdana" w:hAnsi="Verdana"/>
          <w:sz w:val="20"/>
          <w:szCs w:val="20"/>
          <w:lang w:val="en-US"/>
        </w:rPr>
        <w:t xml:space="preserve"> this could constitute a perverse incentive to lodge petitions before the Commission even when the said requirement has not been met, in the hope that it can be </w:t>
      </w:r>
      <w:r>
        <w:rPr>
          <w:rFonts w:ascii="Verdana" w:hAnsi="Verdana"/>
          <w:sz w:val="20"/>
          <w:szCs w:val="20"/>
          <w:lang w:val="en-US"/>
        </w:rPr>
        <w:t>complied with</w:t>
      </w:r>
      <w:r w:rsidRPr="003D4D09">
        <w:rPr>
          <w:rFonts w:ascii="Verdana" w:hAnsi="Verdana"/>
          <w:sz w:val="20"/>
          <w:szCs w:val="20"/>
          <w:lang w:val="en-US"/>
        </w:rPr>
        <w:t xml:space="preserve"> before the Co</w:t>
      </w:r>
      <w:r>
        <w:rPr>
          <w:rFonts w:ascii="Verdana" w:hAnsi="Verdana"/>
          <w:sz w:val="20"/>
          <w:szCs w:val="20"/>
          <w:lang w:val="en-US"/>
        </w:rPr>
        <w:t xml:space="preserve">mmission takes a decision on their </w:t>
      </w:r>
      <w:r w:rsidRPr="003D4D09">
        <w:rPr>
          <w:rFonts w:ascii="Verdana" w:hAnsi="Verdana"/>
          <w:sz w:val="20"/>
          <w:szCs w:val="20"/>
          <w:lang w:val="en-US"/>
        </w:rPr>
        <w:t xml:space="preserve">admissibility. Evidently, that possibility was not </w:t>
      </w:r>
      <w:r>
        <w:rPr>
          <w:rFonts w:ascii="Verdana" w:hAnsi="Verdana"/>
          <w:sz w:val="20"/>
          <w:szCs w:val="20"/>
          <w:lang w:val="en-US"/>
        </w:rPr>
        <w:t>envisaged</w:t>
      </w:r>
      <w:r w:rsidRPr="003D4D09">
        <w:rPr>
          <w:rFonts w:ascii="Verdana" w:hAnsi="Verdana"/>
          <w:sz w:val="20"/>
          <w:szCs w:val="20"/>
          <w:lang w:val="en-US"/>
        </w:rPr>
        <w:t xml:space="preserve"> or </w:t>
      </w:r>
      <w:r>
        <w:rPr>
          <w:rFonts w:ascii="Verdana" w:hAnsi="Verdana"/>
          <w:sz w:val="20"/>
          <w:szCs w:val="20"/>
          <w:lang w:val="en-US"/>
        </w:rPr>
        <w:t>sought</w:t>
      </w:r>
      <w:r w:rsidRPr="003D4D09">
        <w:rPr>
          <w:rFonts w:ascii="Verdana" w:hAnsi="Verdana"/>
          <w:sz w:val="20"/>
          <w:szCs w:val="20"/>
          <w:lang w:val="en-US"/>
        </w:rPr>
        <w:t xml:space="preserve"> by </w:t>
      </w:r>
      <w:r w:rsidRPr="003D4D09">
        <w:rPr>
          <w:rFonts w:ascii="Verdana" w:hAnsi="Verdana" w:cs="Calibri"/>
          <w:sz w:val="20"/>
          <w:szCs w:val="20"/>
          <w:lang w:val="en-US"/>
        </w:rPr>
        <w:t>the Convention.</w:t>
      </w:r>
    </w:p>
    <w:p w14:paraId="5BF51FCC"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65D1C640"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Pr>
          <w:rFonts w:ascii="Verdana" w:hAnsi="Verdana" w:cs="Calibri"/>
          <w:sz w:val="20"/>
          <w:szCs w:val="20"/>
          <w:lang w:val="en-US"/>
        </w:rPr>
        <w:t>F</w:t>
      </w:r>
      <w:r w:rsidRPr="003D4D09">
        <w:rPr>
          <w:rFonts w:ascii="Verdana" w:hAnsi="Verdana" w:cs="Calibri"/>
          <w:sz w:val="20"/>
          <w:szCs w:val="20"/>
          <w:lang w:val="en-US"/>
        </w:rPr>
        <w:t>urthermore, regarding the references to precedents in the case of the Europe</w:t>
      </w:r>
      <w:r>
        <w:rPr>
          <w:rFonts w:ascii="Verdana" w:hAnsi="Verdana" w:cs="Calibri"/>
          <w:sz w:val="20"/>
          <w:szCs w:val="20"/>
          <w:lang w:val="en-US"/>
        </w:rPr>
        <w:t xml:space="preserve">an Court of Human Rights and </w:t>
      </w:r>
      <w:r w:rsidRPr="003D4D09">
        <w:rPr>
          <w:rFonts w:ascii="Verdana" w:hAnsi="Verdana" w:cs="Calibri"/>
          <w:sz w:val="20"/>
          <w:szCs w:val="20"/>
          <w:lang w:val="en-US"/>
        </w:rPr>
        <w:t xml:space="preserve">the International Court of Justice made by the Judgment </w:t>
      </w:r>
      <w:r>
        <w:rPr>
          <w:rFonts w:ascii="Verdana" w:hAnsi="Verdana" w:cs="Calibri"/>
          <w:sz w:val="20"/>
          <w:szCs w:val="20"/>
          <w:lang w:val="en-US"/>
        </w:rPr>
        <w:t>in support of this</w:t>
      </w:r>
      <w:r w:rsidRPr="003D4D09">
        <w:rPr>
          <w:rFonts w:ascii="Verdana" w:hAnsi="Verdana" w:cs="Calibri"/>
          <w:sz w:val="20"/>
          <w:szCs w:val="20"/>
          <w:lang w:val="en-US"/>
        </w:rPr>
        <w:t xml:space="preserve"> decision,</w:t>
      </w:r>
      <w:r w:rsidRPr="003D4D09">
        <w:rPr>
          <w:rStyle w:val="FootnoteReference"/>
          <w:rFonts w:ascii="Verdana" w:hAnsi="Verdana" w:cs="Calibri"/>
          <w:sz w:val="20"/>
          <w:szCs w:val="20"/>
          <w:lang w:val="en-US"/>
        </w:rPr>
        <w:footnoteReference w:id="448"/>
      </w:r>
      <w:r w:rsidRPr="003D4D09">
        <w:rPr>
          <w:rFonts w:ascii="Verdana" w:hAnsi="Verdana" w:cs="Calibri"/>
          <w:sz w:val="20"/>
          <w:szCs w:val="20"/>
          <w:lang w:val="en-US"/>
        </w:rPr>
        <w:t xml:space="preserve"> it is sufficient to point out that neither the European Convention of Human Rights nor the Rules of Procedure of the International Court of Justice contain a </w:t>
      </w:r>
      <w:r>
        <w:rPr>
          <w:rFonts w:ascii="Verdana" w:hAnsi="Verdana" w:cs="Calibri"/>
          <w:sz w:val="20"/>
          <w:szCs w:val="20"/>
          <w:lang w:val="en-US"/>
        </w:rPr>
        <w:t>provision</w:t>
      </w:r>
      <w:r w:rsidRPr="003D4D09">
        <w:rPr>
          <w:rFonts w:ascii="Verdana" w:hAnsi="Verdana" w:cs="Calibri"/>
          <w:sz w:val="20"/>
          <w:szCs w:val="20"/>
          <w:lang w:val="en-US"/>
        </w:rPr>
        <w:t xml:space="preserve"> such as that of Article 46(1</w:t>
      </w:r>
      <w:proofErr w:type="gramStart"/>
      <w:r w:rsidRPr="003D4D09">
        <w:rPr>
          <w:rFonts w:ascii="Verdana" w:hAnsi="Verdana" w:cs="Calibri"/>
          <w:sz w:val="20"/>
          <w:szCs w:val="20"/>
          <w:lang w:val="en-US"/>
        </w:rPr>
        <w:t>)(</w:t>
      </w:r>
      <w:proofErr w:type="gramEnd"/>
      <w:r w:rsidRPr="003D4D09">
        <w:rPr>
          <w:rFonts w:ascii="Verdana" w:hAnsi="Verdana" w:cs="Calibri"/>
          <w:sz w:val="20"/>
          <w:szCs w:val="20"/>
          <w:lang w:val="en-US"/>
        </w:rPr>
        <w:t>a) of the Convention. In addition, both these bodies are courts</w:t>
      </w:r>
      <w:r>
        <w:rPr>
          <w:rFonts w:ascii="Verdana" w:hAnsi="Verdana" w:cs="Calibri"/>
          <w:sz w:val="20"/>
          <w:szCs w:val="20"/>
          <w:lang w:val="en-US"/>
        </w:rPr>
        <w:t xml:space="preserve"> rather than a non-judicial entity</w:t>
      </w:r>
      <w:r w:rsidRPr="003D4D09">
        <w:rPr>
          <w:rFonts w:ascii="Verdana" w:hAnsi="Verdana" w:cs="Calibri"/>
          <w:sz w:val="20"/>
          <w:szCs w:val="20"/>
          <w:lang w:val="en-US"/>
        </w:rPr>
        <w:t xml:space="preserve">, as in the case of the Commission, before which compliance with the requirement in question must be substantiated. This means that, in the European case, the rule is that, before resorting to the European Court of Human Rights the remedies of the domestic jurisdiction must be exhausted. This is the general rule, admitting the exception only if this exhaustion is achieved shortly after the presentation of the case. And, in the case of the International Court of Justice, </w:t>
      </w:r>
      <w:r>
        <w:rPr>
          <w:rFonts w:ascii="Verdana" w:hAnsi="Verdana" w:cs="Calibri"/>
          <w:sz w:val="20"/>
          <w:szCs w:val="20"/>
          <w:lang w:val="en-US"/>
        </w:rPr>
        <w:t>the cases referred to</w:t>
      </w:r>
      <w:r w:rsidRPr="003D4D09">
        <w:rPr>
          <w:rFonts w:ascii="Verdana" w:hAnsi="Verdana" w:cs="Calibri"/>
          <w:sz w:val="20"/>
          <w:szCs w:val="20"/>
          <w:lang w:val="en-US"/>
        </w:rPr>
        <w:t xml:space="preserve"> </w:t>
      </w:r>
      <w:r>
        <w:rPr>
          <w:rFonts w:ascii="Verdana" w:hAnsi="Verdana" w:cs="Calibri"/>
          <w:sz w:val="20"/>
          <w:szCs w:val="20"/>
          <w:lang w:val="en-US"/>
        </w:rPr>
        <w:t>relate</w:t>
      </w:r>
      <w:r w:rsidRPr="003D4D09">
        <w:rPr>
          <w:rFonts w:ascii="Verdana" w:hAnsi="Verdana" w:cs="Calibri"/>
          <w:sz w:val="20"/>
          <w:szCs w:val="20"/>
          <w:lang w:val="en-US"/>
        </w:rPr>
        <w:t xml:space="preserve"> to recognition of that court</w:t>
      </w:r>
      <w:r>
        <w:rPr>
          <w:rFonts w:ascii="Verdana" w:hAnsi="Verdana" w:cs="Calibri"/>
          <w:sz w:val="20"/>
          <w:szCs w:val="20"/>
          <w:lang w:val="en-US"/>
        </w:rPr>
        <w:t>’s jurisdiction</w:t>
      </w:r>
      <w:r w:rsidRPr="003D4D09">
        <w:rPr>
          <w:rFonts w:ascii="Verdana" w:hAnsi="Verdana" w:cs="Calibri"/>
          <w:sz w:val="20"/>
          <w:szCs w:val="20"/>
          <w:lang w:val="en-US"/>
        </w:rPr>
        <w:t xml:space="preserve"> and not to the filing of a preliminary objection concerning the prior exhaustion of domestic remedies. Consequently, the </w:t>
      </w:r>
      <w:r>
        <w:rPr>
          <w:rFonts w:ascii="Verdana" w:hAnsi="Verdana" w:cs="Calibri"/>
          <w:sz w:val="20"/>
          <w:szCs w:val="20"/>
          <w:lang w:val="en-US"/>
        </w:rPr>
        <w:t>cases</w:t>
      </w:r>
      <w:r w:rsidRPr="003D4D09">
        <w:rPr>
          <w:rFonts w:ascii="Verdana" w:hAnsi="Verdana" w:cs="Calibri"/>
          <w:sz w:val="20"/>
          <w:szCs w:val="20"/>
          <w:lang w:val="en-US"/>
        </w:rPr>
        <w:t xml:space="preserve"> referred to do not represent precedents.</w:t>
      </w:r>
    </w:p>
    <w:p w14:paraId="3BAF69BB"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5377F4AA" w14:textId="77777777" w:rsidR="000F66F8" w:rsidRPr="003D4D09" w:rsidRDefault="000F66F8" w:rsidP="000F66F8">
      <w:pPr>
        <w:keepNext/>
        <w:rPr>
          <w:rFonts w:cs="Calibri"/>
          <w:b/>
          <w:szCs w:val="20"/>
          <w:lang w:val="en-US"/>
        </w:rPr>
      </w:pPr>
      <w:r w:rsidRPr="003D4D09">
        <w:rPr>
          <w:rFonts w:cs="Calibri"/>
          <w:b/>
          <w:szCs w:val="20"/>
          <w:lang w:val="en-US"/>
        </w:rPr>
        <w:t>CONCLUSION</w:t>
      </w:r>
    </w:p>
    <w:p w14:paraId="3BF1ED68" w14:textId="77777777" w:rsidR="000F66F8" w:rsidRPr="003D4D09" w:rsidRDefault="000F66F8" w:rsidP="000F66F8">
      <w:pPr>
        <w:keepNext/>
        <w:rPr>
          <w:rFonts w:cs="Calibri"/>
          <w:b/>
          <w:szCs w:val="20"/>
          <w:lang w:val="en-US"/>
        </w:rPr>
      </w:pPr>
    </w:p>
    <w:p w14:paraId="4B2D8BD8" w14:textId="77777777" w:rsidR="000F66F8" w:rsidRPr="003D4D09" w:rsidRDefault="000F66F8" w:rsidP="000F66F8">
      <w:pPr>
        <w:keepNext/>
        <w:rPr>
          <w:rFonts w:cs="Calibri"/>
          <w:szCs w:val="20"/>
          <w:lang w:val="en-US"/>
        </w:rPr>
      </w:pPr>
      <w:r w:rsidRPr="003D4D09">
        <w:rPr>
          <w:rFonts w:cs="Calibri"/>
          <w:szCs w:val="20"/>
          <w:lang w:val="en-US"/>
        </w:rPr>
        <w:t xml:space="preserve">In short and as </w:t>
      </w:r>
      <w:r>
        <w:rPr>
          <w:rFonts w:cs="Calibri"/>
          <w:szCs w:val="20"/>
          <w:lang w:val="en-US"/>
        </w:rPr>
        <w:t>pointed out</w:t>
      </w:r>
      <w:r w:rsidRPr="003D4D09">
        <w:rPr>
          <w:rFonts w:cs="Calibri"/>
          <w:szCs w:val="20"/>
          <w:lang w:val="en-US"/>
        </w:rPr>
        <w:t xml:space="preserve"> previously, as Article 46(1)(a) of the Convention clearly states and based on the </w:t>
      </w:r>
      <w:r>
        <w:rPr>
          <w:rFonts w:cs="Calibri"/>
          <w:szCs w:val="20"/>
          <w:lang w:val="en-US"/>
        </w:rPr>
        <w:t>congruent</w:t>
      </w:r>
      <w:r w:rsidRPr="003D4D09">
        <w:rPr>
          <w:rFonts w:cs="Calibri"/>
          <w:szCs w:val="20"/>
          <w:lang w:val="en-US"/>
        </w:rPr>
        <w:t xml:space="preserve"> understanding of Articles 26(1) and 2, 28(h), 30(1),(2) and (3), 31 and 32 of the Commission’s Rules of Procedure, which interpret the said article of the Convention, it can be concluded</w:t>
      </w:r>
      <w:r>
        <w:rPr>
          <w:rFonts w:cs="Calibri"/>
          <w:szCs w:val="20"/>
          <w:lang w:val="en-US"/>
        </w:rPr>
        <w:t>,</w:t>
      </w:r>
      <w:r w:rsidRPr="003D4D09">
        <w:rPr>
          <w:rFonts w:cs="Calibri"/>
          <w:szCs w:val="20"/>
          <w:lang w:val="en-US"/>
        </w:rPr>
        <w:t xml:space="preserve"> unequivocally</w:t>
      </w:r>
      <w:r>
        <w:rPr>
          <w:rFonts w:cs="Calibri"/>
          <w:szCs w:val="20"/>
          <w:lang w:val="en-US"/>
        </w:rPr>
        <w:t>,</w:t>
      </w:r>
      <w:r w:rsidRPr="003D4D09">
        <w:rPr>
          <w:rFonts w:cs="Calibri"/>
          <w:szCs w:val="20"/>
          <w:lang w:val="en-US"/>
        </w:rPr>
        <w:t xml:space="preserve"> that compliance </w:t>
      </w:r>
      <w:r w:rsidRPr="003D4D09">
        <w:rPr>
          <w:rFonts w:cs="Calibri"/>
          <w:szCs w:val="20"/>
          <w:lang w:val="en-US"/>
        </w:rPr>
        <w:lastRenderedPageBreak/>
        <w:t>with the rule of prior exhaustion of domestic remedies must have occurred at the time the petition is lodged before the Commission, taking into consideration, also, any observations made by the State when responding to the relevant parts of the petition forwarded to it.</w:t>
      </w:r>
    </w:p>
    <w:p w14:paraId="2D5AA7E0" w14:textId="77777777" w:rsidR="000F66F8" w:rsidRPr="003D4D09" w:rsidRDefault="000F66F8" w:rsidP="000F66F8">
      <w:pPr>
        <w:keepNext/>
        <w:rPr>
          <w:rFonts w:cs="Calibri"/>
          <w:szCs w:val="20"/>
          <w:lang w:val="en-US"/>
        </w:rPr>
      </w:pPr>
    </w:p>
    <w:p w14:paraId="09E6FE04" w14:textId="77777777" w:rsidR="000F66F8" w:rsidRPr="003D4D09" w:rsidRDefault="000F66F8" w:rsidP="000F66F8">
      <w:pPr>
        <w:keepNext/>
        <w:rPr>
          <w:rFonts w:cs="Calibri"/>
          <w:szCs w:val="20"/>
          <w:lang w:val="en-US"/>
        </w:rPr>
      </w:pPr>
      <w:r w:rsidRPr="003D4D09">
        <w:rPr>
          <w:rFonts w:cs="Calibri"/>
          <w:szCs w:val="20"/>
          <w:lang w:val="en-US"/>
        </w:rPr>
        <w:t>However, this was not considered to be so in the Judgment, which, to the contrary, indicates that the</w:t>
      </w:r>
      <w:r>
        <w:rPr>
          <w:rFonts w:cs="Calibri"/>
          <w:szCs w:val="20"/>
          <w:lang w:val="en-US"/>
        </w:rPr>
        <w:t xml:space="preserve"> decision on the</w:t>
      </w:r>
      <w:r w:rsidRPr="003D4D09">
        <w:rPr>
          <w:rFonts w:cs="Calibri"/>
          <w:szCs w:val="20"/>
          <w:lang w:val="en-US"/>
        </w:rPr>
        <w:t xml:space="preserve"> objection filed by the State based on </w:t>
      </w:r>
      <w:r>
        <w:rPr>
          <w:rFonts w:cs="Calibri"/>
          <w:szCs w:val="20"/>
          <w:lang w:val="en-US"/>
        </w:rPr>
        <w:t>the petitioner’s failure to comply</w:t>
      </w:r>
      <w:r w:rsidRPr="003D4D09">
        <w:rPr>
          <w:rFonts w:cs="Calibri"/>
          <w:szCs w:val="20"/>
          <w:lang w:val="en-US"/>
        </w:rPr>
        <w:t xml:space="preserve"> wi</w:t>
      </w:r>
      <w:r>
        <w:rPr>
          <w:rFonts w:cs="Calibri"/>
          <w:szCs w:val="20"/>
          <w:lang w:val="en-US"/>
        </w:rPr>
        <w:t>th this rule was taken by</w:t>
      </w:r>
      <w:r w:rsidRPr="003D4D09">
        <w:rPr>
          <w:rFonts w:cs="Calibri"/>
          <w:szCs w:val="20"/>
          <w:lang w:val="en-US"/>
        </w:rPr>
        <w:t xml:space="preserve"> verifying </w:t>
      </w:r>
      <w:r>
        <w:rPr>
          <w:rFonts w:cs="Calibri"/>
          <w:szCs w:val="20"/>
          <w:lang w:val="en-US"/>
        </w:rPr>
        <w:t>that</w:t>
      </w:r>
      <w:r w:rsidRPr="003D4D09">
        <w:rPr>
          <w:rFonts w:cs="Calibri"/>
          <w:szCs w:val="20"/>
          <w:lang w:val="en-US"/>
        </w:rPr>
        <w:t xml:space="preserve"> this requirement had been met when the Commission took a decision on the</w:t>
      </w:r>
      <w:r>
        <w:rPr>
          <w:rFonts w:cs="Calibri"/>
          <w:szCs w:val="20"/>
          <w:lang w:val="en-US"/>
        </w:rPr>
        <w:t xml:space="preserve"> petition’s</w:t>
      </w:r>
      <w:r w:rsidRPr="003D4D09">
        <w:rPr>
          <w:rFonts w:cs="Calibri"/>
          <w:szCs w:val="20"/>
          <w:lang w:val="en-US"/>
        </w:rPr>
        <w:t xml:space="preserve"> admissibility. </w:t>
      </w:r>
      <w:r>
        <w:rPr>
          <w:rFonts w:cs="Calibri"/>
          <w:szCs w:val="20"/>
          <w:lang w:val="en-US"/>
        </w:rPr>
        <w:t>Hence</w:t>
      </w:r>
      <w:r w:rsidRPr="003D4D09">
        <w:rPr>
          <w:rFonts w:cs="Calibri"/>
          <w:szCs w:val="20"/>
          <w:lang w:val="en-US"/>
        </w:rPr>
        <w:t>, the ruling infringes the provisions of Article 46(1</w:t>
      </w:r>
      <w:proofErr w:type="gramStart"/>
      <w:r w:rsidRPr="003D4D09">
        <w:rPr>
          <w:rFonts w:cs="Calibri"/>
          <w:szCs w:val="20"/>
          <w:lang w:val="en-US"/>
        </w:rPr>
        <w:t>)(</w:t>
      </w:r>
      <w:proofErr w:type="gramEnd"/>
      <w:r w:rsidRPr="003D4D09">
        <w:rPr>
          <w:rFonts w:cs="Calibri"/>
          <w:szCs w:val="20"/>
          <w:lang w:val="en-US"/>
        </w:rPr>
        <w:t>a) of the Convention and the said regulatory provisions.</w:t>
      </w:r>
    </w:p>
    <w:p w14:paraId="7DAB976C" w14:textId="77777777" w:rsidR="000F66F8" w:rsidRPr="003D4D09" w:rsidRDefault="000F66F8" w:rsidP="000F66F8">
      <w:pPr>
        <w:keepNext/>
        <w:rPr>
          <w:rFonts w:cs="Calibri"/>
          <w:szCs w:val="20"/>
          <w:lang w:val="en-US"/>
        </w:rPr>
      </w:pPr>
    </w:p>
    <w:p w14:paraId="3ADCFE60" w14:textId="77777777" w:rsidR="000F66F8" w:rsidRPr="003D4D09" w:rsidRDefault="000F66F8" w:rsidP="000F66F8">
      <w:pPr>
        <w:keepNext/>
        <w:rPr>
          <w:rFonts w:cs="Calibri"/>
          <w:szCs w:val="20"/>
          <w:lang w:val="en-US"/>
        </w:rPr>
      </w:pPr>
      <w:r w:rsidRPr="00FC760E">
        <w:rPr>
          <w:rFonts w:cs="Calibri"/>
          <w:szCs w:val="20"/>
          <w:lang w:val="en-US"/>
        </w:rPr>
        <w:t xml:space="preserve">The undersigned </w:t>
      </w:r>
      <w:r>
        <w:rPr>
          <w:rFonts w:cs="Calibri"/>
          <w:szCs w:val="20"/>
          <w:lang w:val="en-US"/>
        </w:rPr>
        <w:t xml:space="preserve">also </w:t>
      </w:r>
      <w:r w:rsidRPr="00FC760E">
        <w:rPr>
          <w:rFonts w:cs="Calibri"/>
          <w:szCs w:val="20"/>
          <w:lang w:val="en-US"/>
        </w:rPr>
        <w:t>dissents from the Judgment</w:t>
      </w:r>
      <w:r>
        <w:rPr>
          <w:rFonts w:cs="Calibri"/>
          <w:szCs w:val="20"/>
          <w:lang w:val="en-US"/>
        </w:rPr>
        <w:t xml:space="preserve"> </w:t>
      </w:r>
      <w:r w:rsidRPr="00FC760E">
        <w:rPr>
          <w:rFonts w:cs="Calibri"/>
          <w:szCs w:val="20"/>
          <w:lang w:val="en-US"/>
        </w:rPr>
        <w:t>because, the “</w:t>
      </w:r>
      <w:r w:rsidRPr="00FC760E">
        <w:rPr>
          <w:rFonts w:cs="Calibri"/>
          <w:i/>
          <w:szCs w:val="20"/>
          <w:lang w:val="en-US"/>
        </w:rPr>
        <w:t>reinforcing or</w:t>
      </w:r>
      <w:r w:rsidRPr="003D4D09">
        <w:rPr>
          <w:rFonts w:cs="Calibri"/>
          <w:i/>
          <w:szCs w:val="20"/>
          <w:lang w:val="en-US"/>
        </w:rPr>
        <w:t xml:space="preserve"> complementing</w:t>
      </w:r>
      <w:r>
        <w:rPr>
          <w:rFonts w:cs="Calibri"/>
          <w:i/>
          <w:szCs w:val="20"/>
          <w:lang w:val="en-US"/>
        </w:rPr>
        <w:t>”</w:t>
      </w:r>
      <w:r w:rsidRPr="003D4D09">
        <w:rPr>
          <w:rFonts w:cs="Calibri"/>
          <w:i/>
          <w:szCs w:val="20"/>
          <w:lang w:val="en-US"/>
        </w:rPr>
        <w:t xml:space="preserve"> </w:t>
      </w:r>
      <w:r w:rsidRPr="00FC760E">
        <w:rPr>
          <w:rFonts w:cs="Calibri"/>
          <w:szCs w:val="20"/>
          <w:lang w:val="en-US"/>
        </w:rPr>
        <w:t>nature of the Convention</w:t>
      </w:r>
      <w:r w:rsidRPr="003D4D09">
        <w:rPr>
          <w:rFonts w:cs="Calibri"/>
          <w:szCs w:val="20"/>
          <w:lang w:val="en-US"/>
        </w:rPr>
        <w:t xml:space="preserve"> that inspires the inter-American system of human rights as a whole is nullified, encouraging the lodging of cases before the system without the domestic remedies</w:t>
      </w:r>
      <w:r>
        <w:rPr>
          <w:rFonts w:cs="Calibri"/>
          <w:szCs w:val="20"/>
          <w:lang w:val="en-US"/>
        </w:rPr>
        <w:t xml:space="preserve"> having been exhausted previously, which will result in such cases being</w:t>
      </w:r>
      <w:r w:rsidRPr="003D4D09">
        <w:rPr>
          <w:rFonts w:cs="Calibri"/>
          <w:szCs w:val="20"/>
          <w:lang w:val="en-US"/>
        </w:rPr>
        <w:t xml:space="preserve"> examined simultaneously by the domestic jurisdiction and </w:t>
      </w:r>
      <w:r>
        <w:rPr>
          <w:rFonts w:cs="Calibri"/>
          <w:szCs w:val="20"/>
          <w:lang w:val="en-US"/>
        </w:rPr>
        <w:t>the inter-American jurisdiction.</w:t>
      </w:r>
    </w:p>
    <w:p w14:paraId="4B17712E" w14:textId="77777777" w:rsidR="000F66F8" w:rsidRPr="003D4D09" w:rsidRDefault="000F66F8" w:rsidP="000F66F8">
      <w:pPr>
        <w:keepNext/>
        <w:rPr>
          <w:rFonts w:cs="Calibri"/>
          <w:szCs w:val="20"/>
          <w:lang w:val="en-US"/>
        </w:rPr>
      </w:pPr>
    </w:p>
    <w:p w14:paraId="5D5DD66A" w14:textId="77777777" w:rsidR="000F66F8" w:rsidRPr="003D4D09" w:rsidRDefault="000F66F8" w:rsidP="000F66F8">
      <w:pPr>
        <w:keepNext/>
        <w:rPr>
          <w:rFonts w:cs="Calibri"/>
          <w:szCs w:val="20"/>
          <w:lang w:val="en-US"/>
        </w:rPr>
      </w:pPr>
      <w:r w:rsidRPr="003D4D09">
        <w:rPr>
          <w:rFonts w:cs="Calibri"/>
          <w:szCs w:val="20"/>
          <w:lang w:val="en-US"/>
        </w:rPr>
        <w:t>Proceeding in this way not only makes the rule of prior exhaustion of domestic remedies meanin</w:t>
      </w:r>
      <w:r>
        <w:rPr>
          <w:rFonts w:cs="Calibri"/>
          <w:szCs w:val="20"/>
          <w:lang w:val="en-US"/>
        </w:rPr>
        <w:t>gless and inapplicable, but</w:t>
      </w:r>
      <w:r w:rsidRPr="003D4D09">
        <w:rPr>
          <w:rFonts w:cs="Calibri"/>
          <w:szCs w:val="20"/>
          <w:lang w:val="en-US"/>
        </w:rPr>
        <w:t xml:space="preserve"> is also contrary to the Court’s </w:t>
      </w:r>
      <w:r>
        <w:rPr>
          <w:rFonts w:cs="Calibri"/>
          <w:szCs w:val="20"/>
          <w:lang w:val="en-US"/>
        </w:rPr>
        <w:t>affirmation</w:t>
      </w:r>
      <w:r w:rsidRPr="003D4D09">
        <w:rPr>
          <w:rFonts w:cs="Calibri"/>
          <w:szCs w:val="20"/>
          <w:lang w:val="en-US"/>
        </w:rPr>
        <w:t xml:space="preserve"> that</w:t>
      </w:r>
      <w:r>
        <w:rPr>
          <w:rFonts w:cs="Calibri"/>
          <w:szCs w:val="20"/>
          <w:lang w:val="en-US"/>
        </w:rPr>
        <w:t xml:space="preserve"> it</w:t>
      </w:r>
      <w:r w:rsidRPr="003D4D09">
        <w:rPr>
          <w:rFonts w:cs="Calibri"/>
          <w:szCs w:val="20"/>
          <w:lang w:val="en-US"/>
        </w:rPr>
        <w:t xml:space="preserve"> </w:t>
      </w:r>
      <w:r>
        <w:rPr>
          <w:rFonts w:cs="Calibri"/>
          <w:i/>
          <w:szCs w:val="20"/>
          <w:lang w:val="en-US"/>
        </w:rPr>
        <w:t>“</w:t>
      </w:r>
      <w:r w:rsidRPr="003D4D09">
        <w:rPr>
          <w:rFonts w:cs="Calibri"/>
          <w:i/>
          <w:szCs w:val="20"/>
          <w:lang w:val="en-US"/>
        </w:rPr>
        <w:t>must safeguard the just balance between the protection of human rights, the ultimate purpose of the system, and the legal certainty and procedural balance that ensure the stability and reliability of the international protection.”</w:t>
      </w:r>
      <w:r w:rsidRPr="003D4D09">
        <w:rPr>
          <w:rStyle w:val="FootnoteReference"/>
          <w:rFonts w:cs="Calibri"/>
          <w:szCs w:val="20"/>
          <w:lang w:val="en-US"/>
        </w:rPr>
        <w:footnoteReference w:id="449"/>
      </w:r>
    </w:p>
    <w:p w14:paraId="73F77F24" w14:textId="77777777" w:rsidR="000F66F8" w:rsidRPr="003D4D09" w:rsidRDefault="000F66F8" w:rsidP="000F66F8">
      <w:pPr>
        <w:keepNext/>
        <w:rPr>
          <w:rFonts w:cs="Calibri"/>
          <w:szCs w:val="20"/>
          <w:lang w:val="en-US"/>
        </w:rPr>
      </w:pPr>
    </w:p>
    <w:p w14:paraId="78D571B9" w14:textId="77777777" w:rsidR="000F66F8" w:rsidRPr="003D4D09" w:rsidRDefault="000F66F8" w:rsidP="000F66F8">
      <w:pPr>
        <w:keepNext/>
        <w:rPr>
          <w:rFonts w:cs="Calibri"/>
          <w:i/>
          <w:szCs w:val="20"/>
          <w:lang w:val="en-US"/>
        </w:rPr>
      </w:pPr>
      <w:r w:rsidRPr="003D4D09">
        <w:rPr>
          <w:rFonts w:cs="Calibri"/>
          <w:szCs w:val="20"/>
          <w:lang w:val="en-US"/>
        </w:rPr>
        <w:t xml:space="preserve">Consequently, it is in this sense that the undersigned shares </w:t>
      </w:r>
      <w:r>
        <w:rPr>
          <w:rFonts w:cs="Calibri"/>
          <w:szCs w:val="20"/>
          <w:lang w:val="en-US"/>
        </w:rPr>
        <w:t>the assertion of</w:t>
      </w:r>
      <w:r w:rsidRPr="003D4D09">
        <w:rPr>
          <w:rFonts w:cs="Calibri"/>
          <w:szCs w:val="20"/>
          <w:lang w:val="en-US"/>
        </w:rPr>
        <w:t xml:space="preserve"> the Court itself as regards “</w:t>
      </w:r>
      <w:r w:rsidRPr="003D4D09">
        <w:rPr>
          <w:rFonts w:cs="Calibri"/>
          <w:i/>
          <w:szCs w:val="20"/>
          <w:lang w:val="en-US"/>
        </w:rPr>
        <w:t>t</w:t>
      </w:r>
      <w:r>
        <w:rPr>
          <w:rFonts w:cs="Calibri"/>
          <w:i/>
          <w:szCs w:val="20"/>
          <w:lang w:val="en-US"/>
        </w:rPr>
        <w:t>he t</w:t>
      </w:r>
      <w:r w:rsidRPr="003D4D09">
        <w:rPr>
          <w:rFonts w:cs="Calibri"/>
          <w:i/>
          <w:szCs w:val="20"/>
          <w:lang w:val="en-US"/>
        </w:rPr>
        <w:t>olerance of ‘evident violations of the procedural rules established by the Convention itself</w:t>
      </w:r>
      <w:r>
        <w:rPr>
          <w:rFonts w:cs="Calibri"/>
          <w:szCs w:val="20"/>
          <w:lang w:val="en-US"/>
        </w:rPr>
        <w:t xml:space="preserve"> [and, it should be added, by</w:t>
      </w:r>
      <w:r w:rsidRPr="003D4D09">
        <w:rPr>
          <w:rFonts w:cs="Calibri"/>
          <w:szCs w:val="20"/>
          <w:lang w:val="en-US"/>
        </w:rPr>
        <w:t xml:space="preserve"> the Rules of Procedure of the Court and of the Commission</w:t>
      </w:r>
      <w:r>
        <w:rPr>
          <w:rFonts w:cs="Calibri"/>
          <w:szCs w:val="20"/>
          <w:lang w:val="en-US"/>
        </w:rPr>
        <w:t>,</w:t>
      </w:r>
      <w:r>
        <w:rPr>
          <w:rFonts w:cs="Calibri"/>
          <w:i/>
          <w:szCs w:val="20"/>
          <w:lang w:val="en-US"/>
        </w:rPr>
        <w:t>]</w:t>
      </w:r>
      <w:r w:rsidRPr="003D4D09">
        <w:rPr>
          <w:rFonts w:cs="Calibri"/>
          <w:i/>
          <w:szCs w:val="20"/>
          <w:lang w:val="en-US"/>
        </w:rPr>
        <w:t xml:space="preserve"> would entail the loss of authority and credibility essential for the organs responsible for administering the system for the protection of human rights.</w:t>
      </w:r>
      <w:r w:rsidRPr="003D4D09">
        <w:rPr>
          <w:rFonts w:cs="Calibri"/>
          <w:szCs w:val="20"/>
          <w:lang w:val="en-US"/>
        </w:rPr>
        <w:t>”</w:t>
      </w:r>
      <w:r w:rsidRPr="003D4D09">
        <w:rPr>
          <w:rStyle w:val="FootnoteReference"/>
          <w:rFonts w:cs="Calibri"/>
          <w:szCs w:val="20"/>
          <w:lang w:val="en-US"/>
        </w:rPr>
        <w:footnoteReference w:id="450"/>
      </w:r>
      <w:r w:rsidRPr="003D4D09">
        <w:rPr>
          <w:rFonts w:cs="Calibri"/>
          <w:szCs w:val="20"/>
          <w:lang w:val="en-US"/>
        </w:rPr>
        <w:t xml:space="preserve"> And this is so, because it is precisely these rules that guarantee the impartiality and independence of the Court when imparting justice in </w:t>
      </w:r>
      <w:r>
        <w:rPr>
          <w:rFonts w:cs="Calibri"/>
          <w:szCs w:val="20"/>
          <w:lang w:val="en-US"/>
        </w:rPr>
        <w:t xml:space="preserve">cases relating to </w:t>
      </w:r>
      <w:r w:rsidRPr="003D4D09">
        <w:rPr>
          <w:rFonts w:cs="Calibri"/>
          <w:szCs w:val="20"/>
          <w:lang w:val="en-US"/>
        </w:rPr>
        <w:t>human rights.</w:t>
      </w:r>
    </w:p>
    <w:p w14:paraId="2F78CAC2"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p>
    <w:p w14:paraId="48073464" w14:textId="77777777" w:rsidR="000F66F8" w:rsidRPr="003D4D09" w:rsidRDefault="000F66F8" w:rsidP="000F66F8">
      <w:pPr>
        <w:pStyle w:val="NormalWeb"/>
        <w:keepNext/>
        <w:spacing w:before="0" w:beforeAutospacing="0" w:after="0" w:afterAutospacing="0"/>
        <w:jc w:val="both"/>
        <w:rPr>
          <w:rFonts w:ascii="Verdana" w:hAnsi="Verdana" w:cs="Calibri"/>
          <w:sz w:val="20"/>
          <w:szCs w:val="20"/>
          <w:lang w:val="en-US"/>
        </w:rPr>
      </w:pPr>
      <w:r w:rsidRPr="003D4D09">
        <w:rPr>
          <w:rFonts w:ascii="Verdana" w:hAnsi="Verdana" w:cs="Calibri"/>
          <w:sz w:val="20"/>
          <w:szCs w:val="20"/>
          <w:lang w:val="en-US"/>
        </w:rPr>
        <w:t>Strict compliance with the rule of prior exhaustion of domestic remedies is not, th</w:t>
      </w:r>
      <w:r>
        <w:rPr>
          <w:rFonts w:ascii="Verdana" w:hAnsi="Verdana" w:cs="Calibri"/>
          <w:sz w:val="20"/>
          <w:szCs w:val="20"/>
          <w:lang w:val="en-US"/>
        </w:rPr>
        <w:t>erefore, a mere legal formality. Rather,</w:t>
      </w:r>
      <w:r w:rsidRPr="003D4D09">
        <w:rPr>
          <w:rFonts w:ascii="Verdana" w:hAnsi="Verdana" w:cs="Calibri"/>
          <w:sz w:val="20"/>
          <w:szCs w:val="20"/>
          <w:lang w:val="en-US"/>
        </w:rPr>
        <w:t xml:space="preserve"> respect for this rule strengthens and enhances the inter-Americ</w:t>
      </w:r>
      <w:r>
        <w:rPr>
          <w:rFonts w:ascii="Verdana" w:hAnsi="Verdana" w:cs="Calibri"/>
          <w:sz w:val="20"/>
          <w:szCs w:val="20"/>
          <w:lang w:val="en-US"/>
        </w:rPr>
        <w:t>an human rights system, because</w:t>
      </w:r>
      <w:r w:rsidRPr="003D4D09">
        <w:rPr>
          <w:rFonts w:ascii="Verdana" w:hAnsi="Verdana" w:cs="Calibri"/>
          <w:sz w:val="20"/>
          <w:szCs w:val="20"/>
          <w:lang w:val="en-US"/>
        </w:rPr>
        <w:t xml:space="preserve"> </w:t>
      </w:r>
      <w:r>
        <w:rPr>
          <w:rFonts w:ascii="Verdana" w:hAnsi="Verdana" w:cs="Calibri"/>
          <w:sz w:val="20"/>
          <w:szCs w:val="20"/>
          <w:lang w:val="en-US"/>
        </w:rPr>
        <w:t>it guarantees</w:t>
      </w:r>
      <w:r w:rsidRPr="003D4D09">
        <w:rPr>
          <w:rFonts w:ascii="Verdana" w:hAnsi="Verdana" w:cs="Calibri"/>
          <w:sz w:val="20"/>
          <w:szCs w:val="20"/>
          <w:lang w:val="en-US"/>
        </w:rPr>
        <w:t xml:space="preserve"> the principles of legal certainty, procedural balance and complementarity that sustain</w:t>
      </w:r>
      <w:r>
        <w:rPr>
          <w:rFonts w:ascii="Verdana" w:hAnsi="Verdana" w:cs="Calibri"/>
          <w:sz w:val="20"/>
          <w:szCs w:val="20"/>
          <w:lang w:val="en-US"/>
        </w:rPr>
        <w:t xml:space="preserve"> the system</w:t>
      </w:r>
      <w:r w:rsidRPr="003D4D09">
        <w:rPr>
          <w:rFonts w:ascii="Verdana" w:hAnsi="Verdana" w:cs="Calibri"/>
          <w:sz w:val="20"/>
          <w:szCs w:val="20"/>
          <w:lang w:val="en-US"/>
        </w:rPr>
        <w:t xml:space="preserve">, leaving no margin or, at least, the smallest margin possible, for </w:t>
      </w:r>
      <w:r>
        <w:rPr>
          <w:rFonts w:ascii="Verdana" w:hAnsi="Verdana" w:cs="Calibri"/>
          <w:sz w:val="20"/>
          <w:szCs w:val="20"/>
          <w:lang w:val="en-US"/>
        </w:rPr>
        <w:t>the perception that the Court’s rulings</w:t>
      </w:r>
      <w:r w:rsidRPr="003D4D09">
        <w:rPr>
          <w:rFonts w:ascii="Verdana" w:hAnsi="Verdana" w:cs="Calibri"/>
          <w:sz w:val="20"/>
          <w:szCs w:val="20"/>
          <w:lang w:val="en-US"/>
        </w:rPr>
        <w:t xml:space="preserve"> do not respond, strictly and exclusively, to considerations of justice – beyond the explicable </w:t>
      </w:r>
      <w:r>
        <w:rPr>
          <w:rFonts w:ascii="Verdana" w:hAnsi="Verdana" w:cs="Calibri"/>
          <w:sz w:val="20"/>
          <w:szCs w:val="20"/>
          <w:lang w:val="en-US"/>
        </w:rPr>
        <w:t>discrepancies</w:t>
      </w:r>
      <w:r w:rsidRPr="003D4D09">
        <w:rPr>
          <w:rFonts w:ascii="Verdana" w:hAnsi="Verdana" w:cs="Calibri"/>
          <w:sz w:val="20"/>
          <w:szCs w:val="20"/>
          <w:lang w:val="en-US"/>
        </w:rPr>
        <w:t xml:space="preserve"> that </w:t>
      </w:r>
      <w:r>
        <w:rPr>
          <w:rFonts w:ascii="Verdana" w:hAnsi="Verdana" w:cs="Calibri"/>
          <w:sz w:val="20"/>
          <w:szCs w:val="20"/>
          <w:lang w:val="en-US"/>
        </w:rPr>
        <w:t xml:space="preserve">they </w:t>
      </w:r>
      <w:r w:rsidRPr="003D4D09">
        <w:rPr>
          <w:rFonts w:ascii="Verdana" w:hAnsi="Verdana" w:cs="Calibri"/>
          <w:sz w:val="20"/>
          <w:szCs w:val="20"/>
          <w:lang w:val="en-US"/>
        </w:rPr>
        <w:t>may eli</w:t>
      </w:r>
      <w:r>
        <w:rPr>
          <w:rFonts w:ascii="Verdana" w:hAnsi="Verdana" w:cs="Calibri"/>
          <w:sz w:val="20"/>
          <w:szCs w:val="20"/>
          <w:lang w:val="en-US"/>
        </w:rPr>
        <w:t>cit, particularly from</w:t>
      </w:r>
      <w:r w:rsidRPr="003D4D09">
        <w:rPr>
          <w:rFonts w:ascii="Verdana" w:hAnsi="Verdana" w:cs="Calibri"/>
          <w:sz w:val="20"/>
          <w:szCs w:val="20"/>
          <w:lang w:val="en-US"/>
        </w:rPr>
        <w:t xml:space="preserve"> t</w:t>
      </w:r>
      <w:r>
        <w:rPr>
          <w:rFonts w:ascii="Verdana" w:hAnsi="Verdana" w:cs="Calibri"/>
          <w:sz w:val="20"/>
          <w:szCs w:val="20"/>
          <w:lang w:val="en-US"/>
        </w:rPr>
        <w:t>hose who consider them adverse</w:t>
      </w:r>
      <w:r w:rsidRPr="003D4D09">
        <w:rPr>
          <w:rFonts w:ascii="Verdana" w:hAnsi="Verdana" w:cs="Calibri"/>
          <w:sz w:val="20"/>
          <w:szCs w:val="20"/>
          <w:lang w:val="en-US"/>
        </w:rPr>
        <w:t>.</w:t>
      </w:r>
    </w:p>
    <w:p w14:paraId="5771B7D8" w14:textId="77777777" w:rsidR="000F66F8" w:rsidRPr="003D4D09" w:rsidRDefault="000F66F8" w:rsidP="000F66F8">
      <w:pPr>
        <w:keepNext/>
        <w:rPr>
          <w:rFonts w:cs="Calibri"/>
          <w:szCs w:val="20"/>
          <w:lang w:val="en-US"/>
        </w:rPr>
      </w:pPr>
    </w:p>
    <w:p w14:paraId="40A6B94D" w14:textId="77777777" w:rsidR="000F66F8" w:rsidRPr="003D4D09" w:rsidRDefault="000F66F8" w:rsidP="000F66F8">
      <w:pPr>
        <w:keepNext/>
        <w:rPr>
          <w:rFonts w:cs="Calibri"/>
          <w:szCs w:val="20"/>
          <w:lang w:val="en-US"/>
        </w:rPr>
      </w:pPr>
      <w:r>
        <w:rPr>
          <w:rFonts w:cs="Calibri"/>
          <w:szCs w:val="20"/>
          <w:lang w:val="en-US"/>
        </w:rPr>
        <w:t>C</w:t>
      </w:r>
      <w:r w:rsidRPr="003D4D09">
        <w:rPr>
          <w:rFonts w:cs="Calibri"/>
          <w:szCs w:val="20"/>
          <w:lang w:val="en-US"/>
        </w:rPr>
        <w:t xml:space="preserve">onsidering that </w:t>
      </w:r>
      <w:r>
        <w:rPr>
          <w:rFonts w:cs="Calibri"/>
          <w:szCs w:val="20"/>
          <w:lang w:val="en-US"/>
        </w:rPr>
        <w:t>its</w:t>
      </w:r>
      <w:r w:rsidRPr="003D4D09">
        <w:rPr>
          <w:rFonts w:cs="Calibri"/>
          <w:szCs w:val="20"/>
          <w:lang w:val="en-US"/>
        </w:rPr>
        <w:t xml:space="preserve"> case law is binding only for the State that has undertaken to comply with the “</w:t>
      </w:r>
      <w:r w:rsidRPr="003D4D09">
        <w:rPr>
          <w:rFonts w:cs="Calibri"/>
          <w:i/>
          <w:szCs w:val="20"/>
          <w:lang w:val="en-US"/>
        </w:rPr>
        <w:t>judgment of the Court</w:t>
      </w:r>
      <w:r w:rsidRPr="003D4D09">
        <w:rPr>
          <w:rFonts w:cs="Calibri"/>
          <w:szCs w:val="20"/>
          <w:lang w:val="en-US"/>
        </w:rPr>
        <w:t xml:space="preserve">” in </w:t>
      </w:r>
      <w:r>
        <w:rPr>
          <w:rFonts w:cs="Calibri"/>
          <w:szCs w:val="20"/>
          <w:lang w:val="en-US"/>
        </w:rPr>
        <w:t>the case to</w:t>
      </w:r>
      <w:r w:rsidRPr="003D4D09">
        <w:rPr>
          <w:rFonts w:cs="Calibri"/>
          <w:szCs w:val="20"/>
          <w:lang w:val="en-US"/>
        </w:rPr>
        <w:t xml:space="preserve"> which it is a party,</w:t>
      </w:r>
      <w:r w:rsidRPr="003D4D09">
        <w:rPr>
          <w:rStyle w:val="FootnoteReference"/>
          <w:rFonts w:cs="Calibri"/>
          <w:szCs w:val="20"/>
          <w:lang w:val="en-US"/>
        </w:rPr>
        <w:footnoteReference w:id="451"/>
      </w:r>
      <w:r w:rsidRPr="003D4D09">
        <w:rPr>
          <w:rFonts w:cs="Calibri"/>
          <w:szCs w:val="20"/>
          <w:lang w:val="en-US"/>
        </w:rPr>
        <w:t xml:space="preserve"> and that, for the other States Parties to the Convention</w:t>
      </w:r>
      <w:r>
        <w:rPr>
          <w:rFonts w:cs="Calibri"/>
          <w:szCs w:val="20"/>
          <w:lang w:val="en-US"/>
        </w:rPr>
        <w:t xml:space="preserve"> it is only a</w:t>
      </w:r>
      <w:r w:rsidRPr="003D4D09">
        <w:rPr>
          <w:rFonts w:cs="Calibri"/>
          <w:szCs w:val="20"/>
          <w:lang w:val="en-US"/>
        </w:rPr>
        <w:t xml:space="preserve"> </w:t>
      </w:r>
      <w:r>
        <w:rPr>
          <w:rFonts w:cs="Calibri"/>
          <w:szCs w:val="20"/>
          <w:lang w:val="en-US"/>
        </w:rPr>
        <w:t>subsidiary</w:t>
      </w:r>
      <w:r w:rsidRPr="003D4D09">
        <w:rPr>
          <w:rFonts w:cs="Calibri"/>
          <w:szCs w:val="20"/>
          <w:lang w:val="en-US"/>
        </w:rPr>
        <w:t xml:space="preserve"> source of public </w:t>
      </w:r>
      <w:r w:rsidRPr="003D4D09">
        <w:rPr>
          <w:rFonts w:cs="Calibri"/>
          <w:szCs w:val="20"/>
          <w:lang w:val="en-US"/>
        </w:rPr>
        <w:lastRenderedPageBreak/>
        <w:t>international law, in other words, a “</w:t>
      </w:r>
      <w:r w:rsidRPr="003D4D09">
        <w:rPr>
          <w:rFonts w:cs="Calibri"/>
          <w:i/>
          <w:szCs w:val="20"/>
          <w:lang w:val="en-US"/>
        </w:rPr>
        <w:t>subsidiary means for the determination of rules of law</w:t>
      </w:r>
      <w:r>
        <w:rPr>
          <w:rFonts w:cs="Calibri"/>
          <w:szCs w:val="20"/>
          <w:lang w:val="en-US"/>
        </w:rPr>
        <w:t>,</w:t>
      </w:r>
      <w:r w:rsidRPr="003D4D09">
        <w:rPr>
          <w:rStyle w:val="FootnoteReference"/>
          <w:rFonts w:cs="Calibri"/>
          <w:szCs w:val="20"/>
          <w:lang w:val="en-US"/>
        </w:rPr>
        <w:footnoteReference w:id="452"/>
      </w:r>
      <w:r w:rsidRPr="003D4D09">
        <w:rPr>
          <w:rFonts w:cs="Calibri"/>
          <w:szCs w:val="20"/>
          <w:lang w:val="en-US"/>
        </w:rPr>
        <w:t xml:space="preserve"> this dissenting opinion is</w:t>
      </w:r>
      <w:r>
        <w:rPr>
          <w:rFonts w:cs="Calibri"/>
          <w:szCs w:val="20"/>
          <w:lang w:val="en-US"/>
        </w:rPr>
        <w:t xml:space="preserve"> evidently</w:t>
      </w:r>
      <w:r w:rsidRPr="003D4D09">
        <w:rPr>
          <w:rFonts w:cs="Calibri"/>
          <w:szCs w:val="20"/>
          <w:lang w:val="en-US"/>
        </w:rPr>
        <w:t xml:space="preserve"> issued in the hope that it contributes to the reflection on the rule of prior exhaustion of domestic remedies and, thus, leads to the Court’s case law in this regard adopting the criteria described above in the near future. </w:t>
      </w:r>
    </w:p>
    <w:p w14:paraId="571FA506" w14:textId="77777777" w:rsidR="000F66F8" w:rsidRPr="003D4D09" w:rsidRDefault="000F66F8" w:rsidP="000F66F8">
      <w:pPr>
        <w:keepNext/>
        <w:rPr>
          <w:rFonts w:cs="Calibri"/>
          <w:szCs w:val="20"/>
          <w:lang w:val="en-US"/>
        </w:rPr>
      </w:pPr>
    </w:p>
    <w:p w14:paraId="740AC027" w14:textId="77777777" w:rsidR="000F66F8" w:rsidRPr="003D4D09" w:rsidRDefault="000F66F8" w:rsidP="000F66F8">
      <w:pPr>
        <w:keepNext/>
        <w:rPr>
          <w:rFonts w:cs="Calibri"/>
          <w:szCs w:val="20"/>
          <w:lang w:val="en-US"/>
        </w:rPr>
      </w:pPr>
      <w:r w:rsidRPr="003D4D09">
        <w:rPr>
          <w:rFonts w:cs="Calibri"/>
          <w:szCs w:val="20"/>
          <w:lang w:val="en-US"/>
        </w:rPr>
        <w:t xml:space="preserve">Moreover, this opinion evidently takes into account, as </w:t>
      </w:r>
      <w:r>
        <w:rPr>
          <w:rFonts w:cs="Calibri"/>
          <w:szCs w:val="20"/>
          <w:lang w:val="en-US"/>
        </w:rPr>
        <w:t xml:space="preserve">also </w:t>
      </w:r>
      <w:r w:rsidRPr="003D4D09">
        <w:rPr>
          <w:rFonts w:cs="Calibri"/>
          <w:szCs w:val="20"/>
          <w:lang w:val="en-US"/>
        </w:rPr>
        <w:t>did an</w:t>
      </w:r>
      <w:r>
        <w:rPr>
          <w:rFonts w:cs="Calibri"/>
          <w:szCs w:val="20"/>
          <w:lang w:val="en-US"/>
        </w:rPr>
        <w:t>other opinion</w:t>
      </w:r>
      <w:r w:rsidRPr="003D4D09">
        <w:rPr>
          <w:rFonts w:cs="Calibri"/>
          <w:szCs w:val="20"/>
          <w:lang w:val="en-US"/>
        </w:rPr>
        <w:t>,</w:t>
      </w:r>
      <w:r w:rsidRPr="003D4D09">
        <w:rPr>
          <w:rStyle w:val="FootnoteReference"/>
          <w:rFonts w:cs="Calibri"/>
          <w:szCs w:val="20"/>
          <w:lang w:val="en-US"/>
        </w:rPr>
        <w:footnoteReference w:id="453"/>
      </w:r>
      <w:r w:rsidRPr="003D4D09">
        <w:rPr>
          <w:rFonts w:cs="Calibri"/>
          <w:szCs w:val="20"/>
          <w:lang w:val="en-US"/>
        </w:rPr>
        <w:t xml:space="preserve"> of the fact that one of the particular imperatives faced by a tribunal such as the Inter-American Court is that of acting with full awareness that, as an autonomous and independent entity, there is no superior authority that controls it, which means that, true to the important role assigned to it, it must strictly respect the limits of this role</w:t>
      </w:r>
      <w:r>
        <w:rPr>
          <w:rFonts w:cs="Calibri"/>
          <w:szCs w:val="20"/>
          <w:lang w:val="en-US"/>
        </w:rPr>
        <w:t>,</w:t>
      </w:r>
      <w:r w:rsidRPr="003D4D09">
        <w:rPr>
          <w:rFonts w:cs="Calibri"/>
          <w:szCs w:val="20"/>
          <w:lang w:val="en-US"/>
        </w:rPr>
        <w:t xml:space="preserve"> and remain and evolve in the sphere inherent to a jurisdictional entity.</w:t>
      </w:r>
    </w:p>
    <w:p w14:paraId="5B7A845D" w14:textId="77777777" w:rsidR="000F66F8" w:rsidRPr="003D4D09" w:rsidRDefault="000F66F8" w:rsidP="000F66F8">
      <w:pPr>
        <w:keepNext/>
        <w:rPr>
          <w:rFonts w:cs="Calibri"/>
          <w:szCs w:val="20"/>
          <w:lang w:val="en-US"/>
        </w:rPr>
      </w:pPr>
    </w:p>
    <w:p w14:paraId="0051C752" w14:textId="177FBDD1" w:rsidR="000F66F8" w:rsidRPr="003D4D09" w:rsidRDefault="000F66F8" w:rsidP="000F66F8">
      <w:pPr>
        <w:keepNext/>
        <w:rPr>
          <w:rFonts w:cs="Calibri"/>
          <w:szCs w:val="20"/>
          <w:lang w:val="en-US"/>
        </w:rPr>
      </w:pPr>
      <w:r w:rsidRPr="003D4D09">
        <w:rPr>
          <w:rFonts w:cs="Calibri"/>
          <w:szCs w:val="20"/>
          <w:lang w:val="en-US"/>
        </w:rPr>
        <w:t>Without d</w:t>
      </w:r>
      <w:r>
        <w:rPr>
          <w:rFonts w:cs="Calibri"/>
          <w:szCs w:val="20"/>
          <w:lang w:val="en-US"/>
        </w:rPr>
        <w:t>oubt, acting as indicated above</w:t>
      </w:r>
      <w:r w:rsidRPr="003D4D09">
        <w:rPr>
          <w:rFonts w:cs="Calibri"/>
          <w:szCs w:val="20"/>
          <w:lang w:val="en-US"/>
        </w:rPr>
        <w:t xml:space="preserve"> is the best contribution that the Court can make to the development and consolidation of the inter-American system of</w:t>
      </w:r>
      <w:r>
        <w:rPr>
          <w:rFonts w:cs="Calibri"/>
          <w:szCs w:val="20"/>
          <w:lang w:val="en-US"/>
        </w:rPr>
        <w:t xml:space="preserve"> human rights – a</w:t>
      </w:r>
      <w:r w:rsidRPr="003D4D09">
        <w:rPr>
          <w:rFonts w:cs="Calibri"/>
          <w:szCs w:val="20"/>
          <w:lang w:val="en-US"/>
        </w:rPr>
        <w:t xml:space="preserve"> requirement </w:t>
      </w:r>
      <w:r w:rsidRPr="003D4D09">
        <w:rPr>
          <w:rFonts w:cs="Calibri"/>
          <w:i/>
          <w:szCs w:val="20"/>
          <w:lang w:val="en-US"/>
        </w:rPr>
        <w:t xml:space="preserve">sine qua non </w:t>
      </w:r>
      <w:r w:rsidRPr="003D4D09">
        <w:rPr>
          <w:rFonts w:cs="Calibri"/>
          <w:szCs w:val="20"/>
          <w:lang w:val="en-US"/>
        </w:rPr>
        <w:t>for the prope</w:t>
      </w:r>
      <w:r>
        <w:rPr>
          <w:rFonts w:cs="Calibri"/>
          <w:szCs w:val="20"/>
          <w:lang w:val="en-US"/>
        </w:rPr>
        <w:t>r safeguard of those rights – an</w:t>
      </w:r>
      <w:r w:rsidRPr="003D4D09">
        <w:rPr>
          <w:rFonts w:cs="Calibri"/>
          <w:szCs w:val="20"/>
          <w:lang w:val="en-US"/>
        </w:rPr>
        <w:t xml:space="preserve"> institutional framework within which it is incumbent on the Commission to promote respect for and </w:t>
      </w:r>
      <w:r>
        <w:rPr>
          <w:rFonts w:cs="Calibri"/>
          <w:szCs w:val="20"/>
          <w:lang w:val="en-US"/>
        </w:rPr>
        <w:t xml:space="preserve">to </w:t>
      </w:r>
      <w:r w:rsidRPr="003D4D09">
        <w:rPr>
          <w:rFonts w:cs="Calibri"/>
          <w:szCs w:val="20"/>
          <w:lang w:val="en-US"/>
        </w:rPr>
        <w:t>defend those rights,</w:t>
      </w:r>
      <w:r w:rsidRPr="003D4D09">
        <w:rPr>
          <w:rStyle w:val="FootnoteReference"/>
          <w:rFonts w:cs="Calibri"/>
          <w:szCs w:val="20"/>
          <w:lang w:val="en-US"/>
        </w:rPr>
        <w:footnoteReference w:id="454"/>
      </w:r>
      <w:r w:rsidRPr="003D4D09">
        <w:rPr>
          <w:rFonts w:cs="Calibri"/>
          <w:szCs w:val="20"/>
          <w:lang w:val="en-US"/>
        </w:rPr>
        <w:t xml:space="preserve"> on the Court to interpret and apply the Convention in the cases that are submitted to it,</w:t>
      </w:r>
      <w:r w:rsidRPr="003D4D09">
        <w:rPr>
          <w:rStyle w:val="FootnoteReference"/>
          <w:rFonts w:cs="Calibri"/>
          <w:szCs w:val="20"/>
          <w:lang w:val="en-US"/>
        </w:rPr>
        <w:footnoteReference w:id="455"/>
      </w:r>
      <w:r w:rsidRPr="003D4D09">
        <w:rPr>
          <w:rFonts w:cs="Calibri"/>
          <w:szCs w:val="20"/>
          <w:lang w:val="en-US"/>
        </w:rPr>
        <w:t xml:space="preserve"> and on the States to amend the Convention if they consider this necessary.</w:t>
      </w:r>
      <w:r w:rsidRPr="003D4D09">
        <w:rPr>
          <w:rStyle w:val="FootnoteReference"/>
          <w:rFonts w:cs="Calibri"/>
          <w:szCs w:val="20"/>
          <w:lang w:val="en-US"/>
        </w:rPr>
        <w:footnoteReference w:id="456"/>
      </w:r>
      <w:r w:rsidRPr="003D4D09">
        <w:rPr>
          <w:rFonts w:cs="Calibri"/>
          <w:szCs w:val="20"/>
          <w:lang w:val="en-US"/>
        </w:rPr>
        <w:t xml:space="preserve"> The development and strength of this system is rooted in compliance by each of</w:t>
      </w:r>
      <w:r>
        <w:rPr>
          <w:rFonts w:cs="Calibri"/>
          <w:szCs w:val="20"/>
          <w:lang w:val="en-US"/>
        </w:rPr>
        <w:t xml:space="preserve"> them with their specific roles</w:t>
      </w:r>
      <w:r w:rsidRPr="003D4D09">
        <w:rPr>
          <w:rFonts w:cs="Calibri"/>
          <w:szCs w:val="20"/>
          <w:lang w:val="en-US"/>
        </w:rPr>
        <w:t>.</w:t>
      </w:r>
    </w:p>
    <w:p w14:paraId="5C584DBC" w14:textId="77777777" w:rsidR="000F66F8" w:rsidRPr="003D4D09" w:rsidRDefault="000F66F8" w:rsidP="000F66F8">
      <w:pPr>
        <w:keepNext/>
        <w:rPr>
          <w:rFonts w:cs="Calibri"/>
          <w:szCs w:val="20"/>
          <w:lang w:val="en-US"/>
        </w:rPr>
      </w:pPr>
    </w:p>
    <w:p w14:paraId="42AB00F0" w14:textId="77777777" w:rsidR="000F66F8" w:rsidRPr="004B6D8E" w:rsidRDefault="000F66F8" w:rsidP="000F66F8">
      <w:pPr>
        <w:keepNext/>
        <w:ind w:left="5103"/>
        <w:jc w:val="center"/>
        <w:rPr>
          <w:rFonts w:cs="Calibri"/>
          <w:szCs w:val="20"/>
        </w:rPr>
      </w:pPr>
      <w:r w:rsidRPr="004B6D8E">
        <w:rPr>
          <w:rFonts w:cs="Calibri"/>
          <w:szCs w:val="20"/>
        </w:rPr>
        <w:t>Eduardo Vio Grossi</w:t>
      </w:r>
    </w:p>
    <w:p w14:paraId="354FBEAC" w14:textId="77777777" w:rsidR="000F66F8" w:rsidRPr="004B6D8E" w:rsidRDefault="000F66F8" w:rsidP="000F66F8">
      <w:pPr>
        <w:keepNext/>
        <w:ind w:left="5103"/>
        <w:jc w:val="center"/>
        <w:rPr>
          <w:rFonts w:cs="Calibri"/>
          <w:szCs w:val="20"/>
        </w:rPr>
      </w:pPr>
      <w:proofErr w:type="spellStart"/>
      <w:r w:rsidRPr="004B6D8E">
        <w:rPr>
          <w:rFonts w:cs="Calibri"/>
          <w:szCs w:val="20"/>
        </w:rPr>
        <w:t>Judge</w:t>
      </w:r>
      <w:proofErr w:type="spellEnd"/>
    </w:p>
    <w:p w14:paraId="4F528AE6" w14:textId="77777777" w:rsidR="000F66F8" w:rsidRPr="004B6D8E" w:rsidRDefault="000F66F8" w:rsidP="000F66F8">
      <w:pPr>
        <w:keepNext/>
        <w:rPr>
          <w:szCs w:val="20"/>
        </w:rPr>
      </w:pPr>
    </w:p>
    <w:p w14:paraId="2CA77F29" w14:textId="77777777" w:rsidR="000F66F8" w:rsidRPr="004B6D8E" w:rsidRDefault="000F66F8" w:rsidP="000F66F8">
      <w:pPr>
        <w:pStyle w:val="ListParagraph"/>
        <w:keepNext/>
        <w:ind w:left="0"/>
        <w:rPr>
          <w:rFonts w:cs="Verdana"/>
          <w:szCs w:val="20"/>
          <w:lang w:eastAsia="es-MX"/>
        </w:rPr>
      </w:pPr>
    </w:p>
    <w:p w14:paraId="30C6070F" w14:textId="77777777" w:rsidR="000F66F8" w:rsidRPr="004B6D8E" w:rsidRDefault="000F66F8" w:rsidP="000F66F8">
      <w:pPr>
        <w:pStyle w:val="ListParagraph"/>
        <w:keepNext/>
        <w:ind w:left="0" w:right="4585"/>
        <w:rPr>
          <w:rFonts w:cs="Verdana"/>
          <w:szCs w:val="20"/>
          <w:lang w:eastAsia="es-MX"/>
        </w:rPr>
      </w:pPr>
      <w:r w:rsidRPr="004B6D8E">
        <w:rPr>
          <w:rFonts w:cs="Verdana"/>
          <w:szCs w:val="20"/>
          <w:lang w:eastAsia="es-MX"/>
        </w:rPr>
        <w:t>Pablo Saavedra Alessandri</w:t>
      </w:r>
    </w:p>
    <w:p w14:paraId="1C166BE4" w14:textId="4DF5FE93" w:rsidR="000F66F8" w:rsidRPr="000F66F8" w:rsidRDefault="000F66F8" w:rsidP="000F66F8">
      <w:pPr>
        <w:pStyle w:val="ListParagraph"/>
        <w:keepNext/>
        <w:ind w:left="0" w:right="4585" w:firstLine="720"/>
        <w:rPr>
          <w:rFonts w:cs="Verdana"/>
          <w:spacing w:val="-2"/>
          <w:szCs w:val="20"/>
          <w:lang w:val="en-US"/>
        </w:rPr>
      </w:pPr>
      <w:r w:rsidRPr="003D4D09">
        <w:rPr>
          <w:rFonts w:cs="Verdana"/>
          <w:szCs w:val="20"/>
          <w:lang w:val="en-US" w:eastAsia="es-MX"/>
        </w:rPr>
        <w:t>Secretary</w:t>
      </w:r>
      <w:bookmarkStart w:id="1432" w:name="_GoBack"/>
      <w:bookmarkEnd w:id="1432"/>
    </w:p>
    <w:sectPr w:rsidR="000F66F8" w:rsidRPr="000F66F8" w:rsidSect="00F84465">
      <w:footnotePr>
        <w:numRestart w:val="eachSect"/>
      </w:footnotePr>
      <w:pgSz w:w="12240" w:h="15840"/>
      <w:pgMar w:top="1418" w:right="160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B1BFD" w14:textId="77777777" w:rsidR="00397BB4" w:rsidRDefault="00397BB4" w:rsidP="004655C7">
      <w:r>
        <w:separator/>
      </w:r>
    </w:p>
  </w:endnote>
  <w:endnote w:type="continuationSeparator" w:id="0">
    <w:p w14:paraId="1CCECBC9" w14:textId="77777777" w:rsidR="00397BB4" w:rsidRDefault="00397BB4" w:rsidP="0046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Univers">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Palatino-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Palatino">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libri">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Italic">
    <w:panose1 w:val="00000000000000000000"/>
    <w:charset w:val="00"/>
    <w:family w:val="auto"/>
    <w:notTrueType/>
    <w:pitch w:val="default"/>
    <w:sig w:usb0="00000003" w:usb1="00000000" w:usb2="00000000" w:usb3="00000000" w:csb0="00000001" w:csb1="00000000"/>
  </w:font>
  <w:font w:name="Verdana,BoldItalic">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Helvetica Neue">
    <w:altName w:val="Malgun Gothic"/>
    <w:charset w:val="00"/>
    <w:family w:val="auto"/>
    <w:pitch w:val="variable"/>
    <w:sig w:usb0="00000003" w:usb1="500079DB" w:usb2="00000010" w:usb3="00000000" w:csb0="00000001" w:csb1="00000000"/>
  </w:font>
  <w:font w:name="ArialNarrow">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Verdana-Italic">
    <w:altName w:val="Verdana Italic"/>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536330" w14:textId="4B4792E9" w:rsidR="00F84465" w:rsidRDefault="00397BB4">
    <w:pPr>
      <w:pStyle w:val="Footer"/>
      <w:jc w:val="center"/>
    </w:pPr>
  </w:p>
  <w:p w14:paraId="6810E188" w14:textId="77777777" w:rsidR="00F84465" w:rsidRDefault="00397B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3FF66" w14:textId="77777777" w:rsidR="00F84465" w:rsidRDefault="00397BB4">
    <w:pPr>
      <w:pStyle w:val="Footer"/>
      <w:jc w:val="center"/>
    </w:pPr>
  </w:p>
  <w:p w14:paraId="3B89D661" w14:textId="77777777" w:rsidR="00F84465" w:rsidRDefault="00397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03D62" w14:textId="77777777" w:rsidR="00397BB4" w:rsidRDefault="00397BB4" w:rsidP="004655C7">
      <w:r>
        <w:separator/>
      </w:r>
    </w:p>
  </w:footnote>
  <w:footnote w:type="continuationSeparator" w:id="0">
    <w:p w14:paraId="10664ABA" w14:textId="77777777" w:rsidR="00397BB4" w:rsidRDefault="00397BB4" w:rsidP="004655C7">
      <w:r>
        <w:continuationSeparator/>
      </w:r>
    </w:p>
  </w:footnote>
  <w:footnote w:id="1">
    <w:p w14:paraId="56FB72F9" w14:textId="54FD1859" w:rsidR="002306C1" w:rsidRPr="0079515C" w:rsidRDefault="002306C1" w:rsidP="00853044">
      <w:pPr>
        <w:pStyle w:val="Footnotes"/>
        <w:rPr>
          <w:lang w:val="en-US"/>
        </w:rPr>
      </w:pPr>
      <w:r w:rsidRPr="0079515C">
        <w:rPr>
          <w:rStyle w:val="FootnoteReference"/>
          <w:rFonts w:eastAsiaTheme="majorEastAsia"/>
          <w:spacing w:val="-4"/>
          <w:szCs w:val="16"/>
          <w:lang w:val="en-US"/>
        </w:rPr>
        <w:t>*</w:t>
      </w:r>
      <w:r w:rsidRPr="0079515C">
        <w:rPr>
          <w:lang w:val="en-US"/>
        </w:rPr>
        <w:t xml:space="preserve"> </w:t>
      </w:r>
      <w:r w:rsidRPr="0079515C">
        <w:rPr>
          <w:lang w:val="en-US"/>
        </w:rPr>
        <w:tab/>
        <w:t xml:space="preserve">Judge Diego </w:t>
      </w:r>
      <w:proofErr w:type="spellStart"/>
      <w:r w:rsidRPr="0079515C">
        <w:rPr>
          <w:lang w:val="en-US"/>
        </w:rPr>
        <w:t>García-Sayán</w:t>
      </w:r>
      <w:proofErr w:type="spellEnd"/>
      <w:r w:rsidRPr="0079515C">
        <w:rPr>
          <w:lang w:val="en-US"/>
        </w:rPr>
        <w:t xml:space="preserve">, a Peruvian national, did not take part in the </w:t>
      </w:r>
      <w:r>
        <w:rPr>
          <w:lang w:val="en-US"/>
        </w:rPr>
        <w:t xml:space="preserve">hearing of the case </w:t>
      </w:r>
      <w:r w:rsidRPr="0079515C">
        <w:rPr>
          <w:lang w:val="en-US"/>
        </w:rPr>
        <w:t xml:space="preserve">and </w:t>
      </w:r>
      <w:r>
        <w:rPr>
          <w:lang w:val="en-US"/>
        </w:rPr>
        <w:t>the deliberation of this</w:t>
      </w:r>
      <w:r w:rsidRPr="0079515C">
        <w:rPr>
          <w:lang w:val="en-US"/>
        </w:rPr>
        <w:t xml:space="preserve"> Judgment, in accordance with the provisions of Article 19(1) of the Court’s Rule of Procedure.</w:t>
      </w:r>
    </w:p>
  </w:footnote>
  <w:footnote w:id="2">
    <w:p w14:paraId="077693A0" w14:textId="2F67B0E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t>**</w:t>
      </w:r>
      <w:r w:rsidRPr="0079515C">
        <w:rPr>
          <w:spacing w:val="-4"/>
          <w:lang w:val="en-US"/>
        </w:rPr>
        <w:t xml:space="preserve"> </w:t>
      </w:r>
      <w:r w:rsidRPr="0079515C">
        <w:rPr>
          <w:spacing w:val="-4"/>
          <w:lang w:val="en-US"/>
        </w:rPr>
        <w:tab/>
        <w:t xml:space="preserve">According to the information in the file, the official name of the presumed victim in Chinese is Huang </w:t>
      </w:r>
      <w:proofErr w:type="spellStart"/>
      <w:r w:rsidRPr="0079515C">
        <w:rPr>
          <w:spacing w:val="-4"/>
          <w:lang w:val="en-US"/>
        </w:rPr>
        <w:t>Haiyong</w:t>
      </w:r>
      <w:proofErr w:type="spellEnd"/>
      <w:r w:rsidRPr="0079515C">
        <w:rPr>
          <w:spacing w:val="-4"/>
          <w:lang w:val="en-US"/>
        </w:rPr>
        <w:t xml:space="preserve">, while Wong Ho Wing is a transliteration of his name into English </w:t>
      </w:r>
      <w:r w:rsidRPr="0079515C">
        <w:rPr>
          <w:i/>
          <w:spacing w:val="-4"/>
          <w:lang w:val="en-US"/>
        </w:rPr>
        <w:t xml:space="preserve">Cf. </w:t>
      </w:r>
      <w:r w:rsidRPr="0079515C">
        <w:rPr>
          <w:spacing w:val="-4"/>
          <w:lang w:val="en-US"/>
        </w:rPr>
        <w:t>Advisory decision of the Permanent Criminal Chamber of January 27, 2010 (evidence file, folio 164). Despite this, in a statement made in the domestic sphere, Wong Ho Wing indicated that Huang is his surname in Mandarin, while Wong corresponds to the version in Cantonese, but that “they both have the same meaning.” Statement made by Wong Ho Wing on September 23, 2013, before representatives of the Public Prosecutor for Money-laundering and the Public Prosecution Service (evidence file, folio 7173). For the purposes of this Judgment, the Court will identify the presumed victim as Wong Ho Wing, as he has been identified in the domestic extradition process, as well as throughout these proceedings before the inter-American human rights system.</w:t>
      </w:r>
    </w:p>
  </w:footnote>
  <w:footnote w:id="3">
    <w:p w14:paraId="6B0A1A71" w14:textId="4AD668CD" w:rsidR="002306C1" w:rsidRPr="0079515C" w:rsidRDefault="002306C1" w:rsidP="00853044">
      <w:pPr>
        <w:pStyle w:val="Footnotes"/>
        <w:spacing w:before="120"/>
        <w:rPr>
          <w:lang w:val="en-US"/>
        </w:rPr>
      </w:pPr>
      <w:r w:rsidRPr="0079515C">
        <w:rPr>
          <w:rStyle w:val="FootnoteReference"/>
          <w:rFonts w:eastAsiaTheme="majorEastAsia"/>
          <w:spacing w:val="-4"/>
          <w:szCs w:val="16"/>
          <w:lang w:val="en-US"/>
        </w:rPr>
        <w:footnoteRef/>
      </w:r>
      <w:r w:rsidRPr="0079515C">
        <w:rPr>
          <w:vertAlign w:val="superscript"/>
          <w:lang w:val="en-US"/>
        </w:rPr>
        <w:t xml:space="preserve"> </w:t>
      </w:r>
      <w:r w:rsidRPr="0079515C">
        <w:rPr>
          <w:lang w:val="en-US"/>
        </w:rPr>
        <w:tab/>
      </w:r>
      <w:r w:rsidRPr="0079515C">
        <w:rPr>
          <w:i/>
          <w:lang w:val="en-US"/>
        </w:rPr>
        <w:t>Cf.</w:t>
      </w:r>
      <w:r w:rsidRPr="0079515C">
        <w:rPr>
          <w:lang w:val="en-US"/>
        </w:rPr>
        <w:t xml:space="preserve"> Initial petition lodged on March 27, 2009, by Luis Lamas </w:t>
      </w:r>
      <w:proofErr w:type="spellStart"/>
      <w:r w:rsidRPr="0079515C">
        <w:rPr>
          <w:lang w:val="en-US"/>
        </w:rPr>
        <w:t>Puccio</w:t>
      </w:r>
      <w:proofErr w:type="spellEnd"/>
      <w:r w:rsidRPr="0079515C">
        <w:rPr>
          <w:lang w:val="en-US"/>
        </w:rPr>
        <w:t xml:space="preserve"> and Wong Ho Wing (evidence file, folio 753).</w:t>
      </w:r>
    </w:p>
  </w:footnote>
  <w:footnote w:id="4">
    <w:p w14:paraId="7DA55F87" w14:textId="2897ED0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Admissibility Report No. 151/10, </w:t>
      </w:r>
      <w:r w:rsidRPr="0079515C">
        <w:rPr>
          <w:i/>
          <w:spacing w:val="-4"/>
          <w:lang w:val="en-US"/>
        </w:rPr>
        <w:t>Case of Wong Ho Wing v. Peru</w:t>
      </w:r>
      <w:r w:rsidRPr="0079515C">
        <w:rPr>
          <w:spacing w:val="-4"/>
          <w:lang w:val="en-US"/>
        </w:rPr>
        <w:t>, November 1, 2010 (evidence file, folio 1154).</w:t>
      </w:r>
    </w:p>
    <w:p w14:paraId="4C4EAF42" w14:textId="77777777" w:rsidR="002306C1" w:rsidRPr="0079515C" w:rsidRDefault="002306C1" w:rsidP="00853044">
      <w:pPr>
        <w:pStyle w:val="FootnoteText"/>
        <w:tabs>
          <w:tab w:val="clear" w:pos="567"/>
          <w:tab w:val="left" w:pos="426"/>
        </w:tabs>
        <w:spacing w:before="120" w:after="120"/>
        <w:rPr>
          <w:spacing w:val="-4"/>
          <w:lang w:val="en-US"/>
        </w:rPr>
      </w:pPr>
    </w:p>
  </w:footnote>
  <w:footnote w:id="5">
    <w:p w14:paraId="01A66281" w14:textId="19F97C4E" w:rsidR="002306C1" w:rsidRPr="0079515C" w:rsidRDefault="002306C1" w:rsidP="00853044">
      <w:pPr>
        <w:pStyle w:val="Footnotes"/>
        <w:spacing w:before="120"/>
        <w:rPr>
          <w:lang w:val="en-US"/>
        </w:rPr>
      </w:pPr>
      <w:r w:rsidRPr="0079515C">
        <w:rPr>
          <w:rStyle w:val="FootnoteReference"/>
          <w:rFonts w:eastAsiaTheme="majorEastAsia" w:cs="Times New Roman"/>
          <w:spacing w:val="-4"/>
          <w:szCs w:val="16"/>
          <w:lang w:val="en-US"/>
        </w:rPr>
        <w:footnoteRef/>
      </w:r>
      <w:r w:rsidRPr="0079515C">
        <w:rPr>
          <w:vertAlign w:val="superscript"/>
          <w:lang w:val="en-US"/>
        </w:rPr>
        <w:t xml:space="preserve"> </w:t>
      </w:r>
      <w:r w:rsidRPr="0079515C">
        <w:rPr>
          <w:lang w:val="en-US"/>
        </w:rPr>
        <w:tab/>
      </w:r>
      <w:proofErr w:type="gramStart"/>
      <w:r w:rsidRPr="0079515C">
        <w:rPr>
          <w:i/>
          <w:lang w:val="en-US"/>
        </w:rPr>
        <w:t>Cf. Case of Wong Ho Wing v. Peru.</w:t>
      </w:r>
      <w:proofErr w:type="gramEnd"/>
      <w:r w:rsidRPr="0079515C">
        <w:rPr>
          <w:lang w:val="en-US"/>
        </w:rPr>
        <w:t xml:space="preserve"> Decision of the President of the Court of July 28, 2014. Available at: </w:t>
      </w:r>
      <w:hyperlink r:id="rId1" w:history="1">
        <w:r w:rsidRPr="0079515C">
          <w:rPr>
            <w:rStyle w:val="Hyperlink"/>
            <w:rFonts w:cs="Times New Roman"/>
            <w:spacing w:val="-4"/>
            <w:szCs w:val="16"/>
            <w:lang w:val="en-US"/>
          </w:rPr>
          <w:t>http://www.corteidh.or.cr/docs/asuntos/wong_28_07_2014.doc</w:t>
        </w:r>
      </w:hyperlink>
      <w:r w:rsidRPr="0079515C">
        <w:rPr>
          <w:rStyle w:val="Hyperlink"/>
          <w:rFonts w:cs="Times New Roman"/>
          <w:color w:val="auto"/>
          <w:spacing w:val="-4"/>
          <w:szCs w:val="16"/>
          <w:u w:val="none"/>
          <w:lang w:val="en-US"/>
        </w:rPr>
        <w:t>.</w:t>
      </w:r>
    </w:p>
  </w:footnote>
  <w:footnote w:id="6">
    <w:p w14:paraId="671D9513" w14:textId="1D32B80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Although, </w:t>
      </w:r>
      <w:r>
        <w:rPr>
          <w:spacing w:val="-4"/>
          <w:lang w:val="en-US"/>
        </w:rPr>
        <w:t>under</w:t>
      </w:r>
      <w:r w:rsidRPr="0079515C">
        <w:rPr>
          <w:spacing w:val="-4"/>
          <w:lang w:val="en-US"/>
        </w:rPr>
        <w:t xml:space="preserve"> the second operative paragraphs of the President’s order of July 28, 2014, both parties were given the opportunity to pose questions to the deponents </w:t>
      </w:r>
      <w:r>
        <w:rPr>
          <w:spacing w:val="-4"/>
          <w:lang w:val="en-US"/>
        </w:rPr>
        <w:t xml:space="preserve">whose statements were required </w:t>
      </w:r>
      <w:r w:rsidRPr="0079515C">
        <w:rPr>
          <w:spacing w:val="-4"/>
          <w:lang w:val="en-US"/>
        </w:rPr>
        <w:t>by affidavit</w:t>
      </w:r>
      <w:r>
        <w:rPr>
          <w:spacing w:val="-4"/>
          <w:lang w:val="en-US"/>
        </w:rPr>
        <w:t>,</w:t>
      </w:r>
      <w:r w:rsidRPr="0079515C">
        <w:rPr>
          <w:spacing w:val="-4"/>
          <w:lang w:val="en-US"/>
        </w:rPr>
        <w:t xml:space="preserve"> the representative did not forward any questions for the deponents proposed by the State and the Commission.</w:t>
      </w:r>
    </w:p>
  </w:footnote>
  <w:footnote w:id="7">
    <w:p w14:paraId="74ECEC2B" w14:textId="13DF2896" w:rsidR="002306C1" w:rsidRPr="0079515C" w:rsidRDefault="002306C1" w:rsidP="00853044">
      <w:pPr>
        <w:pStyle w:val="Footnotes"/>
        <w:spacing w:before="120"/>
        <w:rPr>
          <w:lang w:val="en-US"/>
        </w:rPr>
      </w:pPr>
      <w:r w:rsidRPr="0079515C">
        <w:rPr>
          <w:rStyle w:val="FootnoteReference"/>
          <w:rFonts w:eastAsiaTheme="majorEastAsia"/>
          <w:spacing w:val="-4"/>
          <w:szCs w:val="16"/>
          <w:lang w:val="en-US"/>
        </w:rPr>
        <w:footnoteRef/>
      </w:r>
      <w:r w:rsidRPr="0079515C">
        <w:rPr>
          <w:vertAlign w:val="superscript"/>
          <w:lang w:val="en-US"/>
        </w:rPr>
        <w:t xml:space="preserve"> </w:t>
      </w:r>
      <w:r w:rsidRPr="0079515C">
        <w:rPr>
          <w:lang w:val="en-US"/>
        </w:rPr>
        <w:tab/>
        <w:t xml:space="preserve">There appeared at this hearing: (a) for the Inter-American Commission: James Louis </w:t>
      </w:r>
      <w:proofErr w:type="spellStart"/>
      <w:r w:rsidRPr="0079515C">
        <w:rPr>
          <w:lang w:val="en-US"/>
        </w:rPr>
        <w:t>Cavallaro</w:t>
      </w:r>
      <w:proofErr w:type="spellEnd"/>
      <w:r w:rsidRPr="0079515C">
        <w:rPr>
          <w:lang w:val="en-US"/>
        </w:rPr>
        <w:t xml:space="preserve">, Commissioner and Silvia Serrano </w:t>
      </w:r>
      <w:proofErr w:type="spellStart"/>
      <w:r w:rsidRPr="0079515C">
        <w:rPr>
          <w:lang w:val="en-US"/>
        </w:rPr>
        <w:t>Guzmán</w:t>
      </w:r>
      <w:proofErr w:type="spellEnd"/>
      <w:r w:rsidRPr="0079515C">
        <w:rPr>
          <w:lang w:val="en-US"/>
        </w:rPr>
        <w:t xml:space="preserve"> and Erick </w:t>
      </w:r>
      <w:proofErr w:type="spellStart"/>
      <w:r w:rsidRPr="0079515C">
        <w:rPr>
          <w:lang w:val="en-US"/>
        </w:rPr>
        <w:t>Acuña</w:t>
      </w:r>
      <w:proofErr w:type="spellEnd"/>
      <w:r w:rsidRPr="0079515C">
        <w:rPr>
          <w:lang w:val="en-US"/>
        </w:rPr>
        <w:t xml:space="preserve">, Advisers of the Executive Secretariat; (b) for the presumed victim: Luis Lamas </w:t>
      </w:r>
      <w:proofErr w:type="spellStart"/>
      <w:r w:rsidRPr="0079515C">
        <w:rPr>
          <w:lang w:val="en-US"/>
        </w:rPr>
        <w:t>Puccio</w:t>
      </w:r>
      <w:proofErr w:type="spellEnd"/>
      <w:r w:rsidRPr="0079515C">
        <w:rPr>
          <w:lang w:val="en-US"/>
        </w:rPr>
        <w:t xml:space="preserve"> and Miguel </w:t>
      </w:r>
      <w:proofErr w:type="spellStart"/>
      <w:r w:rsidRPr="0079515C">
        <w:rPr>
          <w:lang w:val="en-US"/>
        </w:rPr>
        <w:t>Ángel</w:t>
      </w:r>
      <w:proofErr w:type="spellEnd"/>
      <w:r w:rsidRPr="0079515C">
        <w:rPr>
          <w:lang w:val="en-US"/>
        </w:rPr>
        <w:t xml:space="preserve"> Soria </w:t>
      </w:r>
      <w:proofErr w:type="spellStart"/>
      <w:r w:rsidRPr="0079515C">
        <w:rPr>
          <w:lang w:val="en-US"/>
        </w:rPr>
        <w:t>Fuerte</w:t>
      </w:r>
      <w:proofErr w:type="spellEnd"/>
      <w:r w:rsidRPr="0079515C">
        <w:rPr>
          <w:lang w:val="en-US"/>
        </w:rPr>
        <w:t xml:space="preserve">, and (c) for the State: Luis Alberto Huerta Guerrero, Special Supranational Public Prosecutor, Agent, and </w:t>
      </w:r>
      <w:proofErr w:type="spellStart"/>
      <w:r w:rsidRPr="0079515C">
        <w:rPr>
          <w:lang w:val="en-US"/>
        </w:rPr>
        <w:t>Sofía</w:t>
      </w:r>
      <w:proofErr w:type="spellEnd"/>
      <w:r w:rsidRPr="0079515C">
        <w:rPr>
          <w:lang w:val="en-US"/>
        </w:rPr>
        <w:t xml:space="preserve"> </w:t>
      </w:r>
      <w:proofErr w:type="spellStart"/>
      <w:r w:rsidRPr="0079515C">
        <w:rPr>
          <w:lang w:val="en-US"/>
        </w:rPr>
        <w:t>Janett</w:t>
      </w:r>
      <w:proofErr w:type="spellEnd"/>
      <w:r w:rsidRPr="0079515C">
        <w:rPr>
          <w:lang w:val="en-US"/>
        </w:rPr>
        <w:t xml:space="preserve"> </w:t>
      </w:r>
      <w:proofErr w:type="spellStart"/>
      <w:r w:rsidRPr="0079515C">
        <w:rPr>
          <w:lang w:val="en-US"/>
        </w:rPr>
        <w:t>Donaires</w:t>
      </w:r>
      <w:proofErr w:type="spellEnd"/>
      <w:r w:rsidRPr="0079515C">
        <w:rPr>
          <w:lang w:val="en-US"/>
        </w:rPr>
        <w:t xml:space="preserve"> Vega and Carlos Miguel </w:t>
      </w:r>
      <w:proofErr w:type="spellStart"/>
      <w:r w:rsidRPr="0079515C">
        <w:rPr>
          <w:lang w:val="en-US"/>
        </w:rPr>
        <w:t>Reaño</w:t>
      </w:r>
      <w:proofErr w:type="spellEnd"/>
      <w:r w:rsidRPr="0079515C">
        <w:rPr>
          <w:lang w:val="en-US"/>
        </w:rPr>
        <w:t xml:space="preserve"> </w:t>
      </w:r>
      <w:proofErr w:type="spellStart"/>
      <w:r w:rsidRPr="0079515C">
        <w:rPr>
          <w:lang w:val="en-US"/>
        </w:rPr>
        <w:t>Balarezo</w:t>
      </w:r>
      <w:proofErr w:type="spellEnd"/>
      <w:r w:rsidRPr="0079515C">
        <w:rPr>
          <w:lang w:val="en-US"/>
        </w:rPr>
        <w:t>, lawyers of the Special Supranational Public Prosecutor’s Office.</w:t>
      </w:r>
    </w:p>
  </w:footnote>
  <w:footnote w:id="8">
    <w:p w14:paraId="042EA95C" w14:textId="3343265B" w:rsidR="002306C1" w:rsidRPr="0079515C" w:rsidRDefault="002306C1" w:rsidP="00853044">
      <w:pPr>
        <w:pStyle w:val="ListParagraph"/>
        <w:tabs>
          <w:tab w:val="left" w:pos="426"/>
        </w:tabs>
        <w:spacing w:before="120" w:after="120"/>
        <w:ind w:left="0"/>
        <w:rPr>
          <w:rFonts w:cs="Arial"/>
          <w:color w:val="222222"/>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Moreover, during the public hearing, the State argued that “the main purpose of the presumed victims and their representatives” is to obtain financial compensation, and they had filed no domestic remedies in this regard using the </w:t>
      </w:r>
      <w:r>
        <w:rPr>
          <w:spacing w:val="-4"/>
          <w:sz w:val="16"/>
          <w:szCs w:val="16"/>
          <w:lang w:val="en-US"/>
        </w:rPr>
        <w:t xml:space="preserve">existing </w:t>
      </w:r>
      <w:r w:rsidRPr="0079515C">
        <w:rPr>
          <w:spacing w:val="-4"/>
          <w:sz w:val="16"/>
          <w:szCs w:val="16"/>
          <w:lang w:val="en-US"/>
        </w:rPr>
        <w:t>mechanisms. The Court underscores that this argument was presented for the first time during the public hearing, so that it is time-barred.</w:t>
      </w:r>
    </w:p>
  </w:footnote>
  <w:footnote w:id="9">
    <w:p w14:paraId="1C3EB7B3" w14:textId="325761C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 xml:space="preserve">Case of Velásquez Rodríguez v. Honduras. </w:t>
      </w:r>
      <w:proofErr w:type="gramStart"/>
      <w:r w:rsidRPr="0079515C">
        <w:rPr>
          <w:i/>
          <w:spacing w:val="-4"/>
          <w:lang w:val="en-US"/>
        </w:rPr>
        <w:t>Preliminary objections.</w:t>
      </w:r>
      <w:proofErr w:type="gramEnd"/>
      <w:r w:rsidRPr="0079515C">
        <w:rPr>
          <w:spacing w:val="-4"/>
          <w:lang w:val="en-US"/>
        </w:rPr>
        <w:t xml:space="preserve"> Judgment of June 26, 1987. Series C No. 1, para. </w:t>
      </w:r>
      <w:proofErr w:type="gramStart"/>
      <w:r w:rsidRPr="0079515C">
        <w:rPr>
          <w:spacing w:val="-4"/>
          <w:lang w:val="en-US"/>
        </w:rPr>
        <w:t>85,</w:t>
      </w:r>
      <w:proofErr w:type="gramEnd"/>
      <w:r w:rsidRPr="0079515C">
        <w:rPr>
          <w:spacing w:val="-4"/>
          <w:lang w:val="en-US"/>
        </w:rPr>
        <w:t xml:space="preserve"> and </w:t>
      </w:r>
      <w:r w:rsidRPr="0079515C">
        <w:rPr>
          <w:i/>
          <w:spacing w:val="-4"/>
          <w:lang w:val="en-US"/>
        </w:rPr>
        <w:t xml:space="preserve">Case of Cruz Sánchez et al. v. Peru. </w:t>
      </w:r>
      <w:proofErr w:type="gramStart"/>
      <w:r w:rsidRPr="0079515C">
        <w:rPr>
          <w:i/>
          <w:spacing w:val="-4"/>
          <w:lang w:val="en-US"/>
        </w:rPr>
        <w:t>Preliminary objections, merits, reparations and costs.</w:t>
      </w:r>
      <w:proofErr w:type="gramEnd"/>
      <w:r w:rsidRPr="0079515C">
        <w:rPr>
          <w:i/>
          <w:spacing w:val="-4"/>
          <w:lang w:val="en-US"/>
        </w:rPr>
        <w:t xml:space="preserve"> </w:t>
      </w:r>
      <w:r w:rsidRPr="0079515C">
        <w:rPr>
          <w:spacing w:val="-4"/>
          <w:lang w:val="en-US"/>
        </w:rPr>
        <w:t>Judgment of April 17, 2015. Series C No. 292, para. 48.</w:t>
      </w:r>
    </w:p>
  </w:footnote>
  <w:footnote w:id="10">
    <w:p w14:paraId="2D1A198E" w14:textId="228813F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Velásquez</w:t>
      </w:r>
      <w:proofErr w:type="spellEnd"/>
      <w:r w:rsidRPr="0079515C">
        <w:rPr>
          <w:i/>
          <w:spacing w:val="-4"/>
          <w:lang w:val="en-US"/>
        </w:rPr>
        <w:t xml:space="preserve"> Rodríguez v. Honduras.</w:t>
      </w:r>
      <w:proofErr w:type="gramEnd"/>
      <w:r w:rsidRPr="0079515C">
        <w:rPr>
          <w:i/>
          <w:spacing w:val="-4"/>
          <w:lang w:val="en-US"/>
        </w:rPr>
        <w:t xml:space="preserve"> </w:t>
      </w:r>
      <w:proofErr w:type="gramStart"/>
      <w:r w:rsidRPr="0079515C">
        <w:rPr>
          <w:i/>
          <w:spacing w:val="-4"/>
          <w:lang w:val="en-US"/>
        </w:rPr>
        <w:t>Preliminary objections, supra</w:t>
      </w:r>
      <w:r w:rsidRPr="0079515C">
        <w:rPr>
          <w:spacing w:val="-4"/>
          <w:lang w:val="en-US"/>
        </w:rPr>
        <w:t>, para.</w:t>
      </w:r>
      <w:proofErr w:type="gramEnd"/>
      <w:r w:rsidRPr="0079515C">
        <w:rPr>
          <w:spacing w:val="-4"/>
          <w:lang w:val="en-US"/>
        </w:rPr>
        <w:t xml:space="preserve"> </w:t>
      </w:r>
      <w:proofErr w:type="gramStart"/>
      <w:r w:rsidRPr="0079515C">
        <w:rPr>
          <w:spacing w:val="-4"/>
          <w:lang w:val="en-US"/>
        </w:rPr>
        <w:t>85,</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49.</w:t>
      </w:r>
    </w:p>
  </w:footnote>
  <w:footnote w:id="11">
    <w:p w14:paraId="226636FA" w14:textId="731FBA9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The State’s brief of May 1 and 15, 2009, in which it referred to the application for </w:t>
      </w:r>
      <w:r w:rsidRPr="0079515C">
        <w:rPr>
          <w:i/>
          <w:spacing w:val="-4"/>
          <w:lang w:val="en-US"/>
        </w:rPr>
        <w:t>habeas corpus</w:t>
      </w:r>
      <w:r w:rsidRPr="0079515C">
        <w:rPr>
          <w:spacing w:val="-4"/>
          <w:lang w:val="en-US"/>
        </w:rPr>
        <w:t xml:space="preserve"> filed on January 26, 2009 (evidence file, folio 668); the State’s brief of August 13, 2009, in which it referred to the application for </w:t>
      </w:r>
      <w:r w:rsidRPr="0079515C">
        <w:rPr>
          <w:i/>
          <w:spacing w:val="-4"/>
          <w:lang w:val="en-US"/>
        </w:rPr>
        <w:t>habeas corpus</w:t>
      </w:r>
      <w:r w:rsidRPr="0079515C">
        <w:rPr>
          <w:spacing w:val="-4"/>
          <w:lang w:val="en-US"/>
        </w:rPr>
        <w:t xml:space="preserve"> filed on January 26, 2009 (evidence file, folio 575); the State’s brief of December 4, 2009, in which it referred to the application for </w:t>
      </w:r>
      <w:r w:rsidRPr="0079515C">
        <w:rPr>
          <w:i/>
          <w:spacing w:val="-4"/>
          <w:lang w:val="en-US"/>
        </w:rPr>
        <w:t>habeas corpus</w:t>
      </w:r>
      <w:r w:rsidRPr="0079515C">
        <w:rPr>
          <w:spacing w:val="-4"/>
          <w:lang w:val="en-US"/>
        </w:rPr>
        <w:t xml:space="preserve"> filed on October 12, 2009 (evidence file, folios 407 to 409); the State’s brief of January 11, 2010, in which it referred to the application for </w:t>
      </w:r>
      <w:r w:rsidRPr="0079515C">
        <w:rPr>
          <w:i/>
          <w:spacing w:val="-4"/>
          <w:lang w:val="en-US"/>
        </w:rPr>
        <w:t>habeas corpus</w:t>
      </w:r>
      <w:r w:rsidRPr="0079515C">
        <w:rPr>
          <w:spacing w:val="-4"/>
          <w:lang w:val="en-US"/>
        </w:rPr>
        <w:t xml:space="preserve"> filed on October 12, 2009 (evidence file, folios 482 to 484);</w:t>
      </w:r>
      <w:r w:rsidRPr="0079515C">
        <w:rPr>
          <w:i/>
          <w:iCs/>
          <w:spacing w:val="-4"/>
          <w:lang w:val="en-US"/>
        </w:rPr>
        <w:t xml:space="preserve"> </w:t>
      </w:r>
      <w:r w:rsidRPr="0079515C">
        <w:rPr>
          <w:spacing w:val="-4"/>
          <w:lang w:val="en-US"/>
        </w:rPr>
        <w:t>the State’s brief of March 1, 2010, in which it referred to the application</w:t>
      </w:r>
      <w:r>
        <w:rPr>
          <w:spacing w:val="-4"/>
          <w:lang w:val="en-US"/>
        </w:rPr>
        <w:t>s</w:t>
      </w:r>
      <w:r w:rsidRPr="0079515C">
        <w:rPr>
          <w:spacing w:val="-4"/>
          <w:lang w:val="en-US"/>
        </w:rPr>
        <w:t xml:space="preserve"> for </w:t>
      </w:r>
      <w:r w:rsidRPr="0079515C">
        <w:rPr>
          <w:i/>
          <w:spacing w:val="-4"/>
          <w:lang w:val="en-US"/>
        </w:rPr>
        <w:t>habeas corpus</w:t>
      </w:r>
      <w:r w:rsidRPr="0079515C">
        <w:rPr>
          <w:spacing w:val="-4"/>
          <w:lang w:val="en-US"/>
        </w:rPr>
        <w:t xml:space="preserve"> filed on October 12, 2009</w:t>
      </w:r>
      <w:r>
        <w:rPr>
          <w:spacing w:val="-4"/>
          <w:lang w:val="en-US"/>
        </w:rPr>
        <w:t>,</w:t>
      </w:r>
      <w:r w:rsidRPr="0079515C">
        <w:rPr>
          <w:spacing w:val="-4"/>
          <w:lang w:val="en-US"/>
        </w:rPr>
        <w:t xml:space="preserve"> and February 9, 2010 (evidence file, folios 1028 to 1030);</w:t>
      </w:r>
      <w:r w:rsidRPr="0079515C">
        <w:rPr>
          <w:i/>
          <w:iCs/>
          <w:spacing w:val="-4"/>
          <w:lang w:val="en-US"/>
        </w:rPr>
        <w:t xml:space="preserve"> </w:t>
      </w:r>
      <w:r w:rsidRPr="0079515C">
        <w:rPr>
          <w:spacing w:val="-4"/>
          <w:lang w:val="en-US"/>
        </w:rPr>
        <w:t>the State’s brief of July 16, 2010, in which it referred to the application</w:t>
      </w:r>
      <w:r>
        <w:rPr>
          <w:spacing w:val="-4"/>
          <w:lang w:val="en-US"/>
        </w:rPr>
        <w:t>s</w:t>
      </w:r>
      <w:r w:rsidRPr="0079515C">
        <w:rPr>
          <w:spacing w:val="-4"/>
          <w:lang w:val="en-US"/>
        </w:rPr>
        <w:t xml:space="preserve"> for </w:t>
      </w:r>
      <w:r w:rsidRPr="0079515C">
        <w:rPr>
          <w:i/>
          <w:spacing w:val="-4"/>
          <w:lang w:val="en-US"/>
        </w:rPr>
        <w:t>habeas corpus</w:t>
      </w:r>
      <w:r w:rsidRPr="0079515C">
        <w:rPr>
          <w:spacing w:val="-4"/>
          <w:lang w:val="en-US"/>
        </w:rPr>
        <w:t xml:space="preserve"> filed on January 26, 2009, October 12, 2009, and February 9, 2010 (evidence file, folios 844 to 851); the State’s brief of August 20, 2010, in which it referred to the application for </w:t>
      </w:r>
      <w:r w:rsidRPr="0079515C">
        <w:rPr>
          <w:i/>
          <w:spacing w:val="-4"/>
          <w:lang w:val="en-US"/>
        </w:rPr>
        <w:t>habeas corpus</w:t>
      </w:r>
      <w:r w:rsidRPr="0079515C">
        <w:rPr>
          <w:spacing w:val="-4"/>
          <w:lang w:val="en-US"/>
        </w:rPr>
        <w:t xml:space="preserve"> filed on February 9, 2010 (evidence file, folios 773 to 778), and the State’s brief of October 26, 2010, in which it referred to the application</w:t>
      </w:r>
      <w:r>
        <w:rPr>
          <w:spacing w:val="-4"/>
          <w:lang w:val="en-US"/>
        </w:rPr>
        <w:t>s</w:t>
      </w:r>
      <w:r w:rsidRPr="0079515C">
        <w:rPr>
          <w:spacing w:val="-4"/>
          <w:lang w:val="en-US"/>
        </w:rPr>
        <w:t xml:space="preserve"> for </w:t>
      </w:r>
      <w:r w:rsidRPr="0079515C">
        <w:rPr>
          <w:i/>
          <w:spacing w:val="-4"/>
          <w:lang w:val="en-US"/>
        </w:rPr>
        <w:t>habeas corpus</w:t>
      </w:r>
      <w:r w:rsidRPr="0079515C">
        <w:rPr>
          <w:spacing w:val="-4"/>
          <w:lang w:val="en-US"/>
        </w:rPr>
        <w:t xml:space="preserve"> filed on January 26, 2009, October 12, 2009, and February 9, 2010 (evidence file, folios 1189 to 1193).</w:t>
      </w:r>
    </w:p>
  </w:footnote>
  <w:footnote w:id="12">
    <w:p w14:paraId="6217C9AA" w14:textId="3961E0D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Admissibility Report No. 151/10, </w:t>
      </w:r>
      <w:r w:rsidRPr="0079515C">
        <w:rPr>
          <w:i/>
          <w:spacing w:val="-4"/>
          <w:lang w:val="en-US"/>
        </w:rPr>
        <w:t>Case of Wong Ho Wing v. Peru</w:t>
      </w:r>
      <w:r w:rsidRPr="0079515C">
        <w:rPr>
          <w:spacing w:val="-4"/>
          <w:lang w:val="en-US"/>
        </w:rPr>
        <w:t>, November 1, 2010 (evidence file, folios 1145 to 1155).</w:t>
      </w:r>
    </w:p>
  </w:footnote>
  <w:footnote w:id="13">
    <w:p w14:paraId="74DF9C34" w14:textId="04F63EE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Admissibility Report No. 151/10, </w:t>
      </w:r>
      <w:r w:rsidRPr="0079515C">
        <w:rPr>
          <w:i/>
          <w:spacing w:val="-4"/>
          <w:lang w:val="en-US"/>
        </w:rPr>
        <w:t>Case of Wong Ho Wing v. Peru</w:t>
      </w:r>
      <w:r w:rsidRPr="0079515C">
        <w:rPr>
          <w:spacing w:val="-4"/>
          <w:lang w:val="en-US"/>
        </w:rPr>
        <w:t>, November 1, 2010 (evidence file, folio 1152).</w:t>
      </w:r>
      <w:proofErr w:type="gramEnd"/>
    </w:p>
  </w:footnote>
  <w:footnote w:id="14">
    <w:p w14:paraId="41787D76" w14:textId="2283A4B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Castillo </w:t>
      </w:r>
      <w:proofErr w:type="spellStart"/>
      <w:r w:rsidRPr="0079515C">
        <w:rPr>
          <w:i/>
          <w:spacing w:val="-4"/>
          <w:lang w:val="en-US"/>
        </w:rPr>
        <w:t>Petruzzi</w:t>
      </w:r>
      <w:proofErr w:type="spellEnd"/>
      <w:r w:rsidRPr="0079515C">
        <w:rPr>
          <w:i/>
          <w:spacing w:val="-4"/>
          <w:lang w:val="en-US"/>
        </w:rPr>
        <w:t xml:space="preserve"> et al. v. Peru.</w:t>
      </w:r>
      <w:proofErr w:type="gramEnd"/>
      <w:r w:rsidRPr="0079515C">
        <w:rPr>
          <w:i/>
          <w:spacing w:val="-4"/>
          <w:lang w:val="en-US"/>
        </w:rPr>
        <w:t xml:space="preserve"> </w:t>
      </w:r>
      <w:proofErr w:type="gramStart"/>
      <w:r w:rsidRPr="0079515C">
        <w:rPr>
          <w:i/>
          <w:spacing w:val="-4"/>
          <w:lang w:val="en-US"/>
        </w:rPr>
        <w:t>Preliminary objections</w:t>
      </w:r>
      <w:r w:rsidRPr="0079515C">
        <w:rPr>
          <w:spacing w:val="-4"/>
          <w:lang w:val="en-US"/>
        </w:rPr>
        <w:t>.</w:t>
      </w:r>
      <w:proofErr w:type="gramEnd"/>
      <w:r w:rsidRPr="0079515C">
        <w:rPr>
          <w:spacing w:val="-4"/>
          <w:lang w:val="en-US"/>
        </w:rPr>
        <w:t xml:space="preserve"> </w:t>
      </w:r>
      <w:proofErr w:type="gramStart"/>
      <w:r w:rsidRPr="0079515C">
        <w:rPr>
          <w:spacing w:val="-4"/>
          <w:lang w:val="en-US"/>
        </w:rPr>
        <w:t>Judgment of September 4, 1998, Series C No. 41, para.</w:t>
      </w:r>
      <w:proofErr w:type="gramEnd"/>
      <w:r w:rsidRPr="0079515C">
        <w:rPr>
          <w:spacing w:val="-4"/>
          <w:lang w:val="en-US"/>
        </w:rPr>
        <w:t xml:space="preserve"> 54. See also: </w:t>
      </w:r>
      <w:r w:rsidRPr="0079515C">
        <w:rPr>
          <w:i/>
          <w:spacing w:val="-4"/>
          <w:lang w:val="en-US"/>
        </w:rPr>
        <w:t>Exceptions to the Exhaustion of Domestic Remedies (Arts. 46.1, 46.2.a and 46.2.b, American Convention on Human Rights)</w:t>
      </w:r>
      <w:r w:rsidRPr="0079515C">
        <w:rPr>
          <w:spacing w:val="-4"/>
          <w:lang w:val="en-US"/>
        </w:rPr>
        <w:t xml:space="preserve">. Advisory Opinion OC-11/90 of August 10, 1990. Series </w:t>
      </w:r>
      <w:proofErr w:type="gramStart"/>
      <w:r w:rsidRPr="0079515C">
        <w:rPr>
          <w:spacing w:val="-4"/>
          <w:lang w:val="en-US"/>
        </w:rPr>
        <w:t>A</w:t>
      </w:r>
      <w:proofErr w:type="gramEnd"/>
      <w:r w:rsidRPr="0079515C">
        <w:rPr>
          <w:spacing w:val="-4"/>
          <w:lang w:val="en-US"/>
        </w:rPr>
        <w:t xml:space="preserve"> No. 11, paras. </w:t>
      </w:r>
      <w:proofErr w:type="gramStart"/>
      <w:r w:rsidRPr="0079515C">
        <w:rPr>
          <w:spacing w:val="-4"/>
          <w:lang w:val="en-US"/>
        </w:rPr>
        <w:t>37 and 40.</w:t>
      </w:r>
      <w:proofErr w:type="gramEnd"/>
      <w:r w:rsidRPr="0079515C">
        <w:rPr>
          <w:spacing w:val="-4"/>
          <w:lang w:val="en-US"/>
        </w:rPr>
        <w:t xml:space="preserve"> </w:t>
      </w:r>
    </w:p>
  </w:footnote>
  <w:footnote w:id="15">
    <w:p w14:paraId="7A059A52" w14:textId="17335863"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During the processing of this case before the Commission, the Commission’s </w:t>
      </w:r>
      <w:r>
        <w:rPr>
          <w:spacing w:val="-4"/>
          <w:lang w:val="en-US"/>
        </w:rPr>
        <w:t xml:space="preserve">2008 </w:t>
      </w:r>
      <w:r w:rsidRPr="0079515C">
        <w:rPr>
          <w:spacing w:val="-4"/>
          <w:lang w:val="en-US"/>
        </w:rPr>
        <w:t xml:space="preserve">Rules of Procedure </w:t>
      </w:r>
      <w:r>
        <w:rPr>
          <w:spacing w:val="-4"/>
          <w:lang w:val="en-US"/>
        </w:rPr>
        <w:t xml:space="preserve">were in force </w:t>
      </w:r>
      <w:r w:rsidRPr="0079515C">
        <w:rPr>
          <w:spacing w:val="-4"/>
          <w:lang w:val="en-US"/>
        </w:rPr>
        <w:t>when th</w:t>
      </w:r>
      <w:r>
        <w:rPr>
          <w:spacing w:val="-4"/>
          <w:lang w:val="en-US"/>
        </w:rPr>
        <w:t>e initial petition was received,</w:t>
      </w:r>
      <w:r w:rsidRPr="0079515C">
        <w:rPr>
          <w:spacing w:val="-4"/>
          <w:lang w:val="en-US"/>
        </w:rPr>
        <w:t xml:space="preserve"> and </w:t>
      </w:r>
      <w:r>
        <w:rPr>
          <w:spacing w:val="-4"/>
          <w:lang w:val="en-US"/>
        </w:rPr>
        <w:t xml:space="preserve">the </w:t>
      </w:r>
      <w:r w:rsidRPr="0079515C">
        <w:rPr>
          <w:spacing w:val="-4"/>
          <w:lang w:val="en-US"/>
        </w:rPr>
        <w:t xml:space="preserve">2009 </w:t>
      </w:r>
      <w:r>
        <w:rPr>
          <w:spacing w:val="-4"/>
          <w:lang w:val="en-US"/>
        </w:rPr>
        <w:t xml:space="preserve">Rules of Procedure </w:t>
      </w:r>
      <w:r w:rsidRPr="0079515C">
        <w:rPr>
          <w:spacing w:val="-4"/>
          <w:lang w:val="en-US"/>
        </w:rPr>
        <w:t>were in force at the admissibility stage (when the Admissibility Report was issued). The articles cited above were the same in both versions. The Commission’s Rules of Procedure were subsequently amended in 2011 and 2013, and the latter version is the one currently in force. The separation of the stages mentioned above has been maintained in all the Commission’s Rules of Procedure in force during the processing of this case before the inter-American system.</w:t>
      </w:r>
    </w:p>
  </w:footnote>
  <w:footnote w:id="16">
    <w:p w14:paraId="4671FA66" w14:textId="1C1EFB3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39093A">
        <w:rPr>
          <w:spacing w:val="-4"/>
        </w:rPr>
        <w:t xml:space="preserve"> </w:t>
      </w:r>
      <w:r w:rsidRPr="0039093A">
        <w:rPr>
          <w:spacing w:val="-4"/>
        </w:rPr>
        <w:tab/>
      </w:r>
      <w:r w:rsidRPr="0039093A">
        <w:rPr>
          <w:i/>
          <w:spacing w:val="-4"/>
        </w:rPr>
        <w:t xml:space="preserve">Cf. Case of Velásquez Rodríguez v. Honduras. </w:t>
      </w:r>
      <w:proofErr w:type="gramStart"/>
      <w:r w:rsidRPr="0079515C">
        <w:rPr>
          <w:i/>
          <w:spacing w:val="-4"/>
          <w:lang w:val="en-US"/>
        </w:rPr>
        <w:t>Merits</w:t>
      </w:r>
      <w:r w:rsidRPr="0079515C">
        <w:rPr>
          <w:spacing w:val="-4"/>
          <w:lang w:val="en-US"/>
        </w:rPr>
        <w:t>.</w:t>
      </w:r>
      <w:proofErr w:type="gramEnd"/>
      <w:r w:rsidRPr="0079515C">
        <w:rPr>
          <w:spacing w:val="-4"/>
          <w:lang w:val="en-US"/>
        </w:rPr>
        <w:t xml:space="preserve"> Judgment of July 29, 1988. Series C No. 4, para. </w:t>
      </w:r>
      <w:proofErr w:type="gramStart"/>
      <w:r w:rsidRPr="0079515C">
        <w:rPr>
          <w:spacing w:val="-4"/>
          <w:lang w:val="en-US"/>
        </w:rPr>
        <w:t>61,</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48.</w:t>
      </w:r>
    </w:p>
  </w:footnote>
  <w:footnote w:id="17">
    <w:p w14:paraId="1D9FEF6D" w14:textId="3E64320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In general, the European Court has considered that domestic remedies should normally have been exhausted when lodging a petition, but has recognized that this rule is subject to exceptions, so that this exhaustion can be achieved shortly after the lodg</w:t>
      </w:r>
      <w:r>
        <w:rPr>
          <w:spacing w:val="-4"/>
          <w:lang w:val="en-US"/>
        </w:rPr>
        <w:t>ing of the petition, provided</w:t>
      </w:r>
      <w:r w:rsidRPr="0079515C">
        <w:rPr>
          <w:spacing w:val="-4"/>
          <w:lang w:val="en-US"/>
        </w:rPr>
        <w:t xml:space="preserve"> this is before its admissibility is determined. However, the European Court has also emphasized that the rule of exhaustion of domestic remedies should be applied with a certain degree of flexibility and without formalistic interpretations (ECHR, </w:t>
      </w:r>
      <w:r>
        <w:rPr>
          <w:i/>
          <w:spacing w:val="-4"/>
          <w:lang w:val="en-US"/>
        </w:rPr>
        <w:t xml:space="preserve">Case of </w:t>
      </w:r>
      <w:proofErr w:type="spellStart"/>
      <w:r w:rsidRPr="0079515C">
        <w:rPr>
          <w:i/>
          <w:spacing w:val="-4"/>
          <w:lang w:val="en-US"/>
        </w:rPr>
        <w:t>Ringeisen</w:t>
      </w:r>
      <w:proofErr w:type="spellEnd"/>
      <w:r w:rsidRPr="0079515C">
        <w:rPr>
          <w:i/>
          <w:spacing w:val="-4"/>
          <w:lang w:val="en-US"/>
        </w:rPr>
        <w:t xml:space="preserve"> v. Austria</w:t>
      </w:r>
      <w:r w:rsidRPr="0079515C">
        <w:rPr>
          <w:spacing w:val="-4"/>
          <w:lang w:val="en-US"/>
        </w:rPr>
        <w:t xml:space="preserve">, No. 2614/65. </w:t>
      </w:r>
      <w:proofErr w:type="gramStart"/>
      <w:r w:rsidRPr="0079515C">
        <w:rPr>
          <w:spacing w:val="-4"/>
          <w:lang w:val="en-US"/>
        </w:rPr>
        <w:t>Judgment of 16 July 1971, para.</w:t>
      </w:r>
      <w:proofErr w:type="gramEnd"/>
      <w:r w:rsidRPr="0079515C">
        <w:rPr>
          <w:spacing w:val="-4"/>
          <w:lang w:val="en-US"/>
        </w:rPr>
        <w:t xml:space="preserve"> 89), and has therefore admitted petitions where domestic remedies have not been exhausted when the petition is lodged, but were exhausted when the decision on admissibility was made, even </w:t>
      </w:r>
      <w:r>
        <w:rPr>
          <w:spacing w:val="-4"/>
          <w:lang w:val="en-US"/>
        </w:rPr>
        <w:t>when</w:t>
      </w:r>
      <w:r w:rsidRPr="0079515C">
        <w:rPr>
          <w:spacing w:val="-4"/>
          <w:lang w:val="en-US"/>
        </w:rPr>
        <w:t xml:space="preserve"> the exhaustion occurred years later. In this regard, see the cases: ECHR, </w:t>
      </w:r>
      <w:r w:rsidRPr="0079515C">
        <w:rPr>
          <w:i/>
          <w:spacing w:val="-4"/>
          <w:lang w:val="en-US"/>
        </w:rPr>
        <w:t xml:space="preserve">Case of </w:t>
      </w:r>
      <w:proofErr w:type="spellStart"/>
      <w:r w:rsidRPr="0079515C">
        <w:rPr>
          <w:i/>
          <w:spacing w:val="-4"/>
          <w:lang w:val="en-US"/>
        </w:rPr>
        <w:t>Trabelsi</w:t>
      </w:r>
      <w:proofErr w:type="spellEnd"/>
      <w:r w:rsidRPr="0079515C">
        <w:rPr>
          <w:i/>
          <w:spacing w:val="-4"/>
          <w:lang w:val="en-US"/>
        </w:rPr>
        <w:t xml:space="preserve"> v. Belgium</w:t>
      </w:r>
      <w:r w:rsidRPr="0079515C">
        <w:rPr>
          <w:spacing w:val="-4"/>
          <w:lang w:val="en-US"/>
        </w:rPr>
        <w:t>, No</w:t>
      </w:r>
      <w:r w:rsidRPr="0079515C">
        <w:rPr>
          <w:iCs/>
          <w:spacing w:val="-4"/>
          <w:lang w:val="en-US"/>
        </w:rPr>
        <w:t xml:space="preserve">. 140/10. </w:t>
      </w:r>
      <w:proofErr w:type="gramStart"/>
      <w:r>
        <w:rPr>
          <w:spacing w:val="-4"/>
          <w:lang w:val="en-US"/>
        </w:rPr>
        <w:t xml:space="preserve">Judgment of </w:t>
      </w:r>
      <w:r w:rsidRPr="0079515C">
        <w:rPr>
          <w:spacing w:val="-4"/>
          <w:lang w:val="en-US"/>
        </w:rPr>
        <w:t xml:space="preserve">September </w:t>
      </w:r>
      <w:r>
        <w:rPr>
          <w:spacing w:val="-4"/>
          <w:lang w:val="en-US"/>
        </w:rPr>
        <w:t xml:space="preserve">4, </w:t>
      </w:r>
      <w:r w:rsidRPr="0079515C">
        <w:rPr>
          <w:spacing w:val="-4"/>
          <w:lang w:val="en-US"/>
        </w:rPr>
        <w:t>2014, para.</w:t>
      </w:r>
      <w:proofErr w:type="gramEnd"/>
      <w:r w:rsidRPr="0079515C">
        <w:rPr>
          <w:spacing w:val="-4"/>
          <w:lang w:val="en-US"/>
        </w:rPr>
        <w:t xml:space="preserve"> 92. In this case, the European Court considered a petition admissible, </w:t>
      </w:r>
      <w:r w:rsidRPr="0079515C">
        <w:rPr>
          <w:i/>
          <w:spacing w:val="-4"/>
          <w:lang w:val="en-US"/>
        </w:rPr>
        <w:t>inter alia</w:t>
      </w:r>
      <w:r w:rsidRPr="0079515C">
        <w:rPr>
          <w:spacing w:val="-4"/>
          <w:lang w:val="en-US"/>
        </w:rPr>
        <w:t xml:space="preserve">, considering that, in any case, the extradition process ended before the decision on admissibility (even though this was four years after the presentation of the petition). </w:t>
      </w:r>
      <w:proofErr w:type="gramStart"/>
      <w:r w:rsidRPr="0079515C">
        <w:rPr>
          <w:spacing w:val="-4"/>
          <w:lang w:val="en-US"/>
        </w:rPr>
        <w:t xml:space="preserve">ECHR, </w:t>
      </w:r>
      <w:r w:rsidRPr="0079515C">
        <w:rPr>
          <w:i/>
          <w:spacing w:val="-4"/>
          <w:lang w:val="en-US"/>
        </w:rPr>
        <w:t>Case of</w:t>
      </w:r>
      <w:r w:rsidRPr="0079515C">
        <w:rPr>
          <w:spacing w:val="-4"/>
          <w:lang w:val="en-US"/>
        </w:rPr>
        <w:t xml:space="preserve"> </w:t>
      </w:r>
      <w:proofErr w:type="spellStart"/>
      <w:r w:rsidRPr="0079515C">
        <w:rPr>
          <w:i/>
          <w:spacing w:val="-4"/>
          <w:lang w:val="en-US"/>
        </w:rPr>
        <w:t>Enzile</w:t>
      </w:r>
      <w:proofErr w:type="spellEnd"/>
      <w:r w:rsidRPr="0079515C">
        <w:rPr>
          <w:i/>
          <w:spacing w:val="-4"/>
          <w:lang w:val="en-US"/>
        </w:rPr>
        <w:t xml:space="preserve"> </w:t>
      </w:r>
      <w:proofErr w:type="spellStart"/>
      <w:r w:rsidRPr="0079515C">
        <w:rPr>
          <w:i/>
          <w:spacing w:val="-4"/>
          <w:lang w:val="en-US"/>
        </w:rPr>
        <w:t>Özdemir</w:t>
      </w:r>
      <w:proofErr w:type="spellEnd"/>
      <w:r w:rsidRPr="0079515C">
        <w:rPr>
          <w:i/>
          <w:spacing w:val="-4"/>
          <w:lang w:val="en-US"/>
        </w:rPr>
        <w:t xml:space="preserve"> v. Turkey, </w:t>
      </w:r>
      <w:r>
        <w:rPr>
          <w:spacing w:val="-4"/>
          <w:lang w:val="en-US"/>
        </w:rPr>
        <w:t xml:space="preserve">No. 54169/00, </w:t>
      </w:r>
      <w:r w:rsidRPr="0079515C">
        <w:rPr>
          <w:spacing w:val="-4"/>
          <w:lang w:val="en-US"/>
        </w:rPr>
        <w:t xml:space="preserve">January </w:t>
      </w:r>
      <w:r>
        <w:rPr>
          <w:spacing w:val="-4"/>
          <w:lang w:val="en-US"/>
        </w:rPr>
        <w:t xml:space="preserve">8, </w:t>
      </w:r>
      <w:r w:rsidRPr="0079515C">
        <w:rPr>
          <w:spacing w:val="-4"/>
          <w:lang w:val="en-US"/>
        </w:rPr>
        <w:t>2008, para.</w:t>
      </w:r>
      <w:proofErr w:type="gramEnd"/>
      <w:r w:rsidRPr="0079515C">
        <w:rPr>
          <w:spacing w:val="-4"/>
          <w:lang w:val="en-US"/>
        </w:rPr>
        <w:t xml:space="preserve"> 36. In this case, the European Court admitted a petition lodged five years before the corresponding criminal proceedings had ended, considering t</w:t>
      </w:r>
      <w:r>
        <w:rPr>
          <w:spacing w:val="-4"/>
          <w:lang w:val="en-US"/>
        </w:rPr>
        <w:t>hat tho</w:t>
      </w:r>
      <w:r w:rsidRPr="0079515C">
        <w:rPr>
          <w:spacing w:val="-4"/>
          <w:lang w:val="en-US"/>
        </w:rPr>
        <w:t xml:space="preserve">se proceedings were exhausted when the Court examined admissibility. ECHR, </w:t>
      </w:r>
      <w:proofErr w:type="spellStart"/>
      <w:r w:rsidRPr="0079515C">
        <w:rPr>
          <w:rStyle w:val="s6b621b36"/>
          <w:rFonts w:cs="Arial"/>
          <w:i/>
          <w:iCs/>
          <w:color w:val="000000"/>
          <w:spacing w:val="-4"/>
          <w:shd w:val="clear" w:color="auto" w:fill="FFFFFF"/>
          <w:lang w:val="en-US"/>
        </w:rPr>
        <w:t>Kopylov</w:t>
      </w:r>
      <w:proofErr w:type="spellEnd"/>
      <w:r w:rsidRPr="0079515C">
        <w:rPr>
          <w:rStyle w:val="s6b621b36"/>
          <w:rFonts w:cs="Arial"/>
          <w:i/>
          <w:iCs/>
          <w:color w:val="000000"/>
          <w:spacing w:val="-4"/>
          <w:shd w:val="clear" w:color="auto" w:fill="FFFFFF"/>
          <w:lang w:val="en-US"/>
        </w:rPr>
        <w:t xml:space="preserve"> v. Russia</w:t>
      </w:r>
      <w:r w:rsidRPr="0079515C">
        <w:rPr>
          <w:rStyle w:val="sb8d990e2"/>
          <w:rFonts w:cs="Arial"/>
          <w:color w:val="000000"/>
          <w:spacing w:val="-4"/>
          <w:shd w:val="clear" w:color="auto" w:fill="FFFFFF"/>
          <w:lang w:val="en-US"/>
        </w:rPr>
        <w:t xml:space="preserve">, No 3933/04. </w:t>
      </w:r>
      <w:proofErr w:type="gramStart"/>
      <w:r w:rsidRPr="0079515C">
        <w:rPr>
          <w:rStyle w:val="sb8d990e2"/>
          <w:rFonts w:cs="Arial"/>
          <w:color w:val="000000"/>
          <w:spacing w:val="-4"/>
          <w:shd w:val="clear" w:color="auto" w:fill="FFFFFF"/>
          <w:lang w:val="en-US"/>
        </w:rPr>
        <w:t>Judgment of 29 July 2010, para.</w:t>
      </w:r>
      <w:proofErr w:type="gramEnd"/>
      <w:r w:rsidRPr="0079515C">
        <w:rPr>
          <w:rStyle w:val="sb8d990e2"/>
          <w:rFonts w:cs="Arial"/>
          <w:color w:val="000000"/>
          <w:spacing w:val="-4"/>
          <w:shd w:val="clear" w:color="auto" w:fill="FFFFFF"/>
          <w:lang w:val="en-US"/>
        </w:rPr>
        <w:t xml:space="preserve"> 119. In this case, </w:t>
      </w:r>
      <w:r w:rsidRPr="0079515C">
        <w:rPr>
          <w:spacing w:val="-4"/>
          <w:lang w:val="en-US"/>
        </w:rPr>
        <w:t>the European Court admitted a petition lodged more than four years before the decision that exhausted the remedies, considering that the State’s objection of exhaust</w:t>
      </w:r>
      <w:r>
        <w:rPr>
          <w:spacing w:val="-4"/>
          <w:lang w:val="en-US"/>
        </w:rPr>
        <w:t>ion of domestic remedies had no</w:t>
      </w:r>
      <w:r w:rsidRPr="0079515C">
        <w:rPr>
          <w:spacing w:val="-4"/>
          <w:lang w:val="en-US"/>
        </w:rPr>
        <w:t xml:space="preserve"> purpose when </w:t>
      </w:r>
      <w:r>
        <w:rPr>
          <w:spacing w:val="-4"/>
          <w:lang w:val="en-US"/>
        </w:rPr>
        <w:t>the Court decided</w:t>
      </w:r>
      <w:r w:rsidRPr="0079515C">
        <w:rPr>
          <w:spacing w:val="-4"/>
          <w:lang w:val="en-US"/>
        </w:rPr>
        <w:t xml:space="preserve"> on admissibility, because </w:t>
      </w:r>
      <w:r>
        <w:rPr>
          <w:spacing w:val="-4"/>
          <w:lang w:val="en-US"/>
        </w:rPr>
        <w:t>those</w:t>
      </w:r>
      <w:r w:rsidRPr="0079515C">
        <w:rPr>
          <w:spacing w:val="-4"/>
          <w:lang w:val="en-US"/>
        </w:rPr>
        <w:t xml:space="preserve"> remedies had been exhausted following the presentation of the initial petition.</w:t>
      </w:r>
    </w:p>
  </w:footnote>
  <w:footnote w:id="18">
    <w:p w14:paraId="55908BF9" w14:textId="440C767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In this regard, in 1924, in the case of the </w:t>
      </w:r>
      <w:proofErr w:type="spellStart"/>
      <w:r w:rsidRPr="0079515C">
        <w:rPr>
          <w:i/>
          <w:spacing w:val="-4"/>
          <w:lang w:val="en-US"/>
        </w:rPr>
        <w:t>Mavrommatis</w:t>
      </w:r>
      <w:proofErr w:type="spellEnd"/>
      <w:r w:rsidRPr="0079515C">
        <w:rPr>
          <w:i/>
          <w:spacing w:val="-4"/>
          <w:lang w:val="en-US"/>
        </w:rPr>
        <w:t xml:space="preserve"> Palestine Concessions,</w:t>
      </w:r>
      <w:r w:rsidRPr="0079515C">
        <w:rPr>
          <w:spacing w:val="-4"/>
          <w:lang w:val="en-US"/>
        </w:rPr>
        <w:t xml:space="preserve"> the Permanent Court of International Justice established that the fact that it did not have jurisdiction when the application was filed was not a sufficient reason to reject its </w:t>
      </w:r>
      <w:r>
        <w:rPr>
          <w:spacing w:val="-4"/>
          <w:lang w:val="en-US"/>
        </w:rPr>
        <w:t>jurisdiction, if this circumstance</w:t>
      </w:r>
      <w:r w:rsidRPr="0079515C">
        <w:rPr>
          <w:spacing w:val="-4"/>
          <w:lang w:val="en-US"/>
        </w:rPr>
        <w:t xml:space="preserve"> was rectified subsequently: “Even assuming that before that time [when the application was filed] the Court had no jurisdiction because the international obligation referred to in Article 11 [of the Mandate for Palestine] was not yet effective, it would always have been possible for the applicant to re-submit his application in the same terms after the coming into force of the Treaty of Lausanne, and in that case, the argument in question could not have been advanced. Even if the grounds on which the institution of proceedings was based were defective for the reason stated, this would not be an adequate reason for the dismissal of the applicant’s suit. The Court, whose jurisdiction is international, is not bound to attach to matters of form the same degree of importance which they might possess in municipal law. Even, therefore, if the application were premature because the Treaty of Lausanne had not yet been ratified, this circumstance would now be covered by the subsequent deposit of the necessary ratifications.” Permanent Court of International Justice, </w:t>
      </w:r>
      <w:proofErr w:type="spellStart"/>
      <w:r w:rsidRPr="0079515C">
        <w:rPr>
          <w:i/>
          <w:spacing w:val="-4"/>
          <w:lang w:val="en-US"/>
        </w:rPr>
        <w:t>Mavrommatis</w:t>
      </w:r>
      <w:proofErr w:type="spellEnd"/>
      <w:r w:rsidRPr="0079515C">
        <w:rPr>
          <w:i/>
          <w:spacing w:val="-4"/>
          <w:lang w:val="en-US"/>
        </w:rPr>
        <w:t xml:space="preserve"> Palestine Concessions,</w:t>
      </w:r>
      <w:r w:rsidRPr="0079515C">
        <w:rPr>
          <w:spacing w:val="-4"/>
          <w:lang w:val="en-US"/>
        </w:rPr>
        <w:t xml:space="preserve"> Judgment of 30 August 1924, Series A, No. 2, p. 34. This opinion was adopted by the International Court of Justice in the cases concerning </w:t>
      </w:r>
      <w:r w:rsidRPr="0079515C">
        <w:rPr>
          <w:i/>
          <w:spacing w:val="-4"/>
          <w:lang w:val="en-US"/>
        </w:rPr>
        <w:t>the Military and Paramilitary Activities in and against Nicaragua</w:t>
      </w:r>
      <w:r w:rsidRPr="0079515C">
        <w:rPr>
          <w:spacing w:val="-4"/>
          <w:lang w:val="en-US"/>
        </w:rPr>
        <w:t xml:space="preserve"> and the </w:t>
      </w:r>
      <w:r w:rsidRPr="0079515C">
        <w:rPr>
          <w:i/>
          <w:spacing w:val="-4"/>
          <w:lang w:val="en-US"/>
        </w:rPr>
        <w:t xml:space="preserve">Application of the Convention on the Prevention and Punishment of Genocide. </w:t>
      </w:r>
      <w:r w:rsidRPr="0079515C">
        <w:rPr>
          <w:spacing w:val="-4"/>
          <w:lang w:val="en-US"/>
        </w:rPr>
        <w:t>In the former, the International Court of Justice</w:t>
      </w:r>
      <w:r w:rsidRPr="0079515C">
        <w:rPr>
          <w:i/>
          <w:spacing w:val="-4"/>
          <w:lang w:val="en-US"/>
        </w:rPr>
        <w:t xml:space="preserve"> </w:t>
      </w:r>
      <w:r w:rsidRPr="0079515C">
        <w:rPr>
          <w:spacing w:val="-4"/>
          <w:lang w:val="en-US"/>
        </w:rPr>
        <w:t xml:space="preserve">established that: “It would make no sense to require Nicaragua now to institute fresh proceedings based on the [1956] Treaty [of Friendship], which it would be fully entitled to do.” </w:t>
      </w:r>
      <w:proofErr w:type="gramStart"/>
      <w:r w:rsidRPr="0079515C">
        <w:rPr>
          <w:i/>
          <w:spacing w:val="-4"/>
          <w:lang w:val="en-US"/>
        </w:rPr>
        <w:t xml:space="preserve">Case </w:t>
      </w:r>
      <w:r w:rsidRPr="0079515C">
        <w:rPr>
          <w:spacing w:val="-4"/>
          <w:lang w:val="en-US"/>
        </w:rPr>
        <w:t xml:space="preserve">concerning </w:t>
      </w:r>
      <w:r w:rsidRPr="0079515C">
        <w:rPr>
          <w:i/>
          <w:spacing w:val="-4"/>
          <w:lang w:val="en-US"/>
        </w:rPr>
        <w:t>the Military and Paramilitary Activities in and against Nicaragua</w:t>
      </w:r>
      <w:r w:rsidRPr="0079515C">
        <w:rPr>
          <w:spacing w:val="-4"/>
          <w:lang w:val="en-US"/>
        </w:rPr>
        <w:t xml:space="preserve"> </w:t>
      </w:r>
      <w:r w:rsidRPr="0079515C">
        <w:rPr>
          <w:i/>
          <w:spacing w:val="-4"/>
          <w:lang w:val="en-US"/>
        </w:rPr>
        <w:t>(Nicaragua v. United States of America), Jurisdiction and Admissibility</w:t>
      </w:r>
      <w:r w:rsidRPr="0079515C">
        <w:rPr>
          <w:spacing w:val="-4"/>
          <w:lang w:val="en-US"/>
        </w:rPr>
        <w:t>, Judgment, I.C.J. 1984</w:t>
      </w:r>
      <w:r>
        <w:rPr>
          <w:spacing w:val="-4"/>
          <w:lang w:val="en-US"/>
        </w:rPr>
        <w:t xml:space="preserve"> Reports</w:t>
      </w:r>
      <w:r w:rsidRPr="0079515C">
        <w:rPr>
          <w:spacing w:val="-4"/>
          <w:lang w:val="en-US"/>
        </w:rPr>
        <w:t>, paras.</w:t>
      </w:r>
      <w:proofErr w:type="gramEnd"/>
      <w:r w:rsidRPr="0079515C">
        <w:rPr>
          <w:spacing w:val="-4"/>
          <w:lang w:val="en-US"/>
        </w:rPr>
        <w:t xml:space="preserve"> </w:t>
      </w:r>
      <w:proofErr w:type="gramStart"/>
      <w:r w:rsidRPr="0079515C">
        <w:rPr>
          <w:spacing w:val="-4"/>
          <w:lang w:val="en-US"/>
        </w:rPr>
        <w:t>80 to 83.</w:t>
      </w:r>
      <w:proofErr w:type="gramEnd"/>
      <w:r w:rsidRPr="0079515C">
        <w:rPr>
          <w:spacing w:val="-4"/>
          <w:lang w:val="en-US"/>
        </w:rPr>
        <w:t xml:space="preserve"> In the case of the </w:t>
      </w:r>
      <w:r w:rsidRPr="0079515C">
        <w:rPr>
          <w:i/>
          <w:spacing w:val="-4"/>
          <w:lang w:val="en-US"/>
        </w:rPr>
        <w:t>Application of the Convention on the Prevention and Punishment of Genocide</w:t>
      </w:r>
      <w:r w:rsidRPr="0079515C">
        <w:rPr>
          <w:spacing w:val="-4"/>
          <w:lang w:val="en-US"/>
        </w:rPr>
        <w:t xml:space="preserve">, the International Court of Justice established that: “It would not be in the interests of justice to oblige the Applicant, if it wishes to pursue its claims, to initiate fresh proceedings. In this respect it is of no importance which condition was unmet at the date the proceedings were instituted, and thereby prevented the Court at that time from exercising its jurisdiction, once it has been fulfilled subsequently. [… </w:t>
      </w:r>
      <w:proofErr w:type="gramStart"/>
      <w:r w:rsidRPr="0079515C">
        <w:rPr>
          <w:spacing w:val="-4"/>
          <w:lang w:val="en-US"/>
        </w:rPr>
        <w:t>I]t</w:t>
      </w:r>
      <w:proofErr w:type="gramEnd"/>
      <w:r w:rsidRPr="0079515C">
        <w:rPr>
          <w:spacing w:val="-4"/>
          <w:lang w:val="en-US"/>
        </w:rPr>
        <w:t xml:space="preserve"> is concern for judicial economy, an element of the requirements of the sound administration of justice, which justifies application of the jurisprudence deriving from the </w:t>
      </w:r>
      <w:proofErr w:type="spellStart"/>
      <w:r w:rsidRPr="0079515C">
        <w:rPr>
          <w:spacing w:val="-4"/>
          <w:lang w:val="en-US"/>
        </w:rPr>
        <w:t>Mavrommatis</w:t>
      </w:r>
      <w:proofErr w:type="spellEnd"/>
      <w:r w:rsidRPr="0079515C">
        <w:rPr>
          <w:spacing w:val="-4"/>
          <w:lang w:val="en-US"/>
        </w:rPr>
        <w:t xml:space="preserve"> Judgment in appropriate cases. The purpose of this jurisprudence is to prevent the needless proliferation of proceedings.” </w:t>
      </w:r>
      <w:proofErr w:type="gramStart"/>
      <w:r w:rsidRPr="0079515C">
        <w:rPr>
          <w:i/>
          <w:spacing w:val="-4"/>
          <w:lang w:val="en-US"/>
        </w:rPr>
        <w:t>Case of the</w:t>
      </w:r>
      <w:r w:rsidRPr="0079515C">
        <w:rPr>
          <w:spacing w:val="-4"/>
          <w:lang w:val="en-US"/>
        </w:rPr>
        <w:t xml:space="preserve"> </w:t>
      </w:r>
      <w:r w:rsidRPr="0079515C">
        <w:rPr>
          <w:i/>
          <w:spacing w:val="-4"/>
          <w:lang w:val="en-US"/>
        </w:rPr>
        <w:t>Application of the Convention on the Prevention and Punishment of Genocide (Croatia v. Serbia), Preliminary objections</w:t>
      </w:r>
      <w:r w:rsidRPr="0079515C">
        <w:rPr>
          <w:spacing w:val="-4"/>
          <w:lang w:val="en-US"/>
        </w:rPr>
        <w:t>, Judgment, I.C.J. Reports 2008, paras.</w:t>
      </w:r>
      <w:proofErr w:type="gramEnd"/>
      <w:r w:rsidRPr="0079515C">
        <w:rPr>
          <w:spacing w:val="-4"/>
          <w:lang w:val="en-US"/>
        </w:rPr>
        <w:t xml:space="preserve"> </w:t>
      </w:r>
      <w:proofErr w:type="gramStart"/>
      <w:r w:rsidRPr="0079515C">
        <w:rPr>
          <w:spacing w:val="-4"/>
          <w:lang w:val="en-US"/>
        </w:rPr>
        <w:t xml:space="preserve">87 and 89, and </w:t>
      </w:r>
      <w:r w:rsidRPr="0079515C">
        <w:rPr>
          <w:i/>
          <w:spacing w:val="-4"/>
          <w:lang w:val="en-US"/>
        </w:rPr>
        <w:t>Cf.</w:t>
      </w:r>
      <w:r w:rsidRPr="0079515C">
        <w:rPr>
          <w:spacing w:val="-4"/>
          <w:lang w:val="en-US"/>
        </w:rPr>
        <w:t xml:space="preserve"> </w:t>
      </w:r>
      <w:r w:rsidRPr="0079515C">
        <w:rPr>
          <w:i/>
          <w:spacing w:val="-4"/>
          <w:lang w:val="en-US"/>
        </w:rPr>
        <w:t>Case of the</w:t>
      </w:r>
      <w:r w:rsidRPr="0079515C">
        <w:rPr>
          <w:spacing w:val="-4"/>
          <w:lang w:val="en-US"/>
        </w:rPr>
        <w:t xml:space="preserve"> </w:t>
      </w:r>
      <w:r w:rsidRPr="0079515C">
        <w:rPr>
          <w:i/>
          <w:spacing w:val="-4"/>
          <w:lang w:val="en-US"/>
        </w:rPr>
        <w:t>Application of the Convention on the Prevention and Punishment of Genocide (Bosnia and Herzegovina v. Yugoslavia), Preliminary objections</w:t>
      </w:r>
      <w:r w:rsidRPr="0079515C">
        <w:rPr>
          <w:spacing w:val="-4"/>
          <w:lang w:val="en-US"/>
        </w:rPr>
        <w:t xml:space="preserve">, Judgment, I.C.J. </w:t>
      </w:r>
      <w:r>
        <w:rPr>
          <w:spacing w:val="-4"/>
          <w:lang w:val="en-US"/>
        </w:rPr>
        <w:t>1996 Reports</w:t>
      </w:r>
      <w:r w:rsidRPr="0079515C">
        <w:rPr>
          <w:i/>
          <w:spacing w:val="-4"/>
          <w:lang w:val="en-US"/>
        </w:rPr>
        <w:t xml:space="preserve">, </w:t>
      </w:r>
      <w:r w:rsidRPr="0079515C">
        <w:rPr>
          <w:spacing w:val="-4"/>
          <w:lang w:val="en-US"/>
        </w:rPr>
        <w:t>para.</w:t>
      </w:r>
      <w:proofErr w:type="gramEnd"/>
      <w:r w:rsidRPr="0079515C">
        <w:rPr>
          <w:spacing w:val="-4"/>
          <w:lang w:val="en-US"/>
        </w:rPr>
        <w:t xml:space="preserve"> 26.</w:t>
      </w:r>
    </w:p>
  </w:footnote>
  <w:footnote w:id="19">
    <w:p w14:paraId="6DFFB3A7" w14:textId="50D05DA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Code of Criminal Procedure promulgated by Legislative Decree No. 957 of July 29, 2004, articles 516 to 524. Available at: </w:t>
      </w:r>
      <w:hyperlink r:id="rId2" w:history="1">
        <w:r w:rsidRPr="0079515C">
          <w:rPr>
            <w:rStyle w:val="Hyperlink"/>
            <w:spacing w:val="-4"/>
            <w:lang w:val="en-US"/>
          </w:rPr>
          <w:t>http://www.leyes.congreso.gob.pe/Documentos/Decretoslegislativos/00957.pdf</w:t>
        </w:r>
      </w:hyperlink>
      <w:r w:rsidRPr="0079515C">
        <w:rPr>
          <w:spacing w:val="-4"/>
          <w:lang w:val="en-US"/>
        </w:rPr>
        <w:t>, cited in the Commission’s Merits Report, folio 24. Moreover, in its brief with final arguments, the State itself indicated that “[t]</w:t>
      </w:r>
      <w:proofErr w:type="gramStart"/>
      <w:r w:rsidRPr="0079515C">
        <w:rPr>
          <w:spacing w:val="-4"/>
          <w:lang w:val="en-US"/>
        </w:rPr>
        <w:t>he</w:t>
      </w:r>
      <w:proofErr w:type="gramEnd"/>
      <w:r w:rsidRPr="0079515C">
        <w:rPr>
          <w:spacing w:val="-4"/>
          <w:lang w:val="en-US"/>
        </w:rPr>
        <w:t xml:space="preserve"> intervention of the Peruvian Constitutional Court is not established in extradition proceedings.” </w:t>
      </w:r>
    </w:p>
  </w:footnote>
  <w:footnote w:id="20">
    <w:p w14:paraId="059C0D46" w14:textId="4E3982C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i/>
          <w:color w:val="000000"/>
          <w:spacing w:val="-4"/>
          <w:lang w:val="en-US"/>
        </w:rPr>
        <w:t>Matter of Wong Ho Wing.</w:t>
      </w:r>
      <w:proofErr w:type="gramEnd"/>
      <w:r w:rsidRPr="0079515C">
        <w:rPr>
          <w:color w:val="000000"/>
          <w:spacing w:val="-4"/>
          <w:lang w:val="en-US"/>
        </w:rPr>
        <w:t xml:space="preserve"> </w:t>
      </w:r>
      <w:proofErr w:type="gramStart"/>
      <w:r w:rsidRPr="0079515C">
        <w:rPr>
          <w:i/>
          <w:color w:val="000000"/>
          <w:spacing w:val="-4"/>
          <w:lang w:val="en-US"/>
        </w:rPr>
        <w:t>Provisional measures with regard to Peru.</w:t>
      </w:r>
      <w:proofErr w:type="gramEnd"/>
      <w:r w:rsidRPr="0079515C">
        <w:rPr>
          <w:spacing w:val="-4"/>
          <w:lang w:val="en-US"/>
        </w:rPr>
        <w:t xml:space="preserve"> Order of the Court of May 28, 2010</w:t>
      </w:r>
      <w:r w:rsidRPr="0079515C">
        <w:rPr>
          <w:rFonts w:cs="Times-Roman"/>
          <w:spacing w:val="-4"/>
          <w:lang w:val="en-US"/>
        </w:rPr>
        <w:t xml:space="preserve">. Previously, the President of the Court had required the State to “refrain from extraditing </w:t>
      </w:r>
      <w:r w:rsidRPr="0079515C">
        <w:rPr>
          <w:spacing w:val="-4"/>
          <w:lang w:val="en-US"/>
        </w:rPr>
        <w:t xml:space="preserve">Wong Ho Wing while the request for provisional measures [had not been] decided by the plenary of the Inter-American Court”. </w:t>
      </w:r>
      <w:proofErr w:type="gramStart"/>
      <w:r w:rsidRPr="0079515C">
        <w:rPr>
          <w:i/>
          <w:spacing w:val="-4"/>
          <w:lang w:val="en-US"/>
        </w:rPr>
        <w:t>Matter of Wong Ho Wing.</w:t>
      </w:r>
      <w:proofErr w:type="gramEnd"/>
      <w:r w:rsidRPr="0079515C">
        <w:rPr>
          <w:i/>
          <w:spacing w:val="-4"/>
          <w:lang w:val="en-US"/>
        </w:rPr>
        <w:t xml:space="preserve"> </w:t>
      </w:r>
      <w:proofErr w:type="gramStart"/>
      <w:r w:rsidRPr="0079515C">
        <w:rPr>
          <w:i/>
          <w:color w:val="000000"/>
          <w:spacing w:val="-4"/>
          <w:lang w:val="en-US"/>
        </w:rPr>
        <w:t>Provisional measures with regard to Peru</w:t>
      </w:r>
      <w:r w:rsidRPr="0079515C">
        <w:rPr>
          <w:i/>
          <w:spacing w:val="-4"/>
          <w:lang w:val="en-US"/>
        </w:rPr>
        <w:t>.</w:t>
      </w:r>
      <w:proofErr w:type="gramEnd"/>
      <w:r w:rsidRPr="0079515C">
        <w:rPr>
          <w:spacing w:val="-4"/>
          <w:lang w:val="en-US"/>
        </w:rPr>
        <w:t xml:space="preserve"> </w:t>
      </w:r>
      <w:proofErr w:type="gramStart"/>
      <w:r w:rsidRPr="0079515C">
        <w:rPr>
          <w:spacing w:val="-4"/>
          <w:lang w:val="en-US"/>
        </w:rPr>
        <w:t>Order of the acting President of the Court of March 24, 2010.</w:t>
      </w:r>
      <w:proofErr w:type="gramEnd"/>
    </w:p>
  </w:footnote>
  <w:footnote w:id="21">
    <w:p w14:paraId="4EB5F6CB" w14:textId="0F59E98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November 26, 2010;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color w:val="000000"/>
          <w:spacing w:val="-4"/>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March 4, 2011, and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Order of the Court of July 1, 2011.  </w:t>
      </w:r>
    </w:p>
  </w:footnote>
  <w:footnote w:id="22">
    <w:p w14:paraId="35C9A4B6" w14:textId="7EE02EB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Order of the Court of October 10, 2011. </w:t>
      </w:r>
    </w:p>
  </w:footnote>
  <w:footnote w:id="23">
    <w:p w14:paraId="13C0A13A" w14:textId="585AB06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i/>
          <w:spacing w:val="-4"/>
          <w:lang w:val="en-US"/>
        </w:rPr>
        <w:tab/>
      </w:r>
      <w:proofErr w:type="gramStart"/>
      <w:r w:rsidRPr="0079515C">
        <w:rPr>
          <w:i/>
          <w:spacing w:val="-4"/>
          <w:lang w:val="en-US"/>
        </w:rPr>
        <w:t xml:space="preserve">Cf. </w:t>
      </w:r>
      <w:r w:rsidRPr="0079515C">
        <w:rPr>
          <w:i/>
          <w:color w:val="000000"/>
          <w:spacing w:val="-4"/>
          <w:lang w:val="en-US"/>
        </w:rPr>
        <w:t>Matter of Wong Ho Wing.</w:t>
      </w:r>
      <w:proofErr w:type="gramEnd"/>
      <w:r w:rsidRPr="0079515C">
        <w:rPr>
          <w:color w:val="000000"/>
          <w:spacing w:val="-4"/>
          <w:lang w:val="en-US"/>
        </w:rPr>
        <w:t xml:space="preserve"> </w:t>
      </w:r>
      <w:proofErr w:type="gramStart"/>
      <w:r w:rsidRPr="0079515C">
        <w:rPr>
          <w:i/>
          <w:color w:val="000000"/>
          <w:spacing w:val="-4"/>
          <w:lang w:val="en-US"/>
        </w:rPr>
        <w:t>Provisional measures with regard to Peru</w:t>
      </w:r>
      <w:r w:rsidRPr="0079515C">
        <w:rPr>
          <w:color w:val="000000"/>
          <w:spacing w:val="-4"/>
          <w:lang w:val="en-US"/>
        </w:rPr>
        <w:t>.</w:t>
      </w:r>
      <w:proofErr w:type="gramEnd"/>
      <w:r w:rsidRPr="0079515C">
        <w:rPr>
          <w:i/>
          <w:color w:val="000000"/>
          <w:spacing w:val="-4"/>
          <w:lang w:val="en-US"/>
        </w:rPr>
        <w:t xml:space="preserve"> </w:t>
      </w:r>
      <w:r w:rsidRPr="0079515C">
        <w:rPr>
          <w:spacing w:val="-4"/>
          <w:lang w:val="en-US"/>
        </w:rPr>
        <w:t xml:space="preserve">Order of the Court of June 26, 2012, fourth having seen paragraph and </w:t>
      </w:r>
      <w:proofErr w:type="spellStart"/>
      <w:r w:rsidRPr="0079515C">
        <w:rPr>
          <w:i/>
          <w:spacing w:val="-4"/>
          <w:lang w:val="en-US"/>
        </w:rPr>
        <w:t>considerandum</w:t>
      </w:r>
      <w:proofErr w:type="spellEnd"/>
      <w:r w:rsidRPr="0079515C">
        <w:rPr>
          <w:spacing w:val="-4"/>
          <w:lang w:val="en-US"/>
        </w:rPr>
        <w:t xml:space="preserve"> 38, and subsequent </w:t>
      </w:r>
      <w:proofErr w:type="gramStart"/>
      <w:r w:rsidRPr="0079515C">
        <w:rPr>
          <w:spacing w:val="-4"/>
          <w:lang w:val="en-US"/>
        </w:rPr>
        <w:t>orders extending</w:t>
      </w:r>
      <w:proofErr w:type="gramEnd"/>
      <w:r w:rsidRPr="0079515C">
        <w:rPr>
          <w:spacing w:val="-4"/>
          <w:lang w:val="en-US"/>
        </w:rPr>
        <w:t xml:space="preserve"> their effects: </w:t>
      </w:r>
      <w:r w:rsidRPr="0079515C">
        <w:rPr>
          <w:rStyle w:val="Strong"/>
          <w:b w:val="0"/>
          <w:i/>
          <w:color w:val="000000"/>
          <w:spacing w:val="-4"/>
          <w:shd w:val="clear" w:color="auto" w:fill="FFFFFF"/>
          <w:lang w:val="en-US"/>
        </w:rPr>
        <w:t xml:space="preserve">Matter of Wong Ho Wing.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acting President of the Court of December 6, 2012;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February 13, 2013; </w:t>
      </w:r>
      <w:r w:rsidRPr="0079515C">
        <w:rPr>
          <w:rStyle w:val="Strong"/>
          <w:b w:val="0"/>
          <w:i/>
          <w:color w:val="000000"/>
          <w:spacing w:val="-4"/>
          <w:shd w:val="clear" w:color="auto" w:fill="FFFFFF"/>
          <w:lang w:val="en-US"/>
        </w:rPr>
        <w:t>Matter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i/>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May 22, 2013; </w:t>
      </w:r>
      <w:r w:rsidRPr="0079515C">
        <w:rPr>
          <w:rStyle w:val="Strong"/>
          <w:b w:val="0"/>
          <w:i/>
          <w:color w:val="000000"/>
          <w:spacing w:val="-4"/>
          <w:shd w:val="clear" w:color="auto" w:fill="FFFFFF"/>
          <w:lang w:val="en-US"/>
        </w:rPr>
        <w:t>Matter of Wong Ho Wing.</w:t>
      </w:r>
      <w:proofErr w:type="gramEnd"/>
      <w:r w:rsidRPr="0079515C">
        <w:rPr>
          <w:rStyle w:val="Strong"/>
          <w:b w:val="0"/>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August 22, 2013; </w:t>
      </w:r>
      <w:r w:rsidRPr="0079515C">
        <w:rPr>
          <w:rStyle w:val="Strong"/>
          <w:b w:val="0"/>
          <w:i/>
          <w:color w:val="000000"/>
          <w:spacing w:val="-4"/>
          <w:shd w:val="clear" w:color="auto" w:fill="FFFFFF"/>
          <w:lang w:val="en-US"/>
        </w:rPr>
        <w:t>Case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i/>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January 29, 2014, and </w:t>
      </w:r>
      <w:r w:rsidRPr="0079515C">
        <w:rPr>
          <w:rStyle w:val="Strong"/>
          <w:b w:val="0"/>
          <w:i/>
          <w:color w:val="000000"/>
          <w:spacing w:val="-4"/>
          <w:shd w:val="clear" w:color="auto" w:fill="FFFFFF"/>
          <w:lang w:val="en-US"/>
        </w:rPr>
        <w:t>Case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i/>
          <w:color w:val="000000"/>
          <w:spacing w:val="-4"/>
          <w:shd w:val="clear" w:color="auto" w:fill="FFFFFF"/>
          <w:lang w:val="en-US"/>
        </w:rPr>
        <w:t>.</w:t>
      </w:r>
      <w:proofErr w:type="gramEnd"/>
      <w:r w:rsidRPr="0079515C">
        <w:rPr>
          <w:rStyle w:val="Strong"/>
          <w:b w:val="0"/>
          <w:i/>
          <w:color w:val="000000"/>
          <w:spacing w:val="-4"/>
          <w:shd w:val="clear" w:color="auto" w:fill="FFFFFF"/>
          <w:lang w:val="en-US"/>
        </w:rPr>
        <w:t xml:space="preserve"> </w:t>
      </w:r>
      <w:r w:rsidRPr="0079515C">
        <w:rPr>
          <w:rStyle w:val="Strong"/>
          <w:b w:val="0"/>
          <w:color w:val="000000"/>
          <w:spacing w:val="-4"/>
          <w:shd w:val="clear" w:color="auto" w:fill="FFFFFF"/>
          <w:lang w:val="en-US"/>
        </w:rPr>
        <w:t>Order of the Court of March 31, 2014.</w:t>
      </w:r>
    </w:p>
  </w:footnote>
  <w:footnote w:id="24">
    <w:p w14:paraId="5FF5F001" w14:textId="0AB118FB" w:rsidR="002306C1" w:rsidRPr="0079515C" w:rsidRDefault="002306C1" w:rsidP="00853044">
      <w:pPr>
        <w:pStyle w:val="FootnoteText"/>
        <w:tabs>
          <w:tab w:val="clear" w:pos="567"/>
          <w:tab w:val="left" w:pos="426"/>
        </w:tabs>
        <w:spacing w:before="120" w:after="120"/>
        <w:rPr>
          <w:bCs w:val="0"/>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color w:val="000000"/>
          <w:spacing w:val="-4"/>
          <w:lang w:val="en-US"/>
        </w:rPr>
        <w:t>Matter of Wong Ho Wing.</w:t>
      </w:r>
      <w:proofErr w:type="gramEnd"/>
      <w:r w:rsidRPr="0079515C">
        <w:rPr>
          <w:color w:val="000000"/>
          <w:spacing w:val="-4"/>
          <w:lang w:val="en-US"/>
        </w:rPr>
        <w:t xml:space="preserve"> </w:t>
      </w:r>
      <w:proofErr w:type="gramStart"/>
      <w:r w:rsidRPr="0079515C">
        <w:rPr>
          <w:i/>
          <w:color w:val="000000"/>
          <w:spacing w:val="-4"/>
          <w:lang w:val="en-US"/>
        </w:rPr>
        <w:t>Provisional measures with regard to Peru.</w:t>
      </w:r>
      <w:proofErr w:type="gramEnd"/>
      <w:r w:rsidRPr="0079515C">
        <w:rPr>
          <w:i/>
          <w:color w:val="000000"/>
          <w:spacing w:val="-4"/>
          <w:lang w:val="en-US"/>
        </w:rPr>
        <w:t xml:space="preserve"> </w:t>
      </w:r>
      <w:proofErr w:type="gramStart"/>
      <w:r w:rsidRPr="0079515C">
        <w:rPr>
          <w:spacing w:val="-4"/>
          <w:lang w:val="en-US"/>
        </w:rPr>
        <w:t>Order of the Court of May 28, 2010, first operative paragraph</w:t>
      </w:r>
      <w:r w:rsidRPr="0079515C">
        <w:rPr>
          <w:rFonts w:cs="Times-Roman"/>
          <w:spacing w:val="-4"/>
          <w:lang w:val="en-US"/>
        </w:rPr>
        <w:t>;</w:t>
      </w:r>
      <w:r w:rsidRPr="0079515C">
        <w:rPr>
          <w:i/>
          <w:spacing w:val="-4"/>
          <w:lang w:val="en-US"/>
        </w:rPr>
        <w:t xml:space="preserve"> Matter of Wong Ho Wing.</w:t>
      </w:r>
      <w:proofErr w:type="gramEnd"/>
      <w:r w:rsidRPr="0079515C">
        <w:rPr>
          <w:i/>
          <w:spacing w:val="-4"/>
          <w:lang w:val="en-US"/>
        </w:rPr>
        <w:t xml:space="preserve"> </w:t>
      </w:r>
      <w:proofErr w:type="gramStart"/>
      <w:r w:rsidRPr="0079515C">
        <w:rPr>
          <w:i/>
          <w:spacing w:val="-4"/>
          <w:lang w:val="en-US"/>
        </w:rPr>
        <w:t>Provisional measures with regard to Peru</w:t>
      </w:r>
      <w:r w:rsidRPr="0079515C">
        <w:rPr>
          <w:spacing w:val="-4"/>
          <w:lang w:val="en-US"/>
        </w:rPr>
        <w:t>.</w:t>
      </w:r>
      <w:proofErr w:type="gramEnd"/>
      <w:r w:rsidRPr="0079515C">
        <w:rPr>
          <w:i/>
          <w:spacing w:val="-4"/>
          <w:lang w:val="en-US"/>
        </w:rPr>
        <w:t xml:space="preserve"> </w:t>
      </w:r>
      <w:proofErr w:type="gramStart"/>
      <w:r w:rsidRPr="0079515C">
        <w:rPr>
          <w:spacing w:val="-4"/>
          <w:lang w:val="en-US"/>
        </w:rPr>
        <w:t xml:space="preserve">Order of the Court of June 26, 2012, first operative paragraph, and </w:t>
      </w:r>
      <w:r w:rsidRPr="0079515C">
        <w:rPr>
          <w:rStyle w:val="Strong"/>
          <w:b w:val="0"/>
          <w:i/>
          <w:color w:val="000000"/>
          <w:spacing w:val="-4"/>
          <w:shd w:val="clear" w:color="auto" w:fill="FFFFFF"/>
          <w:lang w:val="en-US"/>
        </w:rPr>
        <w:t>Case of Wong Ho Wing.</w:t>
      </w:r>
      <w:proofErr w:type="gramEnd"/>
      <w:r w:rsidRPr="0079515C">
        <w:rPr>
          <w:rStyle w:val="Strong"/>
          <w:b w:val="0"/>
          <w:i/>
          <w:color w:val="000000"/>
          <w:spacing w:val="-4"/>
          <w:shd w:val="clear" w:color="auto" w:fill="FFFFFF"/>
          <w:lang w:val="en-US"/>
        </w:rPr>
        <w:t xml:space="preserve"> </w:t>
      </w:r>
      <w:proofErr w:type="gramStart"/>
      <w:r w:rsidRPr="0079515C">
        <w:rPr>
          <w:i/>
          <w:color w:val="000000"/>
          <w:spacing w:val="-4"/>
          <w:lang w:val="en-US"/>
        </w:rPr>
        <w:t>Provisional measures with regard to Peru</w:t>
      </w:r>
      <w:r w:rsidRPr="0079515C">
        <w:rPr>
          <w:rStyle w:val="Strong"/>
          <w:b w:val="0"/>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 xml:space="preserve">Order of the Court of January 29, 2014, </w:t>
      </w:r>
      <w:proofErr w:type="spellStart"/>
      <w:r w:rsidRPr="0079515C">
        <w:rPr>
          <w:rStyle w:val="Strong"/>
          <w:b w:val="0"/>
          <w:i/>
          <w:color w:val="000000"/>
          <w:spacing w:val="-4"/>
          <w:shd w:val="clear" w:color="auto" w:fill="FFFFFF"/>
          <w:lang w:val="en-US"/>
        </w:rPr>
        <w:t>consideranda</w:t>
      </w:r>
      <w:proofErr w:type="spellEnd"/>
      <w:r w:rsidRPr="0079515C">
        <w:rPr>
          <w:rStyle w:val="Strong"/>
          <w:b w:val="0"/>
          <w:color w:val="000000"/>
          <w:spacing w:val="-4"/>
          <w:shd w:val="clear" w:color="auto" w:fill="FFFFFF"/>
          <w:lang w:val="en-US"/>
        </w:rPr>
        <w:t xml:space="preserve"> 5 and 9.</w:t>
      </w:r>
      <w:proofErr w:type="gramEnd"/>
    </w:p>
  </w:footnote>
  <w:footnote w:id="25">
    <w:p w14:paraId="79055091" w14:textId="3611F0B9" w:rsidR="002306C1" w:rsidRPr="0079515C" w:rsidRDefault="002306C1" w:rsidP="00853044">
      <w:pPr>
        <w:pStyle w:val="Footnotes"/>
        <w:spacing w:before="120"/>
        <w:rPr>
          <w:lang w:val="en-US"/>
        </w:rPr>
      </w:pPr>
      <w:r w:rsidRPr="0079515C">
        <w:rPr>
          <w:rStyle w:val="FootnoteReference"/>
          <w:rFonts w:eastAsia="Calibri"/>
          <w:spacing w:val="-4"/>
          <w:szCs w:val="16"/>
          <w:lang w:val="en-US"/>
        </w:rPr>
        <w:footnoteRef/>
      </w:r>
      <w:r w:rsidRPr="0079515C">
        <w:rPr>
          <w:lang w:val="en-US"/>
        </w:rPr>
        <w:t xml:space="preserve"> </w:t>
      </w:r>
      <w:r w:rsidRPr="0079515C">
        <w:rPr>
          <w:lang w:val="en-US"/>
        </w:rPr>
        <w:tab/>
      </w:r>
      <w:proofErr w:type="gramStart"/>
      <w:r w:rsidRPr="0079515C">
        <w:rPr>
          <w:i/>
          <w:lang w:val="en-US"/>
        </w:rPr>
        <w:t>Cf.</w:t>
      </w:r>
      <w:r w:rsidRPr="0079515C">
        <w:rPr>
          <w:lang w:val="en-US"/>
        </w:rPr>
        <w:t xml:space="preserve"> </w:t>
      </w:r>
      <w:r w:rsidRPr="0079515C">
        <w:rPr>
          <w:rStyle w:val="Strong"/>
          <w:b w:val="0"/>
          <w:i/>
          <w:color w:val="000000"/>
          <w:spacing w:val="-4"/>
          <w:szCs w:val="16"/>
          <w:shd w:val="clear" w:color="auto" w:fill="FFFFFF"/>
          <w:lang w:val="en-US"/>
        </w:rPr>
        <w:t>Case of Wong Ho Wing.</w:t>
      </w:r>
      <w:proofErr w:type="gramEnd"/>
      <w:r w:rsidRPr="0079515C">
        <w:rPr>
          <w:rStyle w:val="Strong"/>
          <w:b w:val="0"/>
          <w:i/>
          <w:color w:val="000000"/>
          <w:spacing w:val="-4"/>
          <w:szCs w:val="16"/>
          <w:shd w:val="clear" w:color="auto" w:fill="FFFFFF"/>
          <w:lang w:val="en-US"/>
        </w:rPr>
        <w:t xml:space="preserve"> </w:t>
      </w:r>
      <w:proofErr w:type="gramStart"/>
      <w:r w:rsidRPr="0079515C">
        <w:rPr>
          <w:i/>
          <w:lang w:val="en-US"/>
        </w:rPr>
        <w:t>Provisional measures with regard to Peru</w:t>
      </w:r>
      <w:r w:rsidRPr="0079515C">
        <w:rPr>
          <w:rStyle w:val="Strong"/>
          <w:b w:val="0"/>
          <w:i/>
          <w:color w:val="000000"/>
          <w:spacing w:val="-4"/>
          <w:szCs w:val="16"/>
          <w:shd w:val="clear" w:color="auto" w:fill="FFFFFF"/>
          <w:lang w:val="en-US"/>
        </w:rPr>
        <w:t>.</w:t>
      </w:r>
      <w:proofErr w:type="gramEnd"/>
      <w:r w:rsidRPr="0079515C">
        <w:rPr>
          <w:rStyle w:val="Strong"/>
          <w:b w:val="0"/>
          <w:color w:val="000000"/>
          <w:spacing w:val="-4"/>
          <w:szCs w:val="16"/>
          <w:shd w:val="clear" w:color="auto" w:fill="FFFFFF"/>
          <w:lang w:val="en-US"/>
        </w:rPr>
        <w:t xml:space="preserve"> </w:t>
      </w:r>
      <w:proofErr w:type="gramStart"/>
      <w:r w:rsidRPr="0079515C">
        <w:rPr>
          <w:rStyle w:val="Strong"/>
          <w:b w:val="0"/>
          <w:color w:val="000000"/>
          <w:spacing w:val="-4"/>
          <w:szCs w:val="16"/>
          <w:shd w:val="clear" w:color="auto" w:fill="FFFFFF"/>
          <w:lang w:val="en-US"/>
        </w:rPr>
        <w:t xml:space="preserve">Order of the Court of January 29, 2014, and </w:t>
      </w:r>
      <w:r w:rsidRPr="0079515C">
        <w:rPr>
          <w:rStyle w:val="Strong"/>
          <w:b w:val="0"/>
          <w:i/>
          <w:color w:val="000000"/>
          <w:spacing w:val="-4"/>
          <w:szCs w:val="16"/>
          <w:shd w:val="clear" w:color="auto" w:fill="FFFFFF"/>
          <w:lang w:val="en-US"/>
        </w:rPr>
        <w:t>Case of Wong Ho Wing.</w:t>
      </w:r>
      <w:proofErr w:type="gramEnd"/>
      <w:r w:rsidRPr="0079515C">
        <w:rPr>
          <w:rStyle w:val="Strong"/>
          <w:b w:val="0"/>
          <w:i/>
          <w:color w:val="000000"/>
          <w:spacing w:val="-4"/>
          <w:szCs w:val="16"/>
          <w:shd w:val="clear" w:color="auto" w:fill="FFFFFF"/>
          <w:lang w:val="en-US"/>
        </w:rPr>
        <w:t xml:space="preserve"> </w:t>
      </w:r>
      <w:proofErr w:type="gramStart"/>
      <w:r w:rsidRPr="0079515C">
        <w:rPr>
          <w:i/>
          <w:lang w:val="en-US"/>
        </w:rPr>
        <w:t>Provisional measures with regard to Peru</w:t>
      </w:r>
      <w:r w:rsidRPr="0079515C">
        <w:rPr>
          <w:rStyle w:val="Strong"/>
          <w:b w:val="0"/>
          <w:i/>
          <w:color w:val="000000"/>
          <w:spacing w:val="-4"/>
          <w:szCs w:val="16"/>
          <w:shd w:val="clear" w:color="auto" w:fill="FFFFFF"/>
          <w:lang w:val="en-US"/>
        </w:rPr>
        <w:t>.</w:t>
      </w:r>
      <w:proofErr w:type="gramEnd"/>
      <w:r w:rsidRPr="0079515C">
        <w:rPr>
          <w:rStyle w:val="Strong"/>
          <w:b w:val="0"/>
          <w:color w:val="000000"/>
          <w:spacing w:val="-4"/>
          <w:szCs w:val="16"/>
          <w:shd w:val="clear" w:color="auto" w:fill="FFFFFF"/>
          <w:lang w:val="en-US"/>
        </w:rPr>
        <w:t xml:space="preserve"> Order of the Court of March 31, 2014.</w:t>
      </w:r>
    </w:p>
  </w:footnote>
  <w:footnote w:id="26">
    <w:p w14:paraId="5BF0D4B1" w14:textId="5B68A98A" w:rsidR="002306C1" w:rsidRPr="0079515C" w:rsidRDefault="002306C1" w:rsidP="00853044">
      <w:pPr>
        <w:pStyle w:val="FootnoteText"/>
        <w:tabs>
          <w:tab w:val="clear" w:pos="567"/>
          <w:tab w:val="left" w:pos="426"/>
        </w:tabs>
        <w:spacing w:before="120" w:after="120"/>
        <w:rPr>
          <w:rFonts w:cs="Times New Roman"/>
          <w:spacing w:val="-4"/>
          <w:lang w:val="en-US"/>
        </w:rPr>
      </w:pPr>
      <w:r w:rsidRPr="0079515C">
        <w:rPr>
          <w:rStyle w:val="FootnoteReference"/>
          <w:rFonts w:cs="Times New Roman"/>
          <w:spacing w:val="-4"/>
          <w:lang w:val="en-US"/>
        </w:rPr>
        <w:footnoteRef/>
      </w:r>
      <w:r w:rsidRPr="0079515C">
        <w:rPr>
          <w:spacing w:val="-4"/>
          <w:lang w:val="en-US"/>
        </w:rPr>
        <w:t xml:space="preserve"> </w:t>
      </w:r>
      <w:r w:rsidRPr="0079515C">
        <w:rPr>
          <w:spacing w:val="-4"/>
          <w:lang w:val="en-US"/>
        </w:rPr>
        <w:tab/>
      </w:r>
      <w:proofErr w:type="gramStart"/>
      <w:r w:rsidRPr="0079515C">
        <w:rPr>
          <w:i/>
          <w:iCs/>
          <w:spacing w:val="-4"/>
          <w:lang w:val="en-US"/>
        </w:rPr>
        <w:t>Cf. Case of the Five Pensioners v. Peru.</w:t>
      </w:r>
      <w:proofErr w:type="gramEnd"/>
      <w:r w:rsidRPr="0079515C">
        <w:rPr>
          <w:i/>
          <w:iCs/>
          <w:spacing w:val="-4"/>
          <w:lang w:val="en-US"/>
        </w:rPr>
        <w:t xml:space="preserve"> </w:t>
      </w:r>
      <w:proofErr w:type="gramStart"/>
      <w:r w:rsidRPr="0079515C">
        <w:rPr>
          <w:i/>
          <w:iCs/>
          <w:spacing w:val="-4"/>
          <w:lang w:val="en-US"/>
        </w:rPr>
        <w:t>Merits, reparations and costs.</w:t>
      </w:r>
      <w:proofErr w:type="gramEnd"/>
      <w:r w:rsidRPr="0079515C">
        <w:rPr>
          <w:i/>
          <w:iCs/>
          <w:spacing w:val="-4"/>
          <w:lang w:val="en-US"/>
        </w:rPr>
        <w:t xml:space="preserve"> </w:t>
      </w:r>
      <w:r w:rsidRPr="0079515C">
        <w:rPr>
          <w:iCs/>
          <w:spacing w:val="-4"/>
          <w:lang w:val="en-US"/>
        </w:rPr>
        <w:t xml:space="preserve">Judgment of February 28, 2003. </w:t>
      </w:r>
      <w:r w:rsidRPr="0039093A">
        <w:rPr>
          <w:iCs/>
          <w:spacing w:val="-4"/>
        </w:rPr>
        <w:t>Series C No. 98</w:t>
      </w:r>
      <w:r w:rsidRPr="0039093A">
        <w:rPr>
          <w:spacing w:val="-4"/>
        </w:rPr>
        <w:t xml:space="preserve">, para. 153, and </w:t>
      </w:r>
      <w:r w:rsidRPr="0039093A">
        <w:rPr>
          <w:i/>
          <w:spacing w:val="-4"/>
        </w:rPr>
        <w:t xml:space="preserve">Case of Cruz Sánchez et al. v. </w:t>
      </w:r>
      <w:proofErr w:type="spellStart"/>
      <w:r w:rsidRPr="0039093A">
        <w:rPr>
          <w:i/>
          <w:spacing w:val="-4"/>
        </w:rPr>
        <w:t>Peru</w:t>
      </w:r>
      <w:proofErr w:type="spellEnd"/>
      <w:r w:rsidRPr="0039093A">
        <w:rPr>
          <w:i/>
          <w:spacing w:val="-4"/>
        </w:rPr>
        <w:t>, supra</w:t>
      </w:r>
      <w:r w:rsidRPr="0039093A">
        <w:rPr>
          <w:spacing w:val="-4"/>
        </w:rPr>
        <w:t xml:space="preserve">, para. </w:t>
      </w:r>
      <w:r w:rsidRPr="0079515C">
        <w:rPr>
          <w:spacing w:val="-4"/>
          <w:lang w:val="en-US"/>
        </w:rPr>
        <w:t>90.</w:t>
      </w:r>
    </w:p>
  </w:footnote>
  <w:footnote w:id="27">
    <w:p w14:paraId="411C7A9E" w14:textId="16E4AF86" w:rsidR="002306C1" w:rsidRPr="0079515C" w:rsidRDefault="002306C1" w:rsidP="00853044">
      <w:pPr>
        <w:pStyle w:val="FootnoteText"/>
        <w:tabs>
          <w:tab w:val="clear" w:pos="567"/>
          <w:tab w:val="left" w:pos="426"/>
        </w:tabs>
        <w:spacing w:before="120" w:after="120"/>
        <w:rPr>
          <w:color w:val="000000"/>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iCs/>
          <w:spacing w:val="-4"/>
          <w:lang w:val="en-US"/>
        </w:rPr>
        <w:t>Cf. Case of the Five Pensioners v. Peru, supra</w:t>
      </w:r>
      <w:r w:rsidRPr="0079515C">
        <w:rPr>
          <w:spacing w:val="-4"/>
          <w:lang w:val="en-US"/>
        </w:rPr>
        <w:t xml:space="preserve">, para. </w:t>
      </w:r>
      <w:proofErr w:type="gramStart"/>
      <w:r w:rsidRPr="0079515C">
        <w:rPr>
          <w:spacing w:val="-4"/>
          <w:lang w:val="en-US"/>
        </w:rPr>
        <w:t>154,</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90.</w:t>
      </w:r>
    </w:p>
  </w:footnote>
  <w:footnote w:id="28">
    <w:p w14:paraId="00CD0983" w14:textId="1F98E47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In this regard, see paragraphs 67 to 141 of the Commission’s Merits Report.</w:t>
      </w:r>
    </w:p>
  </w:footnote>
  <w:footnote w:id="29">
    <w:p w14:paraId="106DD857" w14:textId="26DFA166"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 Case of the Five Pensioners v. Peru, supra</w:t>
      </w:r>
      <w:r w:rsidRPr="0079515C">
        <w:rPr>
          <w:spacing w:val="-4"/>
          <w:lang w:val="en-US"/>
        </w:rPr>
        <w:t xml:space="preserve">, para. 155, and </w:t>
      </w:r>
      <w:r w:rsidRPr="0079515C">
        <w:rPr>
          <w:i/>
          <w:spacing w:val="-4"/>
          <w:lang w:val="en-US"/>
        </w:rPr>
        <w:t>Case of Cruz Sánchez et al. v. Peru, supra</w:t>
      </w:r>
      <w:r w:rsidRPr="0079515C">
        <w:rPr>
          <w:spacing w:val="-4"/>
          <w:lang w:val="en-US"/>
        </w:rPr>
        <w:t>, note al pie 47.</w:t>
      </w:r>
    </w:p>
  </w:footnote>
  <w:footnote w:id="30">
    <w:p w14:paraId="200B85B3" w14:textId="13FBD79F" w:rsidR="002306C1" w:rsidRPr="0079515C" w:rsidRDefault="002306C1" w:rsidP="00934E49">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remedies specifically </w:t>
      </w:r>
      <w:r>
        <w:rPr>
          <w:spacing w:val="-4"/>
          <w:lang w:val="en-US"/>
        </w:rPr>
        <w:t>indicated</w:t>
      </w:r>
      <w:r w:rsidRPr="0079515C">
        <w:rPr>
          <w:spacing w:val="-4"/>
          <w:lang w:val="en-US"/>
        </w:rPr>
        <w:t xml:space="preserve"> by the State</w:t>
      </w:r>
      <w:r>
        <w:rPr>
          <w:spacing w:val="-4"/>
          <w:lang w:val="en-US"/>
        </w:rPr>
        <w:t xml:space="preserve"> do not explicitly mention the appeal</w:t>
      </w:r>
      <w:r w:rsidRPr="0079515C">
        <w:rPr>
          <w:spacing w:val="-4"/>
          <w:lang w:val="en-US"/>
        </w:rPr>
        <w:t xml:space="preserve"> of April 26, 2013. The </w:t>
      </w:r>
      <w:r>
        <w:rPr>
          <w:spacing w:val="-4"/>
          <w:lang w:val="en-US"/>
        </w:rPr>
        <w:t>appeal</w:t>
      </w:r>
      <w:r w:rsidRPr="0079515C">
        <w:rPr>
          <w:spacing w:val="-4"/>
          <w:lang w:val="en-US"/>
        </w:rPr>
        <w:t xml:space="preserve"> of Mar</w:t>
      </w:r>
      <w:r>
        <w:rPr>
          <w:spacing w:val="-4"/>
          <w:lang w:val="en-US"/>
        </w:rPr>
        <w:t xml:space="preserve">ch 13, 2012, is indicated in </w:t>
      </w:r>
      <w:r w:rsidRPr="0079515C">
        <w:rPr>
          <w:spacing w:val="-4"/>
          <w:lang w:val="en-US"/>
        </w:rPr>
        <w:t>paragraph 138 of the Commission’s Merits Report.</w:t>
      </w:r>
    </w:p>
  </w:footnote>
  <w:footnote w:id="31">
    <w:p w14:paraId="45277AF2" w14:textId="4149BAE7" w:rsidR="002306C1" w:rsidRPr="0079515C" w:rsidRDefault="002306C1" w:rsidP="00853044">
      <w:pPr>
        <w:pStyle w:val="CommentText"/>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In this regard, see paragraphs 124 to 131, 133, 134, 138 and 141 of the Commission’s Merits Report.</w:t>
      </w:r>
    </w:p>
  </w:footnote>
  <w:footnote w:id="32">
    <w:p w14:paraId="6FCBCEA8" w14:textId="34376290" w:rsidR="002306C1" w:rsidRPr="0079515C" w:rsidRDefault="002306C1" w:rsidP="00853044">
      <w:pPr>
        <w:pStyle w:val="Footnotes"/>
        <w:spacing w:before="120"/>
        <w:rPr>
          <w:lang w:val="en-US"/>
        </w:rPr>
      </w:pPr>
      <w:r w:rsidRPr="0079515C">
        <w:rPr>
          <w:rStyle w:val="FootnoteReference"/>
          <w:rFonts w:eastAsiaTheme="majorEastAsia" w:cs="Times New Roman"/>
          <w:spacing w:val="-4"/>
          <w:szCs w:val="16"/>
          <w:lang w:val="en-US"/>
        </w:rPr>
        <w:footnoteRef/>
      </w:r>
      <w:r w:rsidRPr="0079515C">
        <w:rPr>
          <w:vertAlign w:val="superscript"/>
          <w:lang w:val="en-US"/>
        </w:rPr>
        <w:t xml:space="preserve"> </w:t>
      </w:r>
      <w:r>
        <w:rPr>
          <w:lang w:val="en-US"/>
        </w:rPr>
        <w:tab/>
        <w:t>The purpose of these statements was</w:t>
      </w:r>
      <w:r w:rsidRPr="0079515C">
        <w:rPr>
          <w:lang w:val="en-US"/>
        </w:rPr>
        <w:t xml:space="preserve"> established in the </w:t>
      </w:r>
      <w:r>
        <w:rPr>
          <w:lang w:val="en-US"/>
        </w:rPr>
        <w:t>President’s order</w:t>
      </w:r>
      <w:r w:rsidRPr="0079515C">
        <w:rPr>
          <w:lang w:val="en-US"/>
        </w:rPr>
        <w:t xml:space="preserve"> of July 28, 2014 (</w:t>
      </w:r>
      <w:r w:rsidRPr="0079515C">
        <w:rPr>
          <w:i/>
          <w:lang w:val="en-US"/>
        </w:rPr>
        <w:t>supra</w:t>
      </w:r>
      <w:r w:rsidRPr="0079515C">
        <w:rPr>
          <w:lang w:val="en-US"/>
        </w:rPr>
        <w:t xml:space="preserve"> note </w:t>
      </w:r>
      <w:r w:rsidRPr="0079515C">
        <w:rPr>
          <w:lang w:val="en-US"/>
        </w:rPr>
        <w:fldChar w:fldCharType="begin"/>
      </w:r>
      <w:r w:rsidRPr="0079515C">
        <w:rPr>
          <w:lang w:val="en-US"/>
        </w:rPr>
        <w:instrText xml:space="preserve"> NOTEREF _Ref352145724 \h  \* MERGEFORMAT </w:instrText>
      </w:r>
      <w:r w:rsidRPr="0079515C">
        <w:rPr>
          <w:lang w:val="en-US"/>
        </w:rPr>
      </w:r>
      <w:r w:rsidRPr="0079515C">
        <w:rPr>
          <w:lang w:val="en-US"/>
        </w:rPr>
        <w:fldChar w:fldCharType="separate"/>
      </w:r>
      <w:r w:rsidRPr="0079515C">
        <w:rPr>
          <w:lang w:val="en-US"/>
        </w:rPr>
        <w:t>3</w:t>
      </w:r>
      <w:r w:rsidRPr="0079515C">
        <w:rPr>
          <w:lang w:val="en-US"/>
        </w:rPr>
        <w:fldChar w:fldCharType="end"/>
      </w:r>
      <w:r w:rsidRPr="0079515C">
        <w:rPr>
          <w:lang w:val="en-US"/>
        </w:rPr>
        <w:t xml:space="preserve">). </w:t>
      </w:r>
    </w:p>
  </w:footnote>
  <w:footnote w:id="33">
    <w:p w14:paraId="78C3EC27" w14:textId="6D0599DA" w:rsidR="002306C1" w:rsidRPr="0039093A" w:rsidRDefault="002306C1" w:rsidP="00853044">
      <w:pPr>
        <w:pStyle w:val="Footnotes"/>
        <w:spacing w:before="120"/>
        <w:rPr>
          <w:rFonts w:cs="Times New Roman"/>
        </w:rPr>
      </w:pPr>
      <w:r w:rsidRPr="0079515C">
        <w:rPr>
          <w:rStyle w:val="FootnoteReference"/>
          <w:rFonts w:eastAsiaTheme="majorEastAsia" w:cs="Times New Roman"/>
          <w:spacing w:val="-4"/>
          <w:szCs w:val="16"/>
          <w:lang w:val="en-US"/>
        </w:rPr>
        <w:footnoteRef/>
      </w:r>
      <w:r w:rsidRPr="0039093A">
        <w:rPr>
          <w:vertAlign w:val="superscript"/>
        </w:rPr>
        <w:t xml:space="preserve"> </w:t>
      </w:r>
      <w:r w:rsidRPr="0039093A">
        <w:tab/>
      </w:r>
      <w:r w:rsidRPr="0039093A">
        <w:rPr>
          <w:i/>
        </w:rPr>
        <w:t>Cf.</w:t>
      </w:r>
      <w:r w:rsidRPr="0039093A">
        <w:rPr>
          <w:i/>
          <w:color w:val="000000"/>
        </w:rPr>
        <w:t xml:space="preserve"> Case of Velásquez Rodríguez v. Honduras. </w:t>
      </w:r>
      <w:proofErr w:type="spellStart"/>
      <w:r w:rsidRPr="0039093A">
        <w:rPr>
          <w:i/>
          <w:color w:val="000000"/>
        </w:rPr>
        <w:t>Merits</w:t>
      </w:r>
      <w:proofErr w:type="spellEnd"/>
      <w:r w:rsidRPr="0039093A">
        <w:rPr>
          <w:i/>
          <w:color w:val="000000"/>
        </w:rPr>
        <w:t>, supra,</w:t>
      </w:r>
      <w:r w:rsidRPr="0039093A">
        <w:rPr>
          <w:color w:val="000000"/>
        </w:rPr>
        <w:t xml:space="preserve"> </w:t>
      </w:r>
      <w:r w:rsidRPr="0039093A">
        <w:t xml:space="preserve">para. 140, and </w:t>
      </w:r>
      <w:r w:rsidRPr="0039093A">
        <w:rPr>
          <w:i/>
        </w:rPr>
        <w:t xml:space="preserve">Case of Cruz Sánchez et al. v. </w:t>
      </w:r>
      <w:proofErr w:type="spellStart"/>
      <w:r w:rsidRPr="0039093A">
        <w:rPr>
          <w:i/>
        </w:rPr>
        <w:t>Peru</w:t>
      </w:r>
      <w:proofErr w:type="spellEnd"/>
      <w:r w:rsidRPr="0039093A">
        <w:rPr>
          <w:i/>
        </w:rPr>
        <w:t>, supra</w:t>
      </w:r>
      <w:r w:rsidRPr="0039093A">
        <w:t>, para. 102.</w:t>
      </w:r>
    </w:p>
  </w:footnote>
  <w:footnote w:id="34">
    <w:p w14:paraId="361DB75F" w14:textId="77777777" w:rsidR="002306C1" w:rsidRPr="0039093A" w:rsidRDefault="002306C1" w:rsidP="002B2E6F">
      <w:pPr>
        <w:pStyle w:val="Footnotes"/>
        <w:spacing w:before="120"/>
      </w:pPr>
      <w:r w:rsidRPr="0079515C">
        <w:rPr>
          <w:rStyle w:val="FootnoteReference"/>
          <w:rFonts w:eastAsiaTheme="majorEastAsia"/>
          <w:spacing w:val="-4"/>
          <w:szCs w:val="16"/>
          <w:lang w:val="en-US"/>
        </w:rPr>
        <w:footnoteRef/>
      </w:r>
      <w:r w:rsidRPr="0039093A">
        <w:rPr>
          <w:vertAlign w:val="superscript"/>
        </w:rPr>
        <w:t xml:space="preserve"> </w:t>
      </w:r>
      <w:r w:rsidRPr="0039093A">
        <w:tab/>
      </w:r>
      <w:r w:rsidRPr="0039093A">
        <w:rPr>
          <w:i/>
        </w:rPr>
        <w:t>Cf.</w:t>
      </w:r>
      <w:r w:rsidRPr="0039093A">
        <w:rPr>
          <w:i/>
          <w:color w:val="000000"/>
        </w:rPr>
        <w:t xml:space="preserve"> Case of Velásquez Rodríguez v. Honduras. </w:t>
      </w:r>
      <w:proofErr w:type="spellStart"/>
      <w:r w:rsidRPr="0039093A">
        <w:rPr>
          <w:i/>
          <w:color w:val="000000"/>
        </w:rPr>
        <w:t>Merits</w:t>
      </w:r>
      <w:proofErr w:type="spellEnd"/>
      <w:r w:rsidRPr="0039093A">
        <w:rPr>
          <w:i/>
          <w:color w:val="000000"/>
        </w:rPr>
        <w:t>, supra</w:t>
      </w:r>
      <w:r w:rsidRPr="0039093A">
        <w:rPr>
          <w:color w:val="000000"/>
        </w:rPr>
        <w:t xml:space="preserve">, </w:t>
      </w:r>
      <w:r w:rsidRPr="0039093A">
        <w:t xml:space="preserve">para. 146, and </w:t>
      </w:r>
      <w:r w:rsidRPr="0039093A">
        <w:rPr>
          <w:i/>
        </w:rPr>
        <w:t xml:space="preserve">Case of Cruz Sánchez et al. v. </w:t>
      </w:r>
      <w:proofErr w:type="spellStart"/>
      <w:r w:rsidRPr="0039093A">
        <w:rPr>
          <w:i/>
        </w:rPr>
        <w:t>Peru</w:t>
      </w:r>
      <w:proofErr w:type="spellEnd"/>
      <w:r w:rsidRPr="0039093A">
        <w:rPr>
          <w:i/>
        </w:rPr>
        <w:t>, supra</w:t>
      </w:r>
      <w:r w:rsidRPr="0039093A">
        <w:t>, para. 104.</w:t>
      </w:r>
    </w:p>
  </w:footnote>
  <w:footnote w:id="35">
    <w:p w14:paraId="6EFE5CFE" w14:textId="405C694F" w:rsidR="002306C1" w:rsidRPr="0079515C" w:rsidRDefault="002306C1" w:rsidP="0006115A">
      <w:pPr>
        <w:pStyle w:val="Footnotes"/>
        <w:spacing w:before="120"/>
        <w:rPr>
          <w:lang w:val="en-US"/>
        </w:rPr>
      </w:pPr>
      <w:r w:rsidRPr="0079515C">
        <w:rPr>
          <w:rStyle w:val="FootnoteReference"/>
          <w:rFonts w:eastAsiaTheme="majorEastAsia"/>
          <w:spacing w:val="-4"/>
          <w:szCs w:val="16"/>
          <w:lang w:val="en-US"/>
        </w:rPr>
        <w:footnoteRef/>
      </w:r>
      <w:r w:rsidRPr="0039093A">
        <w:tab/>
      </w:r>
      <w:r w:rsidRPr="0039093A">
        <w:rPr>
          <w:i/>
        </w:rPr>
        <w:t xml:space="preserve">Cf. Case of </w:t>
      </w:r>
      <w:proofErr w:type="spellStart"/>
      <w:r w:rsidRPr="0039093A">
        <w:rPr>
          <w:i/>
        </w:rPr>
        <w:t>Escué</w:t>
      </w:r>
      <w:proofErr w:type="spellEnd"/>
      <w:r w:rsidRPr="0039093A">
        <w:rPr>
          <w:i/>
        </w:rPr>
        <w:t xml:space="preserve"> Zapata v. Colombia. </w:t>
      </w:r>
      <w:proofErr w:type="gramStart"/>
      <w:r w:rsidRPr="0079515C">
        <w:rPr>
          <w:i/>
          <w:lang w:val="en-US"/>
        </w:rPr>
        <w:t>Merits, reparations and costs.</w:t>
      </w:r>
      <w:proofErr w:type="gramEnd"/>
      <w:r w:rsidRPr="0079515C">
        <w:rPr>
          <w:i/>
          <w:lang w:val="en-US"/>
        </w:rPr>
        <w:t xml:space="preserve"> </w:t>
      </w:r>
      <w:r w:rsidRPr="0079515C">
        <w:rPr>
          <w:lang w:val="en-US"/>
        </w:rPr>
        <w:t xml:space="preserve">Judgment of </w:t>
      </w:r>
      <w:r>
        <w:rPr>
          <w:lang w:val="en-US"/>
        </w:rPr>
        <w:t xml:space="preserve">July 4, </w:t>
      </w:r>
      <w:r w:rsidRPr="0079515C">
        <w:rPr>
          <w:lang w:val="en-US"/>
        </w:rPr>
        <w:t xml:space="preserve">2007. </w:t>
      </w:r>
      <w:r w:rsidRPr="0039093A">
        <w:t xml:space="preserve">Series C No. 165, para. 26, and </w:t>
      </w:r>
      <w:r w:rsidRPr="0039093A">
        <w:rPr>
          <w:i/>
        </w:rPr>
        <w:t xml:space="preserve">Case of Cruz Sánchez et al. v. </w:t>
      </w:r>
      <w:proofErr w:type="spellStart"/>
      <w:r w:rsidRPr="0039093A">
        <w:rPr>
          <w:i/>
        </w:rPr>
        <w:t>Peru</w:t>
      </w:r>
      <w:proofErr w:type="spellEnd"/>
      <w:r w:rsidRPr="0039093A">
        <w:rPr>
          <w:i/>
        </w:rPr>
        <w:t>, supra</w:t>
      </w:r>
      <w:r w:rsidRPr="0039093A">
        <w:t xml:space="preserve">, para. </w:t>
      </w:r>
      <w:r w:rsidRPr="0079515C">
        <w:rPr>
          <w:lang w:val="en-US"/>
        </w:rPr>
        <w:t>103.</w:t>
      </w:r>
    </w:p>
  </w:footnote>
  <w:footnote w:id="36">
    <w:p w14:paraId="4574F715" w14:textId="3F2A40D7" w:rsidR="002306C1" w:rsidRPr="0039093A" w:rsidRDefault="002306C1" w:rsidP="00853044">
      <w:pPr>
        <w:pStyle w:val="Footnotes"/>
        <w:spacing w:before="120"/>
        <w:rPr>
          <w:lang w:val="en-US"/>
        </w:rPr>
      </w:pPr>
      <w:r w:rsidRPr="0079515C">
        <w:rPr>
          <w:rStyle w:val="FootnoteReference"/>
          <w:rFonts w:eastAsiaTheme="majorEastAsia"/>
          <w:spacing w:val="-4"/>
          <w:szCs w:val="16"/>
          <w:lang w:val="en-US"/>
        </w:rPr>
        <w:footnoteRef/>
      </w:r>
      <w:r w:rsidRPr="0079515C">
        <w:rPr>
          <w:lang w:val="en-US"/>
        </w:rPr>
        <w:t xml:space="preserve"> </w:t>
      </w:r>
      <w:r w:rsidRPr="0079515C">
        <w:rPr>
          <w:lang w:val="en-US"/>
        </w:rPr>
        <w:tab/>
        <w:t xml:space="preserve">The State presented: (Annex 1) information from the Public Prosecution Service </w:t>
      </w:r>
      <w:r>
        <w:rPr>
          <w:lang w:val="en-US"/>
        </w:rPr>
        <w:t xml:space="preserve">on preliminary investigations into money-laundering against </w:t>
      </w:r>
      <w:r w:rsidRPr="0079515C">
        <w:rPr>
          <w:lang w:val="en-US"/>
        </w:rPr>
        <w:t xml:space="preserve">Wong Ho Wing, </w:t>
      </w:r>
      <w:r>
        <w:rPr>
          <w:lang w:val="en-US"/>
        </w:rPr>
        <w:t>his brother and sister-in-law</w:t>
      </w:r>
      <w:r w:rsidRPr="0079515C">
        <w:rPr>
          <w:lang w:val="en-US"/>
        </w:rPr>
        <w:t>; (An</w:t>
      </w:r>
      <w:r>
        <w:rPr>
          <w:lang w:val="en-US"/>
        </w:rPr>
        <w:t>n</w:t>
      </w:r>
      <w:r w:rsidRPr="0079515C">
        <w:rPr>
          <w:lang w:val="en-US"/>
        </w:rPr>
        <w:t>ex 2) informa</w:t>
      </w:r>
      <w:r>
        <w:rPr>
          <w:lang w:val="en-US"/>
        </w:rPr>
        <w:t xml:space="preserve">tion on the actions taken by the </w:t>
      </w:r>
      <w:r w:rsidRPr="0079515C">
        <w:rPr>
          <w:lang w:val="en-US"/>
        </w:rPr>
        <w:t xml:space="preserve">Ombudsman </w:t>
      </w:r>
      <w:r>
        <w:rPr>
          <w:lang w:val="en-US"/>
        </w:rPr>
        <w:t xml:space="preserve">in response to the requests to intervene in favor of </w:t>
      </w:r>
      <w:r w:rsidRPr="0079515C">
        <w:rPr>
          <w:lang w:val="en-US"/>
        </w:rPr>
        <w:t xml:space="preserve">WHW; </w:t>
      </w:r>
      <w:r w:rsidRPr="0079515C">
        <w:rPr>
          <w:rFonts w:cs="Arial"/>
          <w:lang w:val="en-US"/>
        </w:rPr>
        <w:t>(</w:t>
      </w:r>
      <w:r>
        <w:rPr>
          <w:lang w:val="en-US"/>
        </w:rPr>
        <w:t>Annex</w:t>
      </w:r>
      <w:r w:rsidRPr="0079515C">
        <w:rPr>
          <w:lang w:val="en-US"/>
        </w:rPr>
        <w:t xml:space="preserve"> 3) informa</w:t>
      </w:r>
      <w:r>
        <w:rPr>
          <w:lang w:val="en-US"/>
        </w:rPr>
        <w:t>tion on the criminal legislation and the criminal procedural system in the People’s Republic of China</w:t>
      </w:r>
      <w:r w:rsidRPr="0079515C">
        <w:rPr>
          <w:lang w:val="en-US"/>
        </w:rPr>
        <w:t xml:space="preserve"> </w:t>
      </w:r>
      <w:r>
        <w:rPr>
          <w:lang w:val="en-US"/>
        </w:rPr>
        <w:t xml:space="preserve">and the guarantees of </w:t>
      </w:r>
      <w:r w:rsidRPr="0079515C">
        <w:rPr>
          <w:lang w:val="en-US"/>
        </w:rPr>
        <w:t>due process</w:t>
      </w:r>
      <w:r>
        <w:rPr>
          <w:lang w:val="en-US"/>
        </w:rPr>
        <w:t xml:space="preserve"> if </w:t>
      </w:r>
      <w:r w:rsidRPr="0079515C">
        <w:rPr>
          <w:lang w:val="en-US"/>
        </w:rPr>
        <w:t xml:space="preserve">Wong Ho Wing </w:t>
      </w:r>
      <w:r>
        <w:rPr>
          <w:lang w:val="en-US"/>
        </w:rPr>
        <w:t>were to be extradited;</w:t>
      </w:r>
      <w:r w:rsidRPr="0079515C">
        <w:rPr>
          <w:lang w:val="en-US"/>
        </w:rPr>
        <w:t xml:space="preserve"> (</w:t>
      </w:r>
      <w:r>
        <w:rPr>
          <w:lang w:val="en-US"/>
        </w:rPr>
        <w:t>Annex</w:t>
      </w:r>
      <w:r w:rsidRPr="0079515C">
        <w:rPr>
          <w:lang w:val="en-US"/>
        </w:rPr>
        <w:t xml:space="preserve"> 4) </w:t>
      </w:r>
      <w:r>
        <w:rPr>
          <w:lang w:val="en-US"/>
        </w:rPr>
        <w:t xml:space="preserve">the second instance judgment in the case of </w:t>
      </w:r>
      <w:r w:rsidRPr="0079515C">
        <w:rPr>
          <w:lang w:val="en-US"/>
        </w:rPr>
        <w:t xml:space="preserve">Pan </w:t>
      </w:r>
      <w:proofErr w:type="spellStart"/>
      <w:r w:rsidRPr="0079515C">
        <w:rPr>
          <w:lang w:val="en-US"/>
        </w:rPr>
        <w:t>Ziniu</w:t>
      </w:r>
      <w:proofErr w:type="spellEnd"/>
      <w:r w:rsidRPr="0079515C">
        <w:rPr>
          <w:lang w:val="en-US"/>
        </w:rPr>
        <w:t xml:space="preserve">; </w:t>
      </w:r>
      <w:r w:rsidRPr="0079515C">
        <w:rPr>
          <w:rFonts w:cs="Arial"/>
          <w:lang w:val="en-US"/>
        </w:rPr>
        <w:t>(</w:t>
      </w:r>
      <w:r>
        <w:rPr>
          <w:lang w:val="en-US"/>
        </w:rPr>
        <w:t>Annex</w:t>
      </w:r>
      <w:r w:rsidRPr="0079515C">
        <w:rPr>
          <w:lang w:val="en-US"/>
        </w:rPr>
        <w:t xml:space="preserve"> 5) informa</w:t>
      </w:r>
      <w:r>
        <w:rPr>
          <w:lang w:val="en-US"/>
        </w:rPr>
        <w:t>tion from the National Council of the Judicature on the control of the judges who issued the first ad</w:t>
      </w:r>
      <w:r w:rsidRPr="0079515C">
        <w:rPr>
          <w:lang w:val="en-US"/>
        </w:rPr>
        <w:t xml:space="preserve">visory decision; </w:t>
      </w:r>
      <w:r w:rsidRPr="0079515C">
        <w:rPr>
          <w:rFonts w:cs="Arial"/>
          <w:lang w:val="en-US"/>
        </w:rPr>
        <w:t>(</w:t>
      </w:r>
      <w:r>
        <w:rPr>
          <w:lang w:val="en-US"/>
        </w:rPr>
        <w:t>Annex</w:t>
      </w:r>
      <w:r w:rsidRPr="0079515C">
        <w:rPr>
          <w:lang w:val="en-US"/>
        </w:rPr>
        <w:t xml:space="preserve"> 6) </w:t>
      </w:r>
      <w:r>
        <w:rPr>
          <w:lang w:val="en-US"/>
        </w:rPr>
        <w:t xml:space="preserve">video of the hearing before </w:t>
      </w:r>
      <w:r w:rsidRPr="0079515C">
        <w:rPr>
          <w:lang w:val="en-US"/>
        </w:rPr>
        <w:t xml:space="preserve">the Constitutional Court; </w:t>
      </w:r>
      <w:r w:rsidRPr="0079515C">
        <w:rPr>
          <w:rFonts w:cs="Arial"/>
          <w:lang w:val="en-US"/>
        </w:rPr>
        <w:t>(</w:t>
      </w:r>
      <w:r>
        <w:rPr>
          <w:lang w:val="en-US"/>
        </w:rPr>
        <w:t>Annex</w:t>
      </w:r>
      <w:r w:rsidRPr="0079515C">
        <w:rPr>
          <w:lang w:val="en-US"/>
        </w:rPr>
        <w:t xml:space="preserve"> 7) the </w:t>
      </w:r>
      <w:r>
        <w:rPr>
          <w:lang w:val="en-US"/>
        </w:rPr>
        <w:t xml:space="preserve">additional </w:t>
      </w:r>
      <w:r w:rsidRPr="0079515C">
        <w:rPr>
          <w:lang w:val="en-US"/>
        </w:rPr>
        <w:t xml:space="preserve">diplomatic assurances </w:t>
      </w:r>
      <w:r>
        <w:rPr>
          <w:lang w:val="en-US"/>
        </w:rPr>
        <w:t xml:space="preserve">offered by </w:t>
      </w:r>
      <w:r w:rsidRPr="0079515C">
        <w:rPr>
          <w:lang w:val="en-US"/>
        </w:rPr>
        <w:t>the People’s Republic of China to the Peruvian State and present</w:t>
      </w:r>
      <w:r>
        <w:rPr>
          <w:lang w:val="en-US"/>
        </w:rPr>
        <w:t xml:space="preserve">ed during the hearing before the Inter-American Court; </w:t>
      </w:r>
      <w:r w:rsidRPr="0039093A">
        <w:rPr>
          <w:rFonts w:cs="Arial"/>
          <w:lang w:val="en-US"/>
        </w:rPr>
        <w:t>(</w:t>
      </w:r>
      <w:r w:rsidRPr="0039093A">
        <w:rPr>
          <w:lang w:val="en-US"/>
        </w:rPr>
        <w:t xml:space="preserve">Annex 8) the documentation on the request for information of the defense of WHW in the domestic sphere; </w:t>
      </w:r>
      <w:r w:rsidRPr="0039093A">
        <w:rPr>
          <w:rFonts w:cs="Arial"/>
          <w:lang w:val="en-US"/>
        </w:rPr>
        <w:t>(</w:t>
      </w:r>
      <w:r w:rsidRPr="0039093A">
        <w:rPr>
          <w:lang w:val="en-US"/>
        </w:rPr>
        <w:t xml:space="preserve">Annex 9) the </w:t>
      </w:r>
      <w:proofErr w:type="spellStart"/>
      <w:r w:rsidRPr="0039093A">
        <w:rPr>
          <w:lang w:val="en-US"/>
        </w:rPr>
        <w:t>compelte</w:t>
      </w:r>
      <w:proofErr w:type="spellEnd"/>
      <w:r w:rsidRPr="0039093A">
        <w:rPr>
          <w:lang w:val="en-US"/>
        </w:rPr>
        <w:t xml:space="preserve"> file of the extradition proceedings against Wong Ho Wing, and </w:t>
      </w:r>
      <w:r w:rsidRPr="0039093A">
        <w:rPr>
          <w:rFonts w:cs="Arial"/>
          <w:lang w:val="en-US"/>
        </w:rPr>
        <w:t>(</w:t>
      </w:r>
      <w:r w:rsidRPr="0039093A">
        <w:rPr>
          <w:lang w:val="en-US"/>
        </w:rPr>
        <w:t>Annex 10) the order of December 21, 2009, of the Permanent Criminal Chamber of the Supreme Court.</w:t>
      </w:r>
    </w:p>
  </w:footnote>
  <w:footnote w:id="37">
    <w:p w14:paraId="2AA8A39A" w14:textId="5E4DAD2D" w:rsidR="002306C1" w:rsidRPr="0079515C" w:rsidRDefault="002306C1" w:rsidP="00BC7BEA">
      <w:pPr>
        <w:pStyle w:val="Footnotes"/>
        <w:spacing w:before="120"/>
        <w:rPr>
          <w:lang w:val="en-US"/>
        </w:rPr>
      </w:pPr>
      <w:r w:rsidRPr="0079515C">
        <w:rPr>
          <w:rStyle w:val="FootnoteReference"/>
          <w:rFonts w:eastAsiaTheme="majorEastAsia"/>
          <w:spacing w:val="-4"/>
          <w:szCs w:val="16"/>
          <w:lang w:val="en-US"/>
        </w:rPr>
        <w:footnoteRef/>
      </w:r>
      <w:r w:rsidRPr="0079515C">
        <w:rPr>
          <w:vertAlign w:val="superscript"/>
          <w:lang w:val="en-US"/>
        </w:rPr>
        <w:t xml:space="preserve"> </w:t>
      </w:r>
      <w:r w:rsidRPr="0079515C">
        <w:rPr>
          <w:vertAlign w:val="superscript"/>
          <w:lang w:val="en-US"/>
        </w:rPr>
        <w:tab/>
      </w:r>
      <w:proofErr w:type="gramStart"/>
      <w:r w:rsidRPr="0079515C">
        <w:rPr>
          <w:i/>
          <w:lang w:val="en-US"/>
        </w:rPr>
        <w:t xml:space="preserve">Cf. Case of </w:t>
      </w:r>
      <w:proofErr w:type="spellStart"/>
      <w:r w:rsidRPr="0079515C">
        <w:rPr>
          <w:i/>
          <w:lang w:val="en-US"/>
        </w:rPr>
        <w:t>Díaz</w:t>
      </w:r>
      <w:proofErr w:type="spellEnd"/>
      <w:r w:rsidRPr="0079515C">
        <w:rPr>
          <w:i/>
          <w:lang w:val="en-US"/>
        </w:rPr>
        <w:t xml:space="preserve"> Peña v. Venezuela.</w:t>
      </w:r>
      <w:proofErr w:type="gramEnd"/>
      <w:r w:rsidRPr="0079515C">
        <w:rPr>
          <w:i/>
          <w:lang w:val="en-US"/>
        </w:rPr>
        <w:t xml:space="preserve"> </w:t>
      </w:r>
      <w:proofErr w:type="gramStart"/>
      <w:r w:rsidRPr="0079515C">
        <w:rPr>
          <w:i/>
          <w:lang w:val="en-US"/>
        </w:rPr>
        <w:t>Preliminary objection, merits, reparations and costs.</w:t>
      </w:r>
      <w:proofErr w:type="gramEnd"/>
      <w:r w:rsidRPr="0079515C">
        <w:rPr>
          <w:lang w:val="en-US"/>
        </w:rPr>
        <w:t xml:space="preserve"> Judgment of June 26, 2012. Series C No. 244, para. </w:t>
      </w:r>
      <w:proofErr w:type="gramStart"/>
      <w:r w:rsidRPr="0079515C">
        <w:rPr>
          <w:lang w:val="en-US"/>
        </w:rPr>
        <w:t>33,</w:t>
      </w:r>
      <w:proofErr w:type="gramEnd"/>
      <w:r w:rsidRPr="0079515C">
        <w:rPr>
          <w:lang w:val="en-US"/>
        </w:rPr>
        <w:t xml:space="preserve"> and </w:t>
      </w:r>
      <w:r w:rsidRPr="0079515C">
        <w:rPr>
          <w:i/>
          <w:lang w:val="en-US"/>
        </w:rPr>
        <w:t>Case of Cruz Sánchez et al. v. Peru, supra</w:t>
      </w:r>
      <w:r w:rsidRPr="0079515C">
        <w:rPr>
          <w:lang w:val="en-US"/>
        </w:rPr>
        <w:t>, para. 115.</w:t>
      </w:r>
    </w:p>
  </w:footnote>
  <w:footnote w:id="38">
    <w:p w14:paraId="7ADFABF0" w14:textId="492930BF" w:rsidR="002306C1" w:rsidRPr="0079515C" w:rsidRDefault="002306C1" w:rsidP="00853044">
      <w:pPr>
        <w:pStyle w:val="Footnotes"/>
        <w:spacing w:before="120"/>
        <w:rPr>
          <w:lang w:val="en-US"/>
        </w:rPr>
      </w:pPr>
      <w:r w:rsidRPr="0079515C">
        <w:rPr>
          <w:rStyle w:val="FootnoteReference"/>
          <w:rFonts w:eastAsiaTheme="majorEastAsia"/>
          <w:spacing w:val="-4"/>
          <w:szCs w:val="16"/>
          <w:lang w:val="en-US"/>
        </w:rPr>
        <w:footnoteRef/>
      </w:r>
      <w:r w:rsidRPr="0079515C">
        <w:rPr>
          <w:vertAlign w:val="superscript"/>
          <w:lang w:val="en-US"/>
        </w:rPr>
        <w:t xml:space="preserve"> </w:t>
      </w:r>
      <w:r w:rsidRPr="0079515C">
        <w:rPr>
          <w:lang w:val="en-US"/>
        </w:rPr>
        <w:tab/>
      </w:r>
      <w:proofErr w:type="gramStart"/>
      <w:r w:rsidRPr="0079515C">
        <w:rPr>
          <w:i/>
          <w:lang w:val="en-US"/>
        </w:rPr>
        <w:t>Cf.</w:t>
      </w:r>
      <w:r w:rsidRPr="0079515C">
        <w:rPr>
          <w:b/>
          <w:bCs/>
          <w:i/>
          <w:lang w:val="en-US"/>
        </w:rPr>
        <w:t xml:space="preserve"> </w:t>
      </w:r>
      <w:r w:rsidRPr="0079515C">
        <w:rPr>
          <w:i/>
          <w:lang w:val="en-US"/>
        </w:rPr>
        <w:t>Case of the “White Van” (</w:t>
      </w:r>
      <w:proofErr w:type="spellStart"/>
      <w:r w:rsidRPr="0079515C">
        <w:rPr>
          <w:i/>
          <w:lang w:val="en-US"/>
        </w:rPr>
        <w:t>Paniagua</w:t>
      </w:r>
      <w:proofErr w:type="spellEnd"/>
      <w:r w:rsidRPr="0079515C">
        <w:rPr>
          <w:i/>
          <w:lang w:val="en-US"/>
        </w:rPr>
        <w:t xml:space="preserve"> Morales et al.) v. Guatemala.</w:t>
      </w:r>
      <w:proofErr w:type="gramEnd"/>
      <w:r w:rsidRPr="0079515C">
        <w:rPr>
          <w:i/>
          <w:lang w:val="en-US"/>
        </w:rPr>
        <w:t xml:space="preserve"> </w:t>
      </w:r>
      <w:proofErr w:type="gramStart"/>
      <w:r w:rsidRPr="0079515C">
        <w:rPr>
          <w:i/>
          <w:lang w:val="en-US"/>
        </w:rPr>
        <w:t>Merits</w:t>
      </w:r>
      <w:r w:rsidRPr="0079515C">
        <w:rPr>
          <w:lang w:val="en-US"/>
        </w:rPr>
        <w:t>.</w:t>
      </w:r>
      <w:proofErr w:type="gramEnd"/>
      <w:r w:rsidRPr="0079515C">
        <w:rPr>
          <w:lang w:val="en-US"/>
        </w:rPr>
        <w:t xml:space="preserve"> Judgment of March 8, 1998. Series C No. 37, paras. 69 to </w:t>
      </w:r>
      <w:proofErr w:type="gramStart"/>
      <w:r w:rsidRPr="0079515C">
        <w:rPr>
          <w:lang w:val="en-US"/>
        </w:rPr>
        <w:t>76,</w:t>
      </w:r>
      <w:proofErr w:type="gramEnd"/>
      <w:r w:rsidRPr="0079515C">
        <w:rPr>
          <w:lang w:val="en-US"/>
        </w:rPr>
        <w:t xml:space="preserve"> and </w:t>
      </w:r>
      <w:r w:rsidRPr="0079515C">
        <w:rPr>
          <w:i/>
          <w:lang w:val="en-US"/>
        </w:rPr>
        <w:t>Case of Cruz Sánchez et al. v. Peru</w:t>
      </w:r>
      <w:r w:rsidRPr="0079515C">
        <w:rPr>
          <w:lang w:val="en-US"/>
        </w:rPr>
        <w:t>, supra, para. 129.</w:t>
      </w:r>
    </w:p>
  </w:footnote>
  <w:footnote w:id="39">
    <w:p w14:paraId="71D403CE" w14:textId="630DBA89"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rFonts w:eastAsiaTheme="majorEastAsia"/>
          <w:spacing w:val="-4"/>
          <w:lang w:val="en-US"/>
        </w:rPr>
        <w:footnoteRef/>
      </w:r>
      <w:r w:rsidRPr="0079515C">
        <w:rPr>
          <w:spacing w:val="-4"/>
          <w:vertAlign w:val="superscript"/>
          <w:lang w:val="en-US"/>
        </w:rPr>
        <w:t xml:space="preserve"> </w:t>
      </w:r>
      <w:r w:rsidRPr="0079515C">
        <w:rPr>
          <w:spacing w:val="-4"/>
          <w:lang w:val="en-US"/>
        </w:rPr>
        <w:tab/>
      </w:r>
      <w:proofErr w:type="gramStart"/>
      <w:r w:rsidRPr="0079515C">
        <w:rPr>
          <w:i/>
          <w:spacing w:val="-4"/>
          <w:lang w:val="en-US"/>
        </w:rPr>
        <w:t>Cf.</w:t>
      </w:r>
      <w:r w:rsidRPr="0079515C">
        <w:rPr>
          <w:b/>
          <w:bCs w:val="0"/>
          <w:spacing w:val="-4"/>
          <w:lang w:val="en-US"/>
        </w:rPr>
        <w:t xml:space="preserve"> </w:t>
      </w:r>
      <w:r w:rsidRPr="0079515C">
        <w:rPr>
          <w:i/>
          <w:spacing w:val="-4"/>
          <w:lang w:val="en-US"/>
        </w:rPr>
        <w:t>Case of the “White Van” (</w:t>
      </w:r>
      <w:proofErr w:type="spellStart"/>
      <w:r w:rsidRPr="0079515C">
        <w:rPr>
          <w:i/>
          <w:spacing w:val="-4"/>
          <w:lang w:val="en-US"/>
        </w:rPr>
        <w:t>Paniagua</w:t>
      </w:r>
      <w:proofErr w:type="spellEnd"/>
      <w:r w:rsidRPr="0079515C">
        <w:rPr>
          <w:i/>
          <w:spacing w:val="-4"/>
          <w:lang w:val="en-US"/>
        </w:rPr>
        <w:t xml:space="preserve"> Morales et al.) v. Guatemala.</w:t>
      </w:r>
      <w:proofErr w:type="gramEnd"/>
      <w:r w:rsidRPr="0079515C">
        <w:rPr>
          <w:i/>
          <w:spacing w:val="-4"/>
          <w:lang w:val="en-US"/>
        </w:rPr>
        <w:t xml:space="preserve"> </w:t>
      </w:r>
      <w:proofErr w:type="gramStart"/>
      <w:r w:rsidRPr="0079515C">
        <w:rPr>
          <w:i/>
          <w:spacing w:val="-4"/>
          <w:lang w:val="en-US"/>
        </w:rPr>
        <w:t>Merits, supra</w:t>
      </w:r>
      <w:r w:rsidRPr="0079515C">
        <w:rPr>
          <w:spacing w:val="-4"/>
          <w:lang w:val="en-US"/>
        </w:rPr>
        <w:t>, para.</w:t>
      </w:r>
      <w:proofErr w:type="gramEnd"/>
      <w:r w:rsidRPr="0079515C">
        <w:rPr>
          <w:spacing w:val="-4"/>
          <w:lang w:val="en-US"/>
        </w:rPr>
        <w:t xml:space="preserve"> </w:t>
      </w:r>
      <w:proofErr w:type="gramStart"/>
      <w:r w:rsidRPr="0079515C">
        <w:rPr>
          <w:spacing w:val="-4"/>
          <w:lang w:val="en-US"/>
        </w:rPr>
        <w:t>76,</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129.</w:t>
      </w:r>
    </w:p>
  </w:footnote>
  <w:footnote w:id="40">
    <w:p w14:paraId="6DA2EC25" w14:textId="3A3D4991" w:rsidR="002306C1" w:rsidRPr="0079515C" w:rsidRDefault="002306C1" w:rsidP="00853044">
      <w:pPr>
        <w:pStyle w:val="Footnotes"/>
        <w:spacing w:before="120"/>
        <w:rPr>
          <w:lang w:val="en-US"/>
        </w:rPr>
      </w:pPr>
      <w:r w:rsidRPr="0079515C">
        <w:rPr>
          <w:rStyle w:val="FootnoteReference"/>
          <w:rFonts w:eastAsiaTheme="majorEastAsia"/>
          <w:spacing w:val="-4"/>
          <w:szCs w:val="16"/>
          <w:lang w:val="en-US"/>
        </w:rPr>
        <w:footnoteRef/>
      </w:r>
      <w:r w:rsidRPr="0079515C">
        <w:rPr>
          <w:vertAlign w:val="superscript"/>
          <w:lang w:val="en-US"/>
        </w:rPr>
        <w:t xml:space="preserve"> </w:t>
      </w:r>
      <w:r w:rsidRPr="0079515C">
        <w:rPr>
          <w:vertAlign w:val="superscript"/>
          <w:lang w:val="en-US"/>
        </w:rPr>
        <w:tab/>
      </w:r>
      <w:proofErr w:type="gramStart"/>
      <w:r w:rsidRPr="0079515C">
        <w:rPr>
          <w:i/>
          <w:lang w:val="en-US"/>
        </w:rPr>
        <w:t xml:space="preserve">Cf. Case of </w:t>
      </w:r>
      <w:proofErr w:type="spellStart"/>
      <w:r w:rsidRPr="0079515C">
        <w:rPr>
          <w:i/>
          <w:lang w:val="en-US"/>
        </w:rPr>
        <w:t>Loayza</w:t>
      </w:r>
      <w:proofErr w:type="spellEnd"/>
      <w:r w:rsidRPr="0079515C">
        <w:rPr>
          <w:i/>
          <w:lang w:val="en-US"/>
        </w:rPr>
        <w:t xml:space="preserve"> Tamayo v. Peru.</w:t>
      </w:r>
      <w:proofErr w:type="gramEnd"/>
      <w:r w:rsidRPr="0079515C">
        <w:rPr>
          <w:i/>
          <w:lang w:val="en-US"/>
        </w:rPr>
        <w:t xml:space="preserve"> </w:t>
      </w:r>
      <w:proofErr w:type="gramStart"/>
      <w:r w:rsidRPr="0079515C">
        <w:rPr>
          <w:i/>
          <w:lang w:val="en-US"/>
        </w:rPr>
        <w:t>Merits.</w:t>
      </w:r>
      <w:proofErr w:type="gramEnd"/>
      <w:r w:rsidRPr="0079515C">
        <w:rPr>
          <w:i/>
          <w:lang w:val="en-US"/>
        </w:rPr>
        <w:t xml:space="preserve"> </w:t>
      </w:r>
      <w:r w:rsidRPr="0079515C">
        <w:rPr>
          <w:lang w:val="en-US"/>
        </w:rPr>
        <w:t xml:space="preserve">Judgment of September 17, 1997. Series C No. 33, para. </w:t>
      </w:r>
      <w:proofErr w:type="gramStart"/>
      <w:r w:rsidRPr="0079515C">
        <w:rPr>
          <w:lang w:val="en-US"/>
        </w:rPr>
        <w:t>43,</w:t>
      </w:r>
      <w:proofErr w:type="gramEnd"/>
      <w:r w:rsidRPr="0079515C">
        <w:rPr>
          <w:lang w:val="en-US"/>
        </w:rPr>
        <w:t xml:space="preserve"> and </w:t>
      </w:r>
      <w:r w:rsidRPr="0079515C">
        <w:rPr>
          <w:i/>
          <w:lang w:val="en-US"/>
        </w:rPr>
        <w:t>Case of Cruz Sánchez et al. v. Peru, supra</w:t>
      </w:r>
      <w:r w:rsidRPr="0079515C">
        <w:rPr>
          <w:lang w:val="en-US"/>
        </w:rPr>
        <w:t>, para. 131.</w:t>
      </w:r>
    </w:p>
  </w:footnote>
  <w:footnote w:id="41">
    <w:p w14:paraId="69CEFA06" w14:textId="34519D1A"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Extradition Treaty between the Republic of Peru and the People’s Republic of China (evidence file, folios 1633 to 1636), and decision of October 5, 2009, of the Permanent Criminal Chamber of the Supreme Court of Justice, (evidence file, folio 101).</w:t>
      </w:r>
    </w:p>
  </w:footnote>
  <w:footnote w:id="42">
    <w:p w14:paraId="445AA3C7" w14:textId="5A7558F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Statement made by </w:t>
      </w:r>
      <w:proofErr w:type="spellStart"/>
      <w:r w:rsidRPr="0079515C">
        <w:rPr>
          <w:spacing w:val="-4"/>
          <w:lang w:val="en-US"/>
        </w:rPr>
        <w:t>Víctor</w:t>
      </w:r>
      <w:proofErr w:type="spellEnd"/>
      <w:r w:rsidRPr="0079515C">
        <w:rPr>
          <w:spacing w:val="-4"/>
          <w:lang w:val="en-US"/>
        </w:rPr>
        <w:t xml:space="preserve"> </w:t>
      </w:r>
      <w:proofErr w:type="spellStart"/>
      <w:r w:rsidRPr="0079515C">
        <w:rPr>
          <w:spacing w:val="-4"/>
          <w:lang w:val="en-US"/>
        </w:rPr>
        <w:t>García</w:t>
      </w:r>
      <w:proofErr w:type="spellEnd"/>
      <w:r w:rsidRPr="0079515C">
        <w:rPr>
          <w:spacing w:val="-4"/>
          <w:lang w:val="en-US"/>
        </w:rPr>
        <w:t xml:space="preserve"> </w:t>
      </w:r>
      <w:proofErr w:type="spellStart"/>
      <w:r w:rsidRPr="0079515C">
        <w:rPr>
          <w:spacing w:val="-4"/>
          <w:lang w:val="en-US"/>
        </w:rPr>
        <w:t>Toma</w:t>
      </w:r>
      <w:proofErr w:type="spellEnd"/>
      <w:r w:rsidRPr="0079515C">
        <w:rPr>
          <w:spacing w:val="-4"/>
          <w:lang w:val="en-US"/>
        </w:rPr>
        <w:t xml:space="preserve"> during the public hearing held in this case. </w:t>
      </w:r>
    </w:p>
  </w:footnote>
  <w:footnote w:id="43">
    <w:p w14:paraId="6449F3D7" w14:textId="136AE41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Article 37 of the Peruvian Constitution establishes that: “Extradition shall only be granted by the Executive Branch following a report by the Supreme Court, in compliance with the law and the treaties, and based on the principle of reciprocity. Extradition shall not be granted if it is considered that it has been requested in order to persecute or punish for reasons of religion, nationality, opinion or race. The extradition of those pursued for political </w:t>
      </w:r>
      <w:r>
        <w:rPr>
          <w:spacing w:val="-4"/>
          <w:lang w:val="en-US"/>
        </w:rPr>
        <w:t>offenses</w:t>
      </w:r>
      <w:r w:rsidRPr="0079515C">
        <w:rPr>
          <w:spacing w:val="-4"/>
          <w:lang w:val="en-US"/>
        </w:rPr>
        <w:t xml:space="preserve"> or for acts related to such </w:t>
      </w:r>
      <w:r>
        <w:rPr>
          <w:spacing w:val="-4"/>
          <w:lang w:val="en-US"/>
        </w:rPr>
        <w:t>offense</w:t>
      </w:r>
      <w:r w:rsidRPr="0079515C">
        <w:rPr>
          <w:spacing w:val="-4"/>
          <w:lang w:val="en-US"/>
        </w:rPr>
        <w:t xml:space="preserve">s is precluded; this does not include genocide, </w:t>
      </w:r>
      <w:proofErr w:type="spellStart"/>
      <w:r w:rsidRPr="0079515C">
        <w:rPr>
          <w:spacing w:val="-4"/>
          <w:lang w:val="en-US"/>
        </w:rPr>
        <w:t>magnicide</w:t>
      </w:r>
      <w:proofErr w:type="spellEnd"/>
      <w:r w:rsidRPr="0079515C">
        <w:rPr>
          <w:spacing w:val="-4"/>
          <w:lang w:val="en-US"/>
        </w:rPr>
        <w:t xml:space="preserve"> and terrorism.” </w:t>
      </w:r>
      <w:proofErr w:type="gramStart"/>
      <w:r w:rsidRPr="0079515C">
        <w:rPr>
          <w:spacing w:val="-4"/>
          <w:lang w:val="en-US"/>
        </w:rPr>
        <w:t>1993 Constitution of Peru.</w:t>
      </w:r>
      <w:proofErr w:type="gramEnd"/>
      <w:r w:rsidRPr="0079515C">
        <w:rPr>
          <w:spacing w:val="-4"/>
          <w:lang w:val="en-US"/>
        </w:rPr>
        <w:t xml:space="preserve"> Available at: </w:t>
      </w:r>
      <w:hyperlink r:id="rId3" w:history="1">
        <w:r w:rsidRPr="0079515C">
          <w:rPr>
            <w:rStyle w:val="Hyperlink"/>
            <w:spacing w:val="-4"/>
            <w:lang w:val="en-US"/>
          </w:rPr>
          <w:t>www.congreso.gob.pe/ntley/ConstitucionP.htm</w:t>
        </w:r>
      </w:hyperlink>
      <w:r w:rsidRPr="0079515C">
        <w:rPr>
          <w:spacing w:val="-4"/>
          <w:lang w:val="en-US"/>
        </w:rPr>
        <w:t xml:space="preserve">, cited in the Commission’s Merits Report, folio 19.    </w:t>
      </w:r>
    </w:p>
  </w:footnote>
  <w:footnote w:id="44">
    <w:p w14:paraId="041C6430" w14:textId="284E0E4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Code of Criminal Procedure, promulgated by Legislative Decree No. 957 of July 29, 2004, articles 513 to 515.</w:t>
      </w:r>
      <w:proofErr w:type="gramEnd"/>
      <w:r w:rsidRPr="0079515C">
        <w:rPr>
          <w:spacing w:val="-4"/>
          <w:lang w:val="en-US"/>
        </w:rPr>
        <w:t xml:space="preserve"> Available at: </w:t>
      </w:r>
      <w:hyperlink r:id="rId4" w:history="1">
        <w:r w:rsidRPr="0079515C">
          <w:rPr>
            <w:rStyle w:val="Hyperlink"/>
            <w:spacing w:val="-4"/>
            <w:lang w:val="en-US"/>
          </w:rPr>
          <w:t>http://www.leyes.congreso.gob.pe/Documentos/Decretoslegislativos/00957.pdf</w:t>
        </w:r>
      </w:hyperlink>
      <w:r w:rsidRPr="0079515C">
        <w:rPr>
          <w:spacing w:val="-4"/>
          <w:lang w:val="en-US"/>
        </w:rPr>
        <w:t xml:space="preserve">, cited in the Commission’s Merits Report, folio 24. Similarly, </w:t>
      </w:r>
      <w:r w:rsidRPr="0079515C">
        <w:rPr>
          <w:i/>
          <w:spacing w:val="-4"/>
          <w:lang w:val="en-US"/>
        </w:rPr>
        <w:t>see</w:t>
      </w:r>
      <w:r w:rsidRPr="0079515C">
        <w:rPr>
          <w:spacing w:val="-4"/>
          <w:lang w:val="en-US"/>
        </w:rPr>
        <w:t xml:space="preserve"> Statement made by </w:t>
      </w:r>
      <w:proofErr w:type="spellStart"/>
      <w:r w:rsidRPr="0079515C">
        <w:rPr>
          <w:spacing w:val="-4"/>
          <w:lang w:val="en-US"/>
        </w:rPr>
        <w:t>Víctor</w:t>
      </w:r>
      <w:proofErr w:type="spellEnd"/>
      <w:r w:rsidRPr="0079515C">
        <w:rPr>
          <w:spacing w:val="-4"/>
          <w:lang w:val="en-US"/>
        </w:rPr>
        <w:t xml:space="preserve"> </w:t>
      </w:r>
      <w:proofErr w:type="spellStart"/>
      <w:r w:rsidRPr="0079515C">
        <w:rPr>
          <w:spacing w:val="-4"/>
          <w:lang w:val="en-US"/>
        </w:rPr>
        <w:t>García</w:t>
      </w:r>
      <w:proofErr w:type="spellEnd"/>
      <w:r w:rsidRPr="0079515C">
        <w:rPr>
          <w:spacing w:val="-4"/>
          <w:lang w:val="en-US"/>
        </w:rPr>
        <w:t xml:space="preserve"> </w:t>
      </w:r>
      <w:proofErr w:type="spellStart"/>
      <w:r w:rsidRPr="0079515C">
        <w:rPr>
          <w:spacing w:val="-4"/>
          <w:lang w:val="en-US"/>
        </w:rPr>
        <w:t>Toma</w:t>
      </w:r>
      <w:proofErr w:type="spellEnd"/>
      <w:r w:rsidRPr="0079515C">
        <w:rPr>
          <w:spacing w:val="-4"/>
          <w:lang w:val="en-US"/>
        </w:rPr>
        <w:t xml:space="preserve"> during the public hearing held in this case. </w:t>
      </w:r>
    </w:p>
  </w:footnote>
  <w:footnote w:id="45">
    <w:p w14:paraId="503C3A30" w14:textId="6541DF7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Code of Criminal Procedure, promulgated by Legislative Decree No. 957 of July 29, 2004, articles 516 and 517.</w:t>
      </w:r>
      <w:proofErr w:type="gramEnd"/>
      <w:r w:rsidRPr="0079515C">
        <w:rPr>
          <w:spacing w:val="-4"/>
          <w:lang w:val="en-US"/>
        </w:rPr>
        <w:t xml:space="preserve"> Available at: </w:t>
      </w:r>
      <w:hyperlink r:id="rId5" w:history="1">
        <w:r w:rsidRPr="0079515C">
          <w:rPr>
            <w:rStyle w:val="Hyperlink"/>
            <w:spacing w:val="-4"/>
            <w:lang w:val="en-US"/>
          </w:rPr>
          <w:t>http://www.leyes.congreso.gob.pe/Documentos/Decretoslegislativos/00957.pdf</w:t>
        </w:r>
      </w:hyperlink>
      <w:r w:rsidRPr="0079515C">
        <w:rPr>
          <w:rStyle w:val="Hyperlink"/>
          <w:color w:val="auto"/>
          <w:spacing w:val="-4"/>
          <w:u w:val="none"/>
          <w:lang w:val="en-US"/>
        </w:rPr>
        <w:t xml:space="preserve">, </w:t>
      </w:r>
      <w:r w:rsidRPr="0079515C">
        <w:rPr>
          <w:spacing w:val="-4"/>
          <w:lang w:val="en-US"/>
        </w:rPr>
        <w:t>cited in the Commission’s Merits Report, folio 24.</w:t>
      </w:r>
    </w:p>
  </w:footnote>
  <w:footnote w:id="46">
    <w:p w14:paraId="3191187B" w14:textId="1D5E4EC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Code of Criminal </w:t>
      </w:r>
      <w:proofErr w:type="gramStart"/>
      <w:r w:rsidRPr="0079515C">
        <w:rPr>
          <w:spacing w:val="-4"/>
          <w:lang w:val="en-US"/>
        </w:rPr>
        <w:t>Procedure,</w:t>
      </w:r>
      <w:proofErr w:type="gramEnd"/>
      <w:r w:rsidRPr="0079515C">
        <w:rPr>
          <w:spacing w:val="-4"/>
          <w:lang w:val="en-US"/>
        </w:rPr>
        <w:t xml:space="preserve"> promulgated by Legislative Decree No. 957 of July 29, 2004, article 521. Available at: </w:t>
      </w:r>
      <w:hyperlink r:id="rId6" w:history="1">
        <w:r w:rsidRPr="0079515C">
          <w:rPr>
            <w:rStyle w:val="Hyperlink"/>
            <w:spacing w:val="-4"/>
            <w:lang w:val="en-US"/>
          </w:rPr>
          <w:t>http://www.leyes.congreso.gob.pe/Documentos/Decretoslegislativos/00957.pdf</w:t>
        </w:r>
      </w:hyperlink>
      <w:r w:rsidRPr="0079515C">
        <w:rPr>
          <w:rStyle w:val="Hyperlink"/>
          <w:color w:val="auto"/>
          <w:spacing w:val="-4"/>
          <w:u w:val="none"/>
          <w:lang w:val="en-US"/>
        </w:rPr>
        <w:t xml:space="preserve">, </w:t>
      </w:r>
      <w:r w:rsidRPr="0079515C">
        <w:rPr>
          <w:spacing w:val="-4"/>
          <w:lang w:val="en-US"/>
        </w:rPr>
        <w:t>cited in the Commission’s Merits Report, folio 24.</w:t>
      </w:r>
    </w:p>
  </w:footnote>
  <w:footnote w:id="47">
    <w:p w14:paraId="266506BE" w14:textId="3A3EEB9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Note of the Peruvian National Police of October 27, 2008 (evidence file, folio 6). </w:t>
      </w:r>
      <w:r w:rsidRPr="0079515C">
        <w:rPr>
          <w:i/>
          <w:spacing w:val="-4"/>
          <w:lang w:val="en-US"/>
        </w:rPr>
        <w:t xml:space="preserve">Cf. </w:t>
      </w:r>
      <w:r w:rsidRPr="0079515C">
        <w:rPr>
          <w:rFonts w:cs="Segoe UI"/>
          <w:color w:val="000000"/>
          <w:spacing w:val="-4"/>
          <w:lang w:val="en-US" w:eastAsia="es-MX"/>
        </w:rPr>
        <w:t>INTERPOL Red Notice entitled “Wanted for Prosecution” (</w:t>
      </w:r>
      <w:r w:rsidRPr="0079515C">
        <w:rPr>
          <w:spacing w:val="-4"/>
          <w:lang w:val="en-US"/>
        </w:rPr>
        <w:t>evidence file, folio 8), and arrest warrant dated April 16, 2001 (evidence file, folio 6391).</w:t>
      </w:r>
    </w:p>
  </w:footnote>
  <w:footnote w:id="48">
    <w:p w14:paraId="0CC07B9F" w14:textId="2F7463F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Note of the Peruvian National Police of October 27, 2008 (evidence file, folio 6).</w:t>
      </w:r>
      <w:proofErr w:type="gramEnd"/>
    </w:p>
  </w:footnote>
  <w:footnote w:id="49">
    <w:p w14:paraId="4F533902" w14:textId="5BE38C8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Preliminary statement made by Wong Ho Wing on October 28, 2008, before the Special Criminal Court of El Callao (evidence file, folio 15).</w:t>
      </w:r>
    </w:p>
  </w:footnote>
  <w:footnote w:id="50">
    <w:p w14:paraId="60AAB405" w14:textId="12107E6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offense established in article 153 of the Chinese Criminal Code is entitled “smuggling ordinary merchandise.” However, this offense is similar to the offense entitle “evasion of customs duty” under Peruvian law. </w:t>
      </w:r>
      <w:r w:rsidRPr="0079515C">
        <w:rPr>
          <w:i/>
          <w:spacing w:val="-4"/>
          <w:lang w:val="en-US"/>
        </w:rPr>
        <w:t xml:space="preserve">Cf. </w:t>
      </w:r>
      <w:r w:rsidRPr="0079515C">
        <w:rPr>
          <w:spacing w:val="-4"/>
          <w:lang w:val="en-US"/>
        </w:rPr>
        <w:t>Advisory decision of the Permanent Criminal Chamber of January 27, 2010 (evidence file, folios 168 and 169). Consequently, the offense established in article 153 of the Chinese Criminal Code, for which Wong Ho Wing was required, is referred to with both terms in different documents from the extradition process. Whichever the name used, this is the offense established in article 153 of the Chinese Criminal Code, and the penalty for “very serious” cases is established in article 151 of the Chinese Criminal Code (</w:t>
      </w:r>
      <w:r w:rsidRPr="0079515C">
        <w:rPr>
          <w:i/>
          <w:spacing w:val="-4"/>
          <w:lang w:val="en-US"/>
        </w:rPr>
        <w:t>infra</w:t>
      </w:r>
      <w:r w:rsidRPr="0079515C">
        <w:rPr>
          <w:spacing w:val="-4"/>
          <w:lang w:val="en-US"/>
        </w:rPr>
        <w:t xml:space="preserve"> para. </w:t>
      </w:r>
      <w:r w:rsidRPr="0079515C">
        <w:rPr>
          <w:spacing w:val="-4"/>
          <w:lang w:val="en-US"/>
        </w:rPr>
        <w:fldChar w:fldCharType="begin"/>
      </w:r>
      <w:r w:rsidRPr="0079515C">
        <w:rPr>
          <w:spacing w:val="-4"/>
          <w:lang w:val="en-US"/>
        </w:rPr>
        <w:instrText xml:space="preserve"> REF _Ref419383246 \r \h  \* MERGEFORMAT </w:instrText>
      </w:r>
      <w:r w:rsidRPr="0079515C">
        <w:rPr>
          <w:spacing w:val="-4"/>
          <w:lang w:val="en-US"/>
        </w:rPr>
      </w:r>
      <w:r w:rsidRPr="0079515C">
        <w:rPr>
          <w:spacing w:val="-4"/>
          <w:lang w:val="en-US"/>
        </w:rPr>
        <w:fldChar w:fldCharType="separate"/>
      </w:r>
      <w:r w:rsidRPr="0079515C">
        <w:rPr>
          <w:spacing w:val="-4"/>
          <w:lang w:val="en-US"/>
        </w:rPr>
        <w:t>146</w:t>
      </w:r>
      <w:r w:rsidRPr="0079515C">
        <w:rPr>
          <w:spacing w:val="-4"/>
          <w:lang w:val="en-US"/>
        </w:rPr>
        <w:fldChar w:fldCharType="end"/>
      </w:r>
      <w:r w:rsidRPr="0079515C">
        <w:rPr>
          <w:spacing w:val="-4"/>
          <w:lang w:val="en-US"/>
        </w:rPr>
        <w:t>). For the purposes of this Judgment, the Court will use the term that appears in the respective document; nevertheless, it should be understood that both terms, “evasion of customs duty” or “smuggling ordinary merchandise” refer to the same offense established in article 153 of the Chinese Criminal Code.</w:t>
      </w:r>
    </w:p>
  </w:footnote>
  <w:footnote w:id="51">
    <w:p w14:paraId="46BEEF0C" w14:textId="6ACC6129"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Extradition request from </w:t>
      </w:r>
      <w:r>
        <w:rPr>
          <w:spacing w:val="-4"/>
          <w:lang w:val="en-US"/>
        </w:rPr>
        <w:t>General Directorate</w:t>
      </w:r>
      <w:r w:rsidRPr="0079515C">
        <w:rPr>
          <w:spacing w:val="-4"/>
          <w:lang w:val="en-US"/>
        </w:rPr>
        <w:t xml:space="preserve"> No. 24 of the Ministry of Public Security of the People’s Republic of China of November 3, 2008 (evidence file, folio 29), and Decision of November 14, 2008, of the Second Criminal Court of El Callao (evidence file, folios 1737 and 1738). The request was sent accompanied by a note from the Embassy of the People’s Republic of China dated November 13, 2008</w:t>
      </w:r>
      <w:r w:rsidRPr="0079515C">
        <w:rPr>
          <w:i/>
          <w:spacing w:val="-4"/>
          <w:lang w:val="en-US"/>
        </w:rPr>
        <w:t xml:space="preserve"> </w:t>
      </w:r>
      <w:r w:rsidRPr="0079515C">
        <w:rPr>
          <w:spacing w:val="-4"/>
          <w:lang w:val="en-US"/>
        </w:rPr>
        <w:t>(evidence file, folio 35).</w:t>
      </w:r>
    </w:p>
  </w:footnote>
  <w:footnote w:id="52">
    <w:p w14:paraId="25E579BA" w14:textId="65560DB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Extradition request from </w:t>
      </w:r>
      <w:r>
        <w:rPr>
          <w:spacing w:val="-4"/>
          <w:lang w:val="en-US"/>
        </w:rPr>
        <w:t>General Directorate</w:t>
      </w:r>
      <w:r w:rsidRPr="0079515C">
        <w:rPr>
          <w:spacing w:val="-4"/>
          <w:lang w:val="en-US"/>
        </w:rPr>
        <w:t xml:space="preserve"> No. 24 of the Ministry of Public Security of the People’s Republic of China of November 3, 2008 (evidence file, folio 29), and table (general) with the amount of duty evaded by smuggling (evidence file, folio 8404).</w:t>
      </w:r>
    </w:p>
  </w:footnote>
  <w:footnote w:id="53">
    <w:p w14:paraId="6F7B8A4B" w14:textId="48FA08F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Pertinent parts of the Criminal Code of the People’s Republic of China provide</w:t>
      </w:r>
      <w:r>
        <w:rPr>
          <w:spacing w:val="-4"/>
          <w:lang w:val="en-US"/>
        </w:rPr>
        <w:t>d</w:t>
      </w:r>
      <w:r w:rsidRPr="0079515C">
        <w:rPr>
          <w:spacing w:val="-4"/>
          <w:lang w:val="en-US"/>
        </w:rPr>
        <w:t xml:space="preserve"> with the extradition request (evidence file, folio 8406).</w:t>
      </w:r>
    </w:p>
  </w:footnote>
  <w:footnote w:id="54">
    <w:p w14:paraId="71754226" w14:textId="02A4A12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Record of the hearing of December 10, 2008 (evidence file, folios 8477 and 8478).</w:t>
      </w:r>
      <w:proofErr w:type="gramEnd"/>
      <w:r w:rsidRPr="0079515C">
        <w:rPr>
          <w:b/>
          <w:color w:val="7030A0"/>
          <w:spacing w:val="-4"/>
          <w:lang w:val="en-US"/>
        </w:rPr>
        <w:t xml:space="preserve"> </w:t>
      </w:r>
    </w:p>
  </w:footnote>
  <w:footnote w:id="55">
    <w:p w14:paraId="3A77A304" w14:textId="7EEB094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Record of the Seventh Special Criminal Court of El Callao of January 6, 2009 (evidence file, folio 1942).</w:t>
      </w:r>
      <w:proofErr w:type="gramEnd"/>
    </w:p>
  </w:footnote>
  <w:footnote w:id="56">
    <w:p w14:paraId="1AB5A9FF" w14:textId="4C0D399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Record of extradition hearing of January 19, 2009 (evidence file, folio 1993).</w:t>
      </w:r>
      <w:proofErr w:type="gramEnd"/>
    </w:p>
  </w:footnote>
  <w:footnote w:id="57">
    <w:p w14:paraId="4647516F" w14:textId="71B006B4"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This report indicates that Wong Ho Wing “was responsible for importing soybean oil and re-selling it in China” and explains his alleged participation in the acts, together with other individuals. The document do</w:t>
      </w:r>
      <w:r>
        <w:rPr>
          <w:spacing w:val="-4"/>
          <w:sz w:val="16"/>
          <w:szCs w:val="16"/>
          <w:lang w:val="en-US"/>
        </w:rPr>
        <w:t>es not indicate the offense of which</w:t>
      </w:r>
      <w:r w:rsidRPr="0079515C">
        <w:rPr>
          <w:spacing w:val="-4"/>
          <w:sz w:val="16"/>
          <w:szCs w:val="16"/>
          <w:lang w:val="en-US"/>
        </w:rPr>
        <w:t xml:space="preserve"> Wong Ho Wing</w:t>
      </w:r>
      <w:r>
        <w:rPr>
          <w:spacing w:val="-4"/>
          <w:sz w:val="16"/>
          <w:szCs w:val="16"/>
          <w:lang w:val="en-US"/>
        </w:rPr>
        <w:t xml:space="preserve"> was accused</w:t>
      </w:r>
      <w:r w:rsidRPr="0079515C">
        <w:rPr>
          <w:spacing w:val="-4"/>
          <w:sz w:val="16"/>
          <w:szCs w:val="16"/>
          <w:lang w:val="en-US"/>
        </w:rPr>
        <w:t xml:space="preserve">. However, it does indicate the articles of the Criminal Code applicable to the other individuals who </w:t>
      </w:r>
      <w:r>
        <w:rPr>
          <w:spacing w:val="-4"/>
          <w:sz w:val="16"/>
          <w:szCs w:val="16"/>
          <w:lang w:val="en-US"/>
        </w:rPr>
        <w:t xml:space="preserve">took </w:t>
      </w:r>
      <w:r w:rsidRPr="0079515C">
        <w:rPr>
          <w:spacing w:val="-4"/>
          <w:sz w:val="16"/>
          <w:szCs w:val="16"/>
          <w:lang w:val="en-US"/>
        </w:rPr>
        <w:t xml:space="preserve">part in the events. </w:t>
      </w:r>
      <w:r w:rsidRPr="0079515C">
        <w:rPr>
          <w:i/>
          <w:iCs/>
          <w:spacing w:val="-4"/>
          <w:sz w:val="16"/>
          <w:szCs w:val="16"/>
          <w:lang w:val="en-US"/>
        </w:rPr>
        <w:t xml:space="preserve">Cf. </w:t>
      </w:r>
      <w:r w:rsidRPr="0079515C">
        <w:rPr>
          <w:spacing w:val="-4"/>
          <w:sz w:val="16"/>
          <w:szCs w:val="16"/>
          <w:lang w:val="en-US"/>
        </w:rPr>
        <w:t xml:space="preserve">Communication of the representative of the People’s Republic of China of January 19, 2009 (evidence file, folios 7801 to 7813). </w:t>
      </w:r>
    </w:p>
  </w:footnote>
  <w:footnote w:id="58">
    <w:p w14:paraId="390BF933" w14:textId="7D0AE18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Communication of January 19, 2009 (evidence file, folios 7777 to 7790).</w:t>
      </w:r>
      <w:proofErr w:type="gramEnd"/>
    </w:p>
  </w:footnote>
  <w:footnote w:id="59">
    <w:p w14:paraId="1B63E642" w14:textId="50BB4B2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Advisory decision of January 20, 2009 (evidence file, folios 46 to 50).</w:t>
      </w:r>
      <w:proofErr w:type="gramEnd"/>
    </w:p>
  </w:footnote>
  <w:footnote w:id="60">
    <w:p w14:paraId="62852573" w14:textId="05E13D8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Application for </w:t>
      </w:r>
      <w:r w:rsidRPr="0079515C">
        <w:rPr>
          <w:i/>
          <w:spacing w:val="-4"/>
          <w:lang w:val="en-US"/>
        </w:rPr>
        <w:t>habeas corpus</w:t>
      </w:r>
      <w:r w:rsidRPr="0079515C">
        <w:rPr>
          <w:spacing w:val="-4"/>
          <w:lang w:val="en-US"/>
        </w:rPr>
        <w:t xml:space="preserve"> of January 26, 2009 (evidence file, folios 52, 55, 56 and 59).</w:t>
      </w:r>
    </w:p>
  </w:footnote>
  <w:footnote w:id="61">
    <w:p w14:paraId="0C204B04" w14:textId="72AD316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Pr>
          <w:spacing w:val="-4"/>
          <w:lang w:val="en-US"/>
        </w:rPr>
        <w:t xml:space="preserve"> </w:t>
      </w:r>
      <w:r>
        <w:rPr>
          <w:spacing w:val="-4"/>
          <w:lang w:val="en-US"/>
        </w:rPr>
        <w:tab/>
      </w:r>
      <w:proofErr w:type="gramStart"/>
      <w:r>
        <w:rPr>
          <w:spacing w:val="-4"/>
          <w:lang w:val="en-US"/>
        </w:rPr>
        <w:t xml:space="preserve">Brief of </w:t>
      </w:r>
      <w:r>
        <w:rPr>
          <w:rFonts w:cs="Segoe UI"/>
          <w:color w:val="000000"/>
          <w:spacing w:val="-4"/>
          <w:lang w:val="en-US" w:eastAsia="es-MX"/>
        </w:rPr>
        <w:t>General Directorate</w:t>
      </w:r>
      <w:r w:rsidRPr="0079515C">
        <w:rPr>
          <w:rFonts w:cs="Segoe UI"/>
          <w:color w:val="000000"/>
          <w:spacing w:val="-4"/>
          <w:lang w:val="en-US" w:eastAsia="es-MX"/>
        </w:rPr>
        <w:t xml:space="preserve"> No. 24 of the Ministry of Public Security of February 2, 2009 </w:t>
      </w:r>
      <w:r w:rsidRPr="0079515C">
        <w:rPr>
          <w:spacing w:val="-4"/>
          <w:lang w:val="en-US"/>
        </w:rPr>
        <w:t>(evidence file, folios 67 and 68).</w:t>
      </w:r>
      <w:proofErr w:type="gramEnd"/>
    </w:p>
  </w:footnote>
  <w:footnote w:id="62">
    <w:p w14:paraId="329198F4" w14:textId="126ED1A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Report of the Official Commission for Extraditions and </w:t>
      </w:r>
      <w:r>
        <w:rPr>
          <w:spacing w:val="-4"/>
          <w:lang w:val="en-US"/>
        </w:rPr>
        <w:t>Prisoner</w:t>
      </w:r>
      <w:r w:rsidRPr="0079515C">
        <w:rPr>
          <w:spacing w:val="-4"/>
          <w:lang w:val="en-US"/>
        </w:rPr>
        <w:t xml:space="preserve"> Transfers dated February 10, </w:t>
      </w:r>
      <w:r w:rsidRPr="0079515C">
        <w:rPr>
          <w:rFonts w:cs="Segoe UI"/>
          <w:color w:val="000000"/>
          <w:spacing w:val="-4"/>
          <w:lang w:val="en-US" w:eastAsia="es-MX"/>
        </w:rPr>
        <w:t xml:space="preserve">2009 </w:t>
      </w:r>
      <w:r w:rsidRPr="0079515C">
        <w:rPr>
          <w:spacing w:val="-4"/>
          <w:lang w:val="en-US"/>
        </w:rPr>
        <w:t>(evidence file, folios 73 and 74).</w:t>
      </w:r>
    </w:p>
  </w:footnote>
  <w:footnote w:id="63">
    <w:p w14:paraId="16A596DE" w14:textId="7B9FDBAF"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February 12, 2009 </w:t>
      </w:r>
      <w:r w:rsidRPr="0079515C">
        <w:rPr>
          <w:spacing w:val="-4"/>
          <w:lang w:val="en-US"/>
        </w:rPr>
        <w:t>(evidence file, folio 77).</w:t>
      </w:r>
      <w:proofErr w:type="gramEnd"/>
    </w:p>
  </w:footnote>
  <w:footnote w:id="64">
    <w:p w14:paraId="69998E66" w14:textId="1E3FA585" w:rsidR="002306C1" w:rsidRPr="0079515C" w:rsidRDefault="002306C1" w:rsidP="00853044">
      <w:pPr>
        <w:pStyle w:val="FootnoteText"/>
        <w:tabs>
          <w:tab w:val="clear" w:pos="567"/>
          <w:tab w:val="left" w:pos="426"/>
        </w:tabs>
        <w:spacing w:before="120" w:after="120"/>
        <w:rPr>
          <w:b/>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This appeal was granted on March 9, 2009, and “the respective file” was prepared. </w:t>
      </w:r>
      <w:proofErr w:type="gramStart"/>
      <w:r w:rsidRPr="0079515C">
        <w:rPr>
          <w:i/>
          <w:spacing w:val="-4"/>
          <w:lang w:val="en-US"/>
        </w:rPr>
        <w:t xml:space="preserve">Cf. </w:t>
      </w:r>
      <w:r w:rsidRPr="0079515C">
        <w:rPr>
          <w:spacing w:val="-4"/>
          <w:lang w:val="en-US"/>
        </w:rPr>
        <w:t xml:space="preserve">Appeal by </w:t>
      </w:r>
      <w:r w:rsidRPr="0079515C">
        <w:rPr>
          <w:rFonts w:cs="Segoe UI"/>
          <w:color w:val="000000"/>
          <w:spacing w:val="-4"/>
          <w:lang w:val="en-US" w:eastAsia="es-MX"/>
        </w:rPr>
        <w:t>the Public Attorney of the Judiciary of March 3, 2009 (evidence file, folios 4415 to 4420), and decision of March 9, 2009</w:t>
      </w:r>
      <w:r w:rsidRPr="0079515C">
        <w:rPr>
          <w:spacing w:val="-4"/>
          <w:lang w:val="en-US"/>
        </w:rPr>
        <w:t xml:space="preserve"> (evidence file, folio 2043).</w:t>
      </w:r>
      <w:proofErr w:type="gramEnd"/>
      <w:r w:rsidRPr="0079515C">
        <w:rPr>
          <w:spacing w:val="-4"/>
          <w:lang w:val="en-US"/>
        </w:rPr>
        <w:t xml:space="preserve"> </w:t>
      </w:r>
    </w:p>
  </w:footnote>
  <w:footnote w:id="65">
    <w:p w14:paraId="42F8D165" w14:textId="03ABDDCD" w:rsidR="002306C1" w:rsidRPr="0079515C" w:rsidRDefault="002306C1" w:rsidP="00853044">
      <w:pPr>
        <w:pStyle w:val="FootnoteText"/>
        <w:tabs>
          <w:tab w:val="clear" w:pos="567"/>
          <w:tab w:val="left" w:pos="426"/>
        </w:tabs>
        <w:spacing w:before="120" w:after="120"/>
        <w:rPr>
          <w:b/>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Decision of the Second Special Criminal Chamber (evidence file, folio 8481).</w:t>
      </w:r>
      <w:r w:rsidRPr="0079515C">
        <w:rPr>
          <w:spacing w:val="-4"/>
          <w:lang w:val="en-US"/>
        </w:rPr>
        <w:t xml:space="preserve"> </w:t>
      </w:r>
    </w:p>
  </w:footnote>
  <w:footnote w:id="66">
    <w:p w14:paraId="5E85F092" w14:textId="2A3AE11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Note of the</w:t>
      </w:r>
      <w:r w:rsidRPr="0079515C">
        <w:rPr>
          <w:i/>
          <w:spacing w:val="-4"/>
          <w:lang w:val="en-US"/>
        </w:rPr>
        <w:t xml:space="preserve"> </w:t>
      </w:r>
      <w:r w:rsidRPr="0079515C">
        <w:rPr>
          <w:spacing w:val="-4"/>
          <w:lang w:val="en-US"/>
        </w:rPr>
        <w:t>Embassy of the People’s Republic of China of February 24, 2009 (evidence file, folios 1627 to 1630).</w:t>
      </w:r>
      <w:proofErr w:type="gramEnd"/>
      <w:r w:rsidRPr="0079515C">
        <w:rPr>
          <w:spacing w:val="-4"/>
          <w:lang w:val="en-US"/>
        </w:rPr>
        <w:t xml:space="preserve"> </w:t>
      </w:r>
    </w:p>
  </w:footnote>
  <w:footnote w:id="67">
    <w:p w14:paraId="536B0BEC" w14:textId="5294B18F" w:rsidR="002306C1" w:rsidRPr="0079515C" w:rsidRDefault="002306C1" w:rsidP="00853044">
      <w:pPr>
        <w:pStyle w:val="FootnoteText"/>
        <w:tabs>
          <w:tab w:val="clear" w:pos="567"/>
          <w:tab w:val="left" w:pos="426"/>
        </w:tabs>
        <w:spacing w:before="120" w:after="120"/>
        <w:rPr>
          <w:b/>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Decision of April 24, 2009</w:t>
      </w:r>
      <w:r w:rsidRPr="0079515C">
        <w:rPr>
          <w:spacing w:val="-4"/>
          <w:lang w:val="en-US"/>
        </w:rPr>
        <w:t xml:space="preserve"> (evidence file, folios 89 and 90).</w:t>
      </w:r>
      <w:proofErr w:type="gramEnd"/>
      <w:r w:rsidRPr="0079515C">
        <w:rPr>
          <w:spacing w:val="-4"/>
          <w:lang w:val="en-US"/>
        </w:rPr>
        <w:t xml:space="preserve"> </w:t>
      </w:r>
    </w:p>
  </w:footnote>
  <w:footnote w:id="68">
    <w:p w14:paraId="4CB53261" w14:textId="0111B879"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rFonts w:eastAsia="Times New Roman" w:cs="Segoe UI"/>
          <w:color w:val="000000"/>
          <w:spacing w:val="-4"/>
          <w:sz w:val="16"/>
          <w:szCs w:val="16"/>
          <w:lang w:val="en-US" w:eastAsia="es-MX"/>
        </w:rPr>
        <w:t>Decision of April 24, 2009</w:t>
      </w:r>
      <w:r w:rsidRPr="0079515C">
        <w:rPr>
          <w:spacing w:val="-4"/>
          <w:sz w:val="16"/>
          <w:szCs w:val="16"/>
          <w:lang w:val="en-US"/>
        </w:rPr>
        <w:t xml:space="preserve"> (evidence file, folio 89).</w:t>
      </w:r>
      <w:proofErr w:type="gramEnd"/>
      <w:r w:rsidRPr="0079515C">
        <w:rPr>
          <w:spacing w:val="-4"/>
          <w:sz w:val="16"/>
          <w:szCs w:val="16"/>
          <w:lang w:val="en-US"/>
        </w:rPr>
        <w:t xml:space="preserve"> Following this decision, on October 14, 2009, the members of the Second Transitory Criminal Chamber of the Supreme Court of Justice were accused before the N</w:t>
      </w:r>
      <w:r>
        <w:rPr>
          <w:spacing w:val="-4"/>
          <w:sz w:val="16"/>
          <w:szCs w:val="16"/>
          <w:lang w:val="en-US"/>
        </w:rPr>
        <w:t>ational Council of the Judicature</w:t>
      </w:r>
      <w:r w:rsidRPr="0079515C">
        <w:rPr>
          <w:spacing w:val="-4"/>
          <w:sz w:val="16"/>
          <w:szCs w:val="16"/>
          <w:lang w:val="en-US"/>
        </w:rPr>
        <w:t xml:space="preserve"> “for presumed functional misconduct in the issue of the decision of January 20, 2009.” Following the respective investigation, on September 19, 2012, the N</w:t>
      </w:r>
      <w:r>
        <w:rPr>
          <w:spacing w:val="-4"/>
          <w:sz w:val="16"/>
          <w:szCs w:val="16"/>
          <w:lang w:val="en-US"/>
        </w:rPr>
        <w:t>ational Council of the Judicature</w:t>
      </w:r>
      <w:r w:rsidRPr="0079515C">
        <w:rPr>
          <w:spacing w:val="-4"/>
          <w:sz w:val="16"/>
          <w:szCs w:val="16"/>
          <w:lang w:val="en-US"/>
        </w:rPr>
        <w:t xml:space="preserve"> decided “[t]o conclude the disciplinary procedure […], filing the proceedings and to acquit them </w:t>
      </w:r>
      <w:r>
        <w:rPr>
          <w:spacing w:val="-4"/>
          <w:sz w:val="16"/>
          <w:szCs w:val="16"/>
          <w:lang w:val="en-US"/>
        </w:rPr>
        <w:t>of</w:t>
      </w:r>
      <w:r w:rsidRPr="0079515C">
        <w:rPr>
          <w:spacing w:val="-4"/>
          <w:sz w:val="16"/>
          <w:szCs w:val="16"/>
          <w:lang w:val="en-US"/>
        </w:rPr>
        <w:t xml:space="preserve"> the accusations; ordering </w:t>
      </w:r>
      <w:r>
        <w:rPr>
          <w:spacing w:val="-4"/>
          <w:sz w:val="16"/>
          <w:szCs w:val="16"/>
          <w:lang w:val="en-US"/>
        </w:rPr>
        <w:t>that</w:t>
      </w:r>
      <w:r w:rsidRPr="0079515C">
        <w:rPr>
          <w:spacing w:val="-4"/>
          <w:sz w:val="16"/>
          <w:szCs w:val="16"/>
          <w:lang w:val="en-US"/>
        </w:rPr>
        <w:t xml:space="preserve"> the disciplinary proceedings</w:t>
      </w:r>
      <w:r>
        <w:rPr>
          <w:spacing w:val="-4"/>
          <w:sz w:val="16"/>
          <w:szCs w:val="16"/>
          <w:lang w:val="en-US"/>
        </w:rPr>
        <w:t xml:space="preserve"> be filed</w:t>
      </w:r>
      <w:r w:rsidRPr="0079515C">
        <w:rPr>
          <w:spacing w:val="-4"/>
          <w:sz w:val="16"/>
          <w:szCs w:val="16"/>
          <w:lang w:val="en-US"/>
        </w:rPr>
        <w:t xml:space="preserve"> and the corresponding record</w:t>
      </w:r>
      <w:r>
        <w:rPr>
          <w:spacing w:val="-4"/>
          <w:sz w:val="16"/>
          <w:szCs w:val="16"/>
          <w:lang w:val="en-US"/>
        </w:rPr>
        <w:t xml:space="preserve"> annulled</w:t>
      </w:r>
      <w:r w:rsidRPr="0079515C">
        <w:rPr>
          <w:spacing w:val="-4"/>
          <w:sz w:val="16"/>
          <w:szCs w:val="16"/>
          <w:lang w:val="en-US"/>
        </w:rPr>
        <w:t>,” considering that the judges had not failed to analyze the case and motivate their findings appropriately. On November 14, 2012, the National Co</w:t>
      </w:r>
      <w:r>
        <w:rPr>
          <w:spacing w:val="-4"/>
          <w:sz w:val="16"/>
          <w:szCs w:val="16"/>
          <w:lang w:val="en-US"/>
        </w:rPr>
        <w:t>uncil of the Judicature</w:t>
      </w:r>
      <w:r w:rsidRPr="0079515C">
        <w:rPr>
          <w:spacing w:val="-4"/>
          <w:sz w:val="16"/>
          <w:szCs w:val="16"/>
          <w:lang w:val="en-US"/>
        </w:rPr>
        <w:t xml:space="preserve"> declared that an appeal for review that had been filed was unsubstantiated, “and considered that the administrative jurisdiction had been exhausted.” Decisions of the National Council of the Judic</w:t>
      </w:r>
      <w:r>
        <w:rPr>
          <w:spacing w:val="-4"/>
          <w:sz w:val="16"/>
          <w:szCs w:val="16"/>
          <w:lang w:val="en-US"/>
        </w:rPr>
        <w:t>ature</w:t>
      </w:r>
      <w:r w:rsidRPr="0079515C">
        <w:rPr>
          <w:spacing w:val="-4"/>
          <w:sz w:val="16"/>
          <w:szCs w:val="16"/>
          <w:lang w:val="en-US"/>
        </w:rPr>
        <w:t xml:space="preserve"> of December 11, 2009, August 12, 2010, February 14, 2011, September 19, 2012, and November 14, 2012 (evidence file, folios 7343, 7345, 7348, 7355, 7356, 7364, 7365 and 7373). </w:t>
      </w:r>
    </w:p>
  </w:footnote>
  <w:footnote w:id="69">
    <w:p w14:paraId="5E5A7E51" w14:textId="29C5D74D"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Decision of April 24, 2009</w:t>
      </w:r>
      <w:r w:rsidRPr="0079515C">
        <w:rPr>
          <w:spacing w:val="-4"/>
          <w:lang w:val="en-US"/>
        </w:rPr>
        <w:t xml:space="preserve"> (evidence file, folio 90).</w:t>
      </w:r>
    </w:p>
  </w:footnote>
  <w:footnote w:id="70">
    <w:p w14:paraId="50ACC36A" w14:textId="1FF404B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Appeal of April 8, 2009 (evidence file, folios 92 and 93), and decision of the Second Special Criminal Chamber</w:t>
      </w:r>
      <w:r>
        <w:rPr>
          <w:spacing w:val="-4"/>
          <w:lang w:val="en-US"/>
        </w:rPr>
        <w:t xml:space="preserve"> of Lima</w:t>
      </w:r>
      <w:r w:rsidRPr="0079515C">
        <w:rPr>
          <w:spacing w:val="-4"/>
          <w:lang w:val="en-US"/>
        </w:rPr>
        <w:t xml:space="preserve"> for proceedings where the accused </w:t>
      </w:r>
      <w:r>
        <w:rPr>
          <w:spacing w:val="-4"/>
          <w:lang w:val="en-US"/>
        </w:rPr>
        <w:t xml:space="preserve">is </w:t>
      </w:r>
      <w:r w:rsidRPr="0079515C">
        <w:rPr>
          <w:spacing w:val="-4"/>
          <w:lang w:val="en-US"/>
        </w:rPr>
        <w:t>in prison of June 15, 2009 (evidence file, folio 6231).</w:t>
      </w:r>
      <w:proofErr w:type="gramEnd"/>
    </w:p>
  </w:footnote>
  <w:footnote w:id="71">
    <w:p w14:paraId="0ED1991F" w14:textId="3F8F9C7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Note of August 25, 2009 (evidence file, folios 8272 and 8273).</w:t>
      </w:r>
      <w:proofErr w:type="gramEnd"/>
    </w:p>
  </w:footnote>
  <w:footnote w:id="72">
    <w:p w14:paraId="19EBE50C" w14:textId="0D39179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i/>
          <w:spacing w:val="-4"/>
          <w:lang w:val="en-US"/>
        </w:rPr>
        <w:tab/>
        <w:t xml:space="preserve">Cf. </w:t>
      </w:r>
      <w:r w:rsidRPr="0079515C">
        <w:rPr>
          <w:spacing w:val="-4"/>
          <w:lang w:val="en-US"/>
        </w:rPr>
        <w:t>Opinion of the Assistant Supreme Prosecutor of October 2, 20</w:t>
      </w:r>
      <w:r>
        <w:rPr>
          <w:spacing w:val="-4"/>
          <w:lang w:val="en-US"/>
        </w:rPr>
        <w:t>09 (evidence file, folios 7965 to</w:t>
      </w:r>
      <w:r w:rsidRPr="0079515C">
        <w:rPr>
          <w:spacing w:val="-4"/>
          <w:lang w:val="en-US"/>
        </w:rPr>
        <w:t xml:space="preserve"> 7967).</w:t>
      </w:r>
    </w:p>
  </w:footnote>
  <w:footnote w:id="73">
    <w:p w14:paraId="09BECC56" w14:textId="0EDA3A3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October 5, 2009, of the Permanent Criminal Chamber of the Supreme Court of Justice (evidence file, folios 101 and 102).</w:t>
      </w:r>
    </w:p>
  </w:footnote>
  <w:footnote w:id="74">
    <w:p w14:paraId="77B1C3F3" w14:textId="3DF61F9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Application for </w:t>
      </w:r>
      <w:r w:rsidRPr="0079515C">
        <w:rPr>
          <w:i/>
          <w:spacing w:val="-4"/>
          <w:lang w:val="en-US"/>
        </w:rPr>
        <w:t>habeas corpus</w:t>
      </w:r>
      <w:r w:rsidRPr="0079515C">
        <w:rPr>
          <w:spacing w:val="-4"/>
          <w:lang w:val="en-US"/>
        </w:rPr>
        <w:t xml:space="preserve"> of October 12, 2009 (evidence file, folio 105).</w:t>
      </w:r>
      <w:proofErr w:type="gramEnd"/>
    </w:p>
  </w:footnote>
  <w:footnote w:id="75">
    <w:p w14:paraId="79B730C4" w14:textId="1723205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Judgment of the 53rd Criminal Court of the Province of Lima of January 5, 2010 (evidence file, folio 161).</w:t>
      </w:r>
    </w:p>
  </w:footnote>
  <w:footnote w:id="76">
    <w:p w14:paraId="03D6DA33" w14:textId="2143730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Appeal of February 4, 2010 (evidence file, folios 183 and 184).</w:t>
      </w:r>
      <w:proofErr w:type="gramEnd"/>
      <w:r w:rsidRPr="0079515C">
        <w:rPr>
          <w:spacing w:val="-4"/>
          <w:lang w:val="en-US"/>
        </w:rPr>
        <w:t xml:space="preserve"> </w:t>
      </w:r>
    </w:p>
  </w:footnote>
  <w:footnote w:id="77">
    <w:p w14:paraId="647D87E7" w14:textId="688F61D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rFonts w:cs="Segoe UI"/>
          <w:color w:val="000000"/>
          <w:spacing w:val="-4"/>
          <w:lang w:val="en-US" w:eastAsia="es-MX"/>
        </w:rPr>
        <w:t xml:space="preserve"> Judgment of the Superior Court of Justice of Lima of June 30, 2010 (evidence file, folios 1521 to 1526).</w:t>
      </w:r>
    </w:p>
  </w:footnote>
  <w:footnote w:id="78">
    <w:p w14:paraId="3ED39DA8" w14:textId="60EBB31A" w:rsidR="002306C1" w:rsidRPr="0079515C" w:rsidRDefault="002306C1" w:rsidP="00853044">
      <w:pPr>
        <w:pStyle w:val="FootnoteText"/>
        <w:tabs>
          <w:tab w:val="clear" w:pos="567"/>
          <w:tab w:val="left" w:pos="426"/>
        </w:tabs>
        <w:spacing w:before="120" w:after="120"/>
        <w:rPr>
          <w:b/>
          <w:color w:val="7030A0"/>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rFonts w:cs="Segoe UI"/>
          <w:color w:val="000000"/>
          <w:spacing w:val="-4"/>
          <w:lang w:val="en-US" w:eastAsia="es-MX"/>
        </w:rPr>
        <w:t xml:space="preserve"> Judgment of the Constitutional Court of August 5, 2011,</w:t>
      </w:r>
      <w:r>
        <w:rPr>
          <w:spacing w:val="-4"/>
          <w:lang w:val="en-US"/>
        </w:rPr>
        <w:t xml:space="preserve"> and separate opinion of J</w:t>
      </w:r>
      <w:r w:rsidRPr="0079515C">
        <w:rPr>
          <w:spacing w:val="-4"/>
          <w:lang w:val="en-US"/>
        </w:rPr>
        <w:t xml:space="preserve">udges </w:t>
      </w:r>
      <w:proofErr w:type="spellStart"/>
      <w:r w:rsidRPr="0079515C">
        <w:rPr>
          <w:spacing w:val="-4"/>
          <w:lang w:val="en-US"/>
        </w:rPr>
        <w:t>Álvarez</w:t>
      </w:r>
      <w:proofErr w:type="spellEnd"/>
      <w:r w:rsidRPr="0079515C">
        <w:rPr>
          <w:spacing w:val="-4"/>
          <w:lang w:val="en-US"/>
        </w:rPr>
        <w:t xml:space="preserve"> Miranda and Vergara </w:t>
      </w:r>
      <w:proofErr w:type="spellStart"/>
      <w:r w:rsidRPr="0079515C">
        <w:rPr>
          <w:spacing w:val="-4"/>
          <w:lang w:val="en-US"/>
        </w:rPr>
        <w:t>Gotelli</w:t>
      </w:r>
      <w:proofErr w:type="spellEnd"/>
      <w:r w:rsidRPr="0079515C">
        <w:rPr>
          <w:spacing w:val="-4"/>
          <w:lang w:val="en-US"/>
        </w:rPr>
        <w:t xml:space="preserve"> giving reasons for their vote (evidence file, folios 6416 and 6417). </w:t>
      </w:r>
    </w:p>
  </w:footnote>
  <w:footnote w:id="79">
    <w:p w14:paraId="57540FB8" w14:textId="3ECD9FA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Record of the hearing of December 9, 2009, before the Permanent Criminal Chamber of the Supreme Court of Justice (evidence file, folio 8278).</w:t>
      </w:r>
      <w:proofErr w:type="gramEnd"/>
    </w:p>
  </w:footnote>
  <w:footnote w:id="80">
    <w:p w14:paraId="7DD56205" w14:textId="6B59C63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of the Embassy of the People’s Republic of China in the Republic of Peru of December 11, 2009 (evidence file, folio 140).</w:t>
      </w:r>
    </w:p>
  </w:footnote>
  <w:footnote w:id="81">
    <w:p w14:paraId="4C60D22F" w14:textId="1BF122B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the</w:t>
      </w:r>
      <w:r w:rsidRPr="0079515C">
        <w:rPr>
          <w:i/>
          <w:spacing w:val="-4"/>
          <w:lang w:val="en-US"/>
        </w:rPr>
        <w:t xml:space="preserve"> </w:t>
      </w:r>
      <w:r w:rsidRPr="0079515C">
        <w:rPr>
          <w:spacing w:val="-4"/>
          <w:lang w:val="en-US"/>
        </w:rPr>
        <w:t>Permanent Criminal Chamber of December 15, 2009 (evidence file, folio 142).</w:t>
      </w:r>
    </w:p>
  </w:footnote>
  <w:footnote w:id="82">
    <w:p w14:paraId="396C228D" w14:textId="629F19F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Record of the hearing of December 21, 2009, before the Permanent Criminal Chamber of the Supreme Court of Justice (evidence file, folio 8303).</w:t>
      </w:r>
      <w:proofErr w:type="gramEnd"/>
    </w:p>
  </w:footnote>
  <w:footnote w:id="83">
    <w:p w14:paraId="04764E06" w14:textId="5AC1D60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the</w:t>
      </w:r>
      <w:r w:rsidRPr="0079515C">
        <w:rPr>
          <w:i/>
          <w:spacing w:val="-4"/>
          <w:lang w:val="en-US"/>
        </w:rPr>
        <w:t xml:space="preserve"> </w:t>
      </w:r>
      <w:r w:rsidRPr="0079515C">
        <w:rPr>
          <w:spacing w:val="-4"/>
          <w:lang w:val="en-US"/>
        </w:rPr>
        <w:t>Permanent Criminal Chamber of December 21, 2009 (evidence file, folios 144 and 145).</w:t>
      </w:r>
    </w:p>
  </w:footnote>
  <w:footnote w:id="84">
    <w:p w14:paraId="499BE4A4" w14:textId="68C58FC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This was added to the case file the following day. </w:t>
      </w:r>
      <w:r w:rsidRPr="0079515C">
        <w:rPr>
          <w:i/>
          <w:spacing w:val="-4"/>
          <w:lang w:val="en-US"/>
        </w:rPr>
        <w:t xml:space="preserve">Cf. </w:t>
      </w:r>
      <w:r w:rsidRPr="0079515C">
        <w:rPr>
          <w:spacing w:val="-4"/>
          <w:lang w:val="en-US"/>
        </w:rPr>
        <w:t>note from the Ambassador Extraordinary and Plenipotentiary of t</w:t>
      </w:r>
      <w:r>
        <w:rPr>
          <w:spacing w:val="-4"/>
          <w:lang w:val="en-US"/>
        </w:rPr>
        <w:t>he People’s Republic of China to</w:t>
      </w:r>
      <w:r w:rsidRPr="0079515C">
        <w:rPr>
          <w:spacing w:val="-4"/>
          <w:lang w:val="en-US"/>
        </w:rPr>
        <w:t xml:space="preserve"> the Republic of Peru of December 29, 2009 (evidence file, folio 149), and advisory decision of the Permanent Criminal Chamber of January 27, 2010 (evidence file, folio 165).</w:t>
      </w:r>
    </w:p>
  </w:footnote>
  <w:footnote w:id="85">
    <w:p w14:paraId="7C9F44B6" w14:textId="477BF96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Advisory decision of the Permanent Criminal Chamber of January 27, 2010 (evidence file, folios 169 and 173). </w:t>
      </w:r>
    </w:p>
  </w:footnote>
  <w:footnote w:id="86">
    <w:p w14:paraId="051BF1DB" w14:textId="7C9F58A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Advisory decision of the Permanent Criminal Chamber of January 27, 2010 (evidence file, folios 171 and 172).</w:t>
      </w:r>
      <w:proofErr w:type="gramEnd"/>
      <w:r w:rsidRPr="0079515C">
        <w:rPr>
          <w:spacing w:val="-4"/>
          <w:lang w:val="en-US"/>
        </w:rPr>
        <w:t xml:space="preserve"> </w:t>
      </w:r>
    </w:p>
  </w:footnote>
  <w:footnote w:id="87">
    <w:p w14:paraId="1C1A1C3A" w14:textId="68C4C3C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Advisory decision of the Permanent Criminal Chamber of January 27, 2010 (evidence file, folio 173). </w:t>
      </w:r>
    </w:p>
  </w:footnote>
  <w:footnote w:id="88">
    <w:p w14:paraId="30B9A35B" w14:textId="0016949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Advisory decision of the Permanent Criminal Chamber of January 27, 2010 (evidence file, folios 173 and 174).</w:t>
      </w:r>
      <w:proofErr w:type="gramEnd"/>
      <w:r w:rsidRPr="0079515C">
        <w:rPr>
          <w:spacing w:val="-4"/>
          <w:lang w:val="en-US"/>
        </w:rPr>
        <w:t xml:space="preserve"> </w:t>
      </w:r>
    </w:p>
  </w:footnote>
  <w:footnote w:id="89">
    <w:p w14:paraId="5CBC9C12" w14:textId="5E5C13D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representative argued that, “from the start, the extradition process […], has been plagued with a series of grave </w:t>
      </w:r>
      <w:r>
        <w:rPr>
          <w:spacing w:val="-4"/>
          <w:lang w:val="en-US"/>
        </w:rPr>
        <w:t>errors</w:t>
      </w:r>
      <w:r w:rsidRPr="0079515C">
        <w:rPr>
          <w:spacing w:val="-4"/>
          <w:lang w:val="en-US"/>
        </w:rPr>
        <w:t xml:space="preserve"> and omissions”; among these, he underlined that: (1) “[t]he extradition request was not accompanied by any evidence in relation to the </w:t>
      </w:r>
      <w:r>
        <w:rPr>
          <w:spacing w:val="-4"/>
          <w:lang w:val="en-US"/>
        </w:rPr>
        <w:t>charges</w:t>
      </w:r>
      <w:r w:rsidRPr="0079515C">
        <w:rPr>
          <w:spacing w:val="-4"/>
          <w:lang w:val="en-US"/>
        </w:rPr>
        <w:t xml:space="preserve"> it contained”; (2) “[t]he extradition request was not accompanied either by the provision of the Chinese Criminal Code relating to </w:t>
      </w:r>
      <w:r>
        <w:rPr>
          <w:spacing w:val="-4"/>
          <w:lang w:val="en-US"/>
        </w:rPr>
        <w:t>the offense that was the reason</w:t>
      </w:r>
      <w:r w:rsidRPr="0079515C">
        <w:rPr>
          <w:spacing w:val="-4"/>
          <w:lang w:val="en-US"/>
        </w:rPr>
        <w:t xml:space="preserve"> for requesting the extradition, which is punished by the death penalty”; (3) the advisory decision and the “opinion of the Special Supranational Public Attorney “ignore the binding nature of the decision issued by the [Inter-American Commission] that the Government of Peru refrain from extraditing the said Chinese citizen,” and (4) the undertaking not to apply the death penalty was delivered “[44] days after the Ambassador was notified, [when] the </w:t>
      </w:r>
      <w:r>
        <w:rPr>
          <w:spacing w:val="-4"/>
          <w:lang w:val="en-US"/>
        </w:rPr>
        <w:t xml:space="preserve">time limit </w:t>
      </w:r>
      <w:r w:rsidRPr="0079515C">
        <w:rPr>
          <w:spacing w:val="-4"/>
          <w:lang w:val="en-US"/>
        </w:rPr>
        <w:t xml:space="preserve">was [30] days according to article 2 of Supreme Decree No. 016-2006-JUS.” </w:t>
      </w:r>
      <w:proofErr w:type="gramStart"/>
      <w:r w:rsidRPr="0079515C">
        <w:rPr>
          <w:spacing w:val="-4"/>
          <w:lang w:val="en-US"/>
        </w:rPr>
        <w:t xml:space="preserve">Application for </w:t>
      </w:r>
      <w:r w:rsidRPr="0079515C">
        <w:rPr>
          <w:i/>
          <w:spacing w:val="-4"/>
          <w:lang w:val="en-US"/>
        </w:rPr>
        <w:t>habeas corpus</w:t>
      </w:r>
      <w:r w:rsidRPr="0079515C">
        <w:rPr>
          <w:spacing w:val="-4"/>
          <w:lang w:val="en-US"/>
        </w:rPr>
        <w:t xml:space="preserve"> of February 9, 2010 (evidence file, folios 188 and 191).</w:t>
      </w:r>
      <w:proofErr w:type="gramEnd"/>
      <w:r w:rsidRPr="0079515C">
        <w:rPr>
          <w:spacing w:val="-4"/>
          <w:lang w:val="en-US"/>
        </w:rPr>
        <w:t xml:space="preserve"> </w:t>
      </w:r>
    </w:p>
  </w:footnote>
  <w:footnote w:id="90">
    <w:p w14:paraId="4ABC395A" w14:textId="47B44FB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Judgment of February 25, 2010 (evidence file, folio 214). </w:t>
      </w:r>
    </w:p>
  </w:footnote>
  <w:footnote w:id="91">
    <w:p w14:paraId="31F1113B" w14:textId="20D9B07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Judgment of the Third Criminal Chamber of the Superior Court of Justice of Lima of April 14, 2010 (evidence file, folios 216 to 224). </w:t>
      </w:r>
    </w:p>
  </w:footnote>
  <w:footnote w:id="92">
    <w:p w14:paraId="082ECE9E" w14:textId="498E8CC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rFonts w:cs="Segoe UI"/>
          <w:color w:val="000000"/>
          <w:spacing w:val="-4"/>
          <w:lang w:val="en-US" w:eastAsia="es-MX"/>
        </w:rPr>
        <w:t xml:space="preserve"> </w:t>
      </w:r>
      <w:r>
        <w:rPr>
          <w:rFonts w:cs="Segoe UI"/>
          <w:color w:val="000000"/>
          <w:spacing w:val="-4"/>
          <w:lang w:val="en-US" w:eastAsia="es-MX"/>
        </w:rPr>
        <w:t>Appeal based on constitutional injury</w:t>
      </w:r>
      <w:r w:rsidRPr="0079515C">
        <w:rPr>
          <w:rFonts w:cs="Segoe UI"/>
          <w:color w:val="000000"/>
          <w:spacing w:val="-4"/>
          <w:lang w:val="en-US" w:eastAsia="es-MX"/>
        </w:rPr>
        <w:t xml:space="preserve"> of May 4, 2010 </w:t>
      </w:r>
      <w:r w:rsidRPr="0079515C">
        <w:rPr>
          <w:spacing w:val="-4"/>
          <w:lang w:val="en-US"/>
        </w:rPr>
        <w:t>(evidence file, folios 6419 to 6423).</w:t>
      </w:r>
    </w:p>
  </w:footnote>
  <w:footnote w:id="93">
    <w:p w14:paraId="06B93022" w14:textId="3A04759F"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Decision of the Permanent Criminal Chamber of February 15, 2012 (evidence file, folio 2595). </w:t>
      </w:r>
    </w:p>
  </w:footnote>
  <w:footnote w:id="94">
    <w:p w14:paraId="09784CB1" w14:textId="3AA5E2A8"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i/>
          <w:spacing w:val="-4"/>
          <w:sz w:val="16"/>
          <w:szCs w:val="16"/>
          <w:lang w:val="en-US"/>
        </w:rPr>
        <w:t xml:space="preserve">Cf. </w:t>
      </w:r>
      <w:r w:rsidRPr="0079515C">
        <w:rPr>
          <w:spacing w:val="-4"/>
          <w:sz w:val="16"/>
          <w:szCs w:val="16"/>
          <w:lang w:val="en-US"/>
        </w:rPr>
        <w:t xml:space="preserve">Judgment of the Constitutional Court of May 24, 2011 (evidence file, folio 280), and </w:t>
      </w:r>
      <w:r>
        <w:rPr>
          <w:spacing w:val="-4"/>
          <w:sz w:val="16"/>
          <w:szCs w:val="16"/>
          <w:lang w:val="en-US"/>
        </w:rPr>
        <w:t>decision</w:t>
      </w:r>
      <w:r w:rsidRPr="0079515C">
        <w:rPr>
          <w:spacing w:val="-4"/>
          <w:sz w:val="16"/>
          <w:szCs w:val="16"/>
          <w:lang w:val="en-US"/>
        </w:rPr>
        <w:t xml:space="preserve"> of the Constitutional Court of June 9, 2011 (evidence file, folio 295).</w:t>
      </w:r>
      <w:proofErr w:type="gramEnd"/>
      <w:r w:rsidRPr="0079515C">
        <w:rPr>
          <w:spacing w:val="-4"/>
          <w:sz w:val="16"/>
          <w:szCs w:val="16"/>
          <w:lang w:val="en-US"/>
        </w:rPr>
        <w:t xml:space="preserve"> Regarding the offense of smuggling, the said amendment establishes that “the first clause of article 153 of the Criminal Code is amended as follows: ‘Anyone who </w:t>
      </w:r>
      <w:r>
        <w:rPr>
          <w:spacing w:val="-4"/>
          <w:sz w:val="16"/>
          <w:szCs w:val="16"/>
          <w:lang w:val="en-US"/>
        </w:rPr>
        <w:t>shall smuggle</w:t>
      </w:r>
      <w:r w:rsidRPr="0079515C">
        <w:rPr>
          <w:spacing w:val="-4"/>
          <w:sz w:val="16"/>
          <w:szCs w:val="16"/>
          <w:lang w:val="en-US"/>
        </w:rPr>
        <w:t xml:space="preserve"> merchandise and objects that are not mentioned in articles 151, 152 and 347 of this law shall be punished </w:t>
      </w:r>
      <w:r>
        <w:rPr>
          <w:spacing w:val="-4"/>
          <w:sz w:val="16"/>
          <w:szCs w:val="16"/>
          <w:lang w:val="en-US"/>
        </w:rPr>
        <w:t>pursuant to</w:t>
      </w:r>
      <w:r w:rsidRPr="0079515C">
        <w:rPr>
          <w:spacing w:val="-4"/>
          <w:sz w:val="16"/>
          <w:szCs w:val="16"/>
          <w:lang w:val="en-US"/>
        </w:rPr>
        <w:t xml:space="preserve"> the following provision, </w:t>
      </w:r>
      <w:r>
        <w:rPr>
          <w:spacing w:val="-4"/>
          <w:sz w:val="16"/>
          <w:szCs w:val="16"/>
          <w:lang w:val="en-US"/>
        </w:rPr>
        <w:t>according to</w:t>
      </w:r>
      <w:r w:rsidRPr="0079515C">
        <w:rPr>
          <w:spacing w:val="-4"/>
          <w:sz w:val="16"/>
          <w:szCs w:val="16"/>
          <w:lang w:val="en-US"/>
        </w:rPr>
        <w:t xml:space="preserve"> the severity of the offense: (a) Anyone who shall smuggle merchandise and objects involving significant evasion of customs duty or who is a repeat offender with more than two administrative sanctions for smuggling in a year, shall be punished with imprisonment for less than three years or detention and fines of </w:t>
      </w:r>
      <w:r>
        <w:rPr>
          <w:spacing w:val="-4"/>
          <w:sz w:val="16"/>
          <w:szCs w:val="16"/>
          <w:lang w:val="en-US"/>
        </w:rPr>
        <w:t>from</w:t>
      </w:r>
      <w:r w:rsidRPr="0079515C">
        <w:rPr>
          <w:spacing w:val="-4"/>
          <w:sz w:val="16"/>
          <w:szCs w:val="16"/>
          <w:lang w:val="en-US"/>
        </w:rPr>
        <w:t xml:space="preserve"> 100%</w:t>
      </w:r>
      <w:r>
        <w:rPr>
          <w:spacing w:val="-4"/>
          <w:sz w:val="16"/>
          <w:szCs w:val="16"/>
          <w:lang w:val="en-US"/>
        </w:rPr>
        <w:t xml:space="preserve"> to</w:t>
      </w:r>
      <w:r w:rsidRPr="0079515C">
        <w:rPr>
          <w:spacing w:val="-4"/>
          <w:sz w:val="16"/>
          <w:szCs w:val="16"/>
          <w:lang w:val="en-US"/>
        </w:rPr>
        <w:t xml:space="preserve"> 500% of the customs duty evaded; (b) Anyone who shall smuggle merchandise and objects involving a very high evasion of customs duty or in very serious cases, shall be punished with imprisonment for </w:t>
      </w:r>
      <w:r>
        <w:rPr>
          <w:spacing w:val="-4"/>
          <w:sz w:val="16"/>
          <w:szCs w:val="16"/>
          <w:lang w:val="en-US"/>
        </w:rPr>
        <w:t>from</w:t>
      </w:r>
      <w:r w:rsidRPr="0079515C">
        <w:rPr>
          <w:spacing w:val="-4"/>
          <w:sz w:val="16"/>
          <w:szCs w:val="16"/>
          <w:lang w:val="en-US"/>
        </w:rPr>
        <w:t xml:space="preserve"> three </w:t>
      </w:r>
      <w:r>
        <w:rPr>
          <w:spacing w:val="-4"/>
          <w:sz w:val="16"/>
          <w:szCs w:val="16"/>
          <w:lang w:val="en-US"/>
        </w:rPr>
        <w:t>to</w:t>
      </w:r>
      <w:r w:rsidRPr="0079515C">
        <w:rPr>
          <w:spacing w:val="-4"/>
          <w:sz w:val="16"/>
          <w:szCs w:val="16"/>
          <w:lang w:val="en-US"/>
        </w:rPr>
        <w:t xml:space="preserve"> 10 years and fines of </w:t>
      </w:r>
      <w:r>
        <w:rPr>
          <w:spacing w:val="-4"/>
          <w:sz w:val="16"/>
          <w:szCs w:val="16"/>
          <w:lang w:val="en-US"/>
        </w:rPr>
        <w:t>from</w:t>
      </w:r>
      <w:r w:rsidRPr="0079515C">
        <w:rPr>
          <w:spacing w:val="-4"/>
          <w:sz w:val="16"/>
          <w:szCs w:val="16"/>
          <w:lang w:val="en-US"/>
        </w:rPr>
        <w:t xml:space="preserve"> 100% </w:t>
      </w:r>
      <w:r>
        <w:rPr>
          <w:spacing w:val="-4"/>
          <w:sz w:val="16"/>
          <w:szCs w:val="16"/>
          <w:lang w:val="en-US"/>
        </w:rPr>
        <w:t>to</w:t>
      </w:r>
      <w:r w:rsidRPr="0079515C">
        <w:rPr>
          <w:spacing w:val="-4"/>
          <w:sz w:val="16"/>
          <w:szCs w:val="16"/>
          <w:lang w:val="en-US"/>
        </w:rPr>
        <w:t xml:space="preserve"> 500% of the customs duty evaded; (c) Anyone who shall smuggle merchandise and objects involving an extremely high evasion of customs duty, or in extremely serious cases, shall be punished with imprisonment for more than 10 years or life imprisonment and fines of </w:t>
      </w:r>
      <w:r>
        <w:rPr>
          <w:spacing w:val="-4"/>
          <w:sz w:val="16"/>
          <w:szCs w:val="16"/>
          <w:lang w:val="en-US"/>
        </w:rPr>
        <w:t>from</w:t>
      </w:r>
      <w:r w:rsidRPr="0079515C">
        <w:rPr>
          <w:spacing w:val="-4"/>
          <w:sz w:val="16"/>
          <w:szCs w:val="16"/>
          <w:lang w:val="en-US"/>
        </w:rPr>
        <w:t xml:space="preserve"> 100% </w:t>
      </w:r>
      <w:r>
        <w:rPr>
          <w:spacing w:val="-4"/>
          <w:sz w:val="16"/>
          <w:szCs w:val="16"/>
          <w:lang w:val="en-US"/>
        </w:rPr>
        <w:t>to</w:t>
      </w:r>
      <w:r w:rsidRPr="0079515C">
        <w:rPr>
          <w:spacing w:val="-4"/>
          <w:sz w:val="16"/>
          <w:szCs w:val="16"/>
          <w:lang w:val="en-US"/>
        </w:rPr>
        <w:t xml:space="preserve"> 500% of the customs duty evaded, or seizure of personal property.” </w:t>
      </w:r>
      <w:r w:rsidRPr="0079515C">
        <w:rPr>
          <w:i/>
          <w:spacing w:val="-4"/>
          <w:sz w:val="16"/>
          <w:szCs w:val="16"/>
          <w:lang w:val="en-US"/>
        </w:rPr>
        <w:t>Cf.</w:t>
      </w:r>
      <w:r w:rsidRPr="0079515C">
        <w:rPr>
          <w:spacing w:val="-4"/>
          <w:sz w:val="16"/>
          <w:szCs w:val="16"/>
          <w:lang w:val="en-US"/>
        </w:rPr>
        <w:t xml:space="preserve"> Eighth amendment (evidence file, folio 7555). </w:t>
      </w:r>
    </w:p>
  </w:footnote>
  <w:footnote w:id="95">
    <w:p w14:paraId="6722C896" w14:textId="5FF12AE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Judgment of the Constitutional Court of May 24, 2011 (evidence file, folio 279).</w:t>
      </w:r>
      <w:proofErr w:type="gramEnd"/>
    </w:p>
  </w:footnote>
  <w:footnote w:id="96">
    <w:p w14:paraId="3C761BBA" w14:textId="68136DF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Judgment of the Constitutional Court of May 24, 2011 (evidence file, folio 280).</w:t>
      </w:r>
      <w:proofErr w:type="gramEnd"/>
    </w:p>
  </w:footnote>
  <w:footnote w:id="97">
    <w:p w14:paraId="1A12845E" w14:textId="4A874E7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Judgment of the Constitutional Court of May 24, 2011 (evidence file, folio 281).</w:t>
      </w:r>
      <w:proofErr w:type="gramEnd"/>
    </w:p>
  </w:footnote>
  <w:footnote w:id="98">
    <w:p w14:paraId="536CBCCD" w14:textId="7EB0F45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Ruling of the Constitutional Court of June 9, 2011 (evidence file, folio 291).</w:t>
      </w:r>
      <w:proofErr w:type="gramEnd"/>
    </w:p>
  </w:footnote>
  <w:footnote w:id="99">
    <w:p w14:paraId="0D93D639" w14:textId="4D99637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Ruling of the Constitutional Court of June 9, 2011 (evidence file, folios 295 and 296).</w:t>
      </w:r>
      <w:proofErr w:type="gramEnd"/>
    </w:p>
  </w:footnote>
  <w:footnote w:id="100">
    <w:p w14:paraId="5797F0F4" w14:textId="7F3DD2B0" w:rsidR="002306C1" w:rsidRPr="0079515C" w:rsidRDefault="002306C1" w:rsidP="00DE2D90">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Ruling of the Constitutional Court of June 9, 2011 (evidence file, folio 296).</w:t>
      </w:r>
      <w:proofErr w:type="gramEnd"/>
    </w:p>
  </w:footnote>
  <w:footnote w:id="101">
    <w:p w14:paraId="377D3D57" w14:textId="40F9A97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Conclusions 9 and 10 of the judgment of the Constitutional Court of May 24, 20</w:t>
      </w:r>
      <w:r>
        <w:rPr>
          <w:spacing w:val="-4"/>
          <w:lang w:val="en-US"/>
        </w:rPr>
        <w:t>1</w:t>
      </w:r>
      <w:r w:rsidRPr="0079515C">
        <w:rPr>
          <w:spacing w:val="-4"/>
          <w:lang w:val="en-US"/>
        </w:rPr>
        <w:t>1, established that:</w:t>
      </w:r>
    </w:p>
    <w:p w14:paraId="74463802" w14:textId="185DDBD6" w:rsidR="002306C1" w:rsidRPr="0079515C" w:rsidRDefault="002306C1" w:rsidP="00AB4E6D">
      <w:pPr>
        <w:tabs>
          <w:tab w:val="left" w:pos="426"/>
        </w:tabs>
        <w:autoSpaceDE w:val="0"/>
        <w:autoSpaceDN w:val="0"/>
        <w:adjustRightInd w:val="0"/>
        <w:spacing w:before="120" w:after="120"/>
        <w:rPr>
          <w:spacing w:val="-4"/>
          <w:sz w:val="16"/>
          <w:szCs w:val="16"/>
          <w:lang w:val="en-US"/>
        </w:rPr>
      </w:pPr>
      <w:r w:rsidRPr="0079515C">
        <w:rPr>
          <w:spacing w:val="-4"/>
          <w:sz w:val="16"/>
          <w:szCs w:val="16"/>
          <w:lang w:val="en-US"/>
        </w:rPr>
        <w:t xml:space="preserve">“9. In this case, this Court considers that the diplomatic assurances offered by </w:t>
      </w:r>
      <w:r w:rsidRPr="0079515C">
        <w:rPr>
          <w:rFonts w:cs="Times New Roman"/>
          <w:spacing w:val="-4"/>
          <w:sz w:val="16"/>
          <w:szCs w:val="16"/>
          <w:lang w:val="en-US" w:eastAsia="en-US"/>
        </w:rPr>
        <w:t>the People’s Republic of China are insufficient to ensure that the death penalty will not be imposed on Wong Ho Wing.</w:t>
      </w:r>
      <w:r w:rsidRPr="0079515C">
        <w:rPr>
          <w:spacing w:val="-4"/>
          <w:sz w:val="16"/>
          <w:szCs w:val="16"/>
          <w:lang w:val="en-US"/>
        </w:rPr>
        <w:t xml:space="preserve"> This is because, in the United Nations, the requesting State has not demonstrated that it guarantees the real protection of the right to life, because it allows extrajudicial, summary or arbitrary executions. Also, </w:t>
      </w:r>
      <w:r w:rsidRPr="0079515C">
        <w:rPr>
          <w:spacing w:val="-2"/>
          <w:sz w:val="16"/>
          <w:szCs w:val="16"/>
          <w:lang w:val="en-US"/>
        </w:rPr>
        <w:t>it is known in international circles that the death penalty is not imposed objectively, but is influenced by public opinion</w:t>
      </w:r>
      <w:r w:rsidRPr="0079515C">
        <w:rPr>
          <w:spacing w:val="-4"/>
          <w:sz w:val="16"/>
          <w:szCs w:val="16"/>
          <w:lang w:val="en-US"/>
        </w:rPr>
        <w:t xml:space="preserve">. Indeed, </w:t>
      </w:r>
      <w:r w:rsidRPr="003708EA">
        <w:rPr>
          <w:spacing w:val="-4"/>
          <w:sz w:val="16"/>
          <w:szCs w:val="16"/>
          <w:lang w:val="en-US"/>
        </w:rPr>
        <w:t xml:space="preserve">the Human Rights Council in the Report A/HRC/WG.6/4/CHN/2, of January 6, 2009, emphasized that ‘16. </w:t>
      </w:r>
      <w:r w:rsidRPr="003708EA">
        <w:rPr>
          <w:rFonts w:eastAsia="Times New Roman" w:cs="Times New Roman"/>
          <w:sz w:val="16"/>
          <w:szCs w:val="16"/>
          <w:lang w:val="en-US" w:eastAsia="en-US"/>
        </w:rPr>
        <w:t>In 2005, the Government of China explained to the Special Rapporteur on Extrajudicial, Summary or Arbitrary Executions that the death penalty is applicable only to “extremely serious crimes” and that one of the factors leading to its use in that context is public opinion.”</w:t>
      </w:r>
    </w:p>
    <w:p w14:paraId="5405B510" w14:textId="714A7C44" w:rsidR="002306C1" w:rsidRPr="0079515C" w:rsidRDefault="002306C1" w:rsidP="00853044">
      <w:pPr>
        <w:pStyle w:val="FootnoteText"/>
        <w:tabs>
          <w:tab w:val="clear" w:pos="567"/>
          <w:tab w:val="left" w:pos="426"/>
        </w:tabs>
        <w:spacing w:before="120" w:after="120"/>
        <w:rPr>
          <w:spacing w:val="-4"/>
          <w:lang w:val="en-US"/>
        </w:rPr>
      </w:pPr>
      <w:r w:rsidRPr="0079515C">
        <w:rPr>
          <w:spacing w:val="-4"/>
          <w:lang w:val="en-US"/>
        </w:rPr>
        <w:t xml:space="preserve">10. Bearing in mind the report cited, this Court finds that the People’s Republic of China does not grant the necessary and sufficient guarantees to safeguard the right to life of Wong Ho Wing, because, as revealed by the report of the Human Rights Council of the United Nations, one of the factors to impose the death penalty in that country is public opinion. In addition, it should be recalled that, in the instant case, the extradition of the beneficiary would not be in order, because the principle of reciprocity is not respected, </w:t>
      </w:r>
      <w:r>
        <w:rPr>
          <w:spacing w:val="-4"/>
          <w:lang w:val="en-US"/>
        </w:rPr>
        <w:t>since</w:t>
      </w:r>
      <w:r w:rsidRPr="0079515C">
        <w:rPr>
          <w:spacing w:val="-4"/>
          <w:lang w:val="en-US"/>
        </w:rPr>
        <w:t xml:space="preserve"> the offenses based on which the extradition is sought are not punished with the death penalty in the Peruvian State. Consequently, the Peruvian State must comply with its obligation to try Wong Ho Wing in accordance w</w:t>
      </w:r>
      <w:r>
        <w:rPr>
          <w:spacing w:val="-4"/>
          <w:lang w:val="en-US"/>
        </w:rPr>
        <w:t>ith the provisions of article 4</w:t>
      </w:r>
      <w:r w:rsidRPr="0079515C">
        <w:rPr>
          <w:spacing w:val="-4"/>
          <w:lang w:val="en-US"/>
        </w:rPr>
        <w:t xml:space="preserve">(a) of the Extradition Treaty between the Republic of Peru and the People’s Republic of China.” </w:t>
      </w:r>
      <w:proofErr w:type="gramStart"/>
      <w:r w:rsidRPr="0079515C">
        <w:rPr>
          <w:spacing w:val="-4"/>
          <w:lang w:val="en-US"/>
        </w:rPr>
        <w:t>Judgment of the Constitutional Court of May 24, 2011 (evidence file, folios 279 and 280).</w:t>
      </w:r>
      <w:proofErr w:type="gramEnd"/>
    </w:p>
  </w:footnote>
  <w:footnote w:id="102">
    <w:p w14:paraId="79FFFD94" w14:textId="5306CBA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Ruling of the Constitutional Court of June 9, 2011 (evidence file, folios 297 and 302).</w:t>
      </w:r>
      <w:proofErr w:type="gramEnd"/>
    </w:p>
  </w:footnote>
  <w:footnote w:id="103">
    <w:p w14:paraId="6CAFFDA4" w14:textId="4154048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Ruling of the Constitutional Court of June 9, 2011 (evidence file, folio 302).</w:t>
      </w:r>
      <w:proofErr w:type="gramEnd"/>
    </w:p>
  </w:footnote>
  <w:footnote w:id="104">
    <w:p w14:paraId="36A2658E" w14:textId="66D45DF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rFonts w:cs="Segoe UI"/>
          <w:color w:val="000000"/>
          <w:spacing w:val="-4"/>
          <w:lang w:val="en-US" w:eastAsia="es-MX"/>
        </w:rPr>
        <w:t xml:space="preserve">Brief of November 25, 2011, filed before the judge of the 42nd Special Criminal Court of the Superior Court of Justice of Lima </w:t>
      </w:r>
      <w:r w:rsidRPr="0079515C">
        <w:rPr>
          <w:spacing w:val="-4"/>
          <w:lang w:val="en-US"/>
        </w:rPr>
        <w:t>(evidence file, folio 337).</w:t>
      </w:r>
      <w:r w:rsidRPr="0079515C">
        <w:rPr>
          <w:b/>
          <w:spacing w:val="-4"/>
          <w:lang w:val="en-US"/>
        </w:rPr>
        <w:t xml:space="preserve"> </w:t>
      </w:r>
    </w:p>
  </w:footnote>
  <w:footnote w:id="105">
    <w:p w14:paraId="0F1EBE7F" w14:textId="354E7BC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Brief of November 25, 2011, before the judge of the 42nd Special Criminal Court of the Superior Court of Justice of Lima </w:t>
      </w:r>
      <w:r w:rsidRPr="0079515C">
        <w:rPr>
          <w:spacing w:val="-4"/>
          <w:lang w:val="en-US"/>
        </w:rPr>
        <w:t>(evidence file, folio 340).</w:t>
      </w:r>
      <w:proofErr w:type="gramEnd"/>
      <w:r w:rsidRPr="0079515C">
        <w:rPr>
          <w:b/>
          <w:spacing w:val="-4"/>
          <w:lang w:val="en-US"/>
        </w:rPr>
        <w:t xml:space="preserve"> </w:t>
      </w:r>
    </w:p>
  </w:footnote>
  <w:footnote w:id="106">
    <w:p w14:paraId="297ED3AC" w14:textId="611C3B5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Decision of the 42nd Special Criminal Court of the Superior Court of Justice of Lima of November 30, 2011 (evidence file, folio 8492).</w:t>
      </w:r>
      <w:proofErr w:type="gramEnd"/>
    </w:p>
  </w:footnote>
  <w:footnote w:id="107">
    <w:p w14:paraId="018B368B" w14:textId="46370F6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Appeal of December 12, 2011 (evidence file, folios 2712 to 2715), and </w:t>
      </w:r>
      <w:r w:rsidRPr="0079515C">
        <w:rPr>
          <w:rFonts w:cs="Segoe UI"/>
          <w:color w:val="000000"/>
          <w:spacing w:val="-4"/>
          <w:lang w:val="en-US" w:eastAsia="es-MX"/>
        </w:rPr>
        <w:t>decision of February 20, 201</w:t>
      </w:r>
      <w:r>
        <w:rPr>
          <w:rFonts w:cs="Segoe UI"/>
          <w:color w:val="000000"/>
          <w:spacing w:val="-4"/>
          <w:lang w:val="en-US" w:eastAsia="es-MX"/>
        </w:rPr>
        <w:t>2, of the Criminal Chamber for proceedings involving d</w:t>
      </w:r>
      <w:r w:rsidRPr="0079515C">
        <w:rPr>
          <w:rFonts w:cs="Segoe UI"/>
          <w:color w:val="000000"/>
          <w:spacing w:val="-4"/>
          <w:lang w:val="en-US" w:eastAsia="es-MX"/>
        </w:rPr>
        <w:t>etainees of the Superior Court of Justice of</w:t>
      </w:r>
      <w:r>
        <w:rPr>
          <w:rFonts w:cs="Segoe UI"/>
          <w:color w:val="000000"/>
          <w:spacing w:val="-4"/>
          <w:lang w:val="en-US" w:eastAsia="es-MX"/>
        </w:rPr>
        <w:t xml:space="preserve"> </w:t>
      </w:r>
      <w:r w:rsidRPr="0079515C">
        <w:rPr>
          <w:rFonts w:cs="Segoe UI"/>
          <w:color w:val="000000"/>
          <w:spacing w:val="-4"/>
          <w:lang w:val="en-US" w:eastAsia="es-MX"/>
        </w:rPr>
        <w:t xml:space="preserve">Lima </w:t>
      </w:r>
      <w:r w:rsidRPr="0079515C">
        <w:rPr>
          <w:spacing w:val="-4"/>
          <w:lang w:val="en-US"/>
        </w:rPr>
        <w:t>(evidence file, folios 354 to 357).</w:t>
      </w:r>
    </w:p>
  </w:footnote>
  <w:footnote w:id="108">
    <w:p w14:paraId="54B829CB" w14:textId="4784B8C0" w:rsidR="002306C1" w:rsidRPr="0079515C" w:rsidRDefault="002306C1" w:rsidP="00853044">
      <w:pPr>
        <w:pStyle w:val="FootnoteText"/>
        <w:tabs>
          <w:tab w:val="clear" w:pos="567"/>
          <w:tab w:val="left" w:pos="426"/>
        </w:tabs>
        <w:spacing w:before="120" w:after="120"/>
        <w:rPr>
          <w:iCs/>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The Ministry of Justice argu</w:t>
      </w:r>
      <w:r>
        <w:rPr>
          <w:spacing w:val="-4"/>
          <w:lang w:val="en-US"/>
        </w:rPr>
        <w:t xml:space="preserve">ed that </w:t>
      </w:r>
      <w:r w:rsidRPr="0079515C">
        <w:rPr>
          <w:spacing w:val="-4"/>
          <w:lang w:val="en-US"/>
        </w:rPr>
        <w:t xml:space="preserve">the effects of the constitutional </w:t>
      </w:r>
      <w:r>
        <w:rPr>
          <w:spacing w:val="-4"/>
          <w:lang w:val="en-US"/>
        </w:rPr>
        <w:t>decision</w:t>
      </w:r>
      <w:r w:rsidRPr="0079515C">
        <w:rPr>
          <w:spacing w:val="-4"/>
          <w:lang w:val="en-US"/>
        </w:rPr>
        <w:t xml:space="preserve"> cannot </w:t>
      </w:r>
      <w:r>
        <w:rPr>
          <w:spacing w:val="-4"/>
          <w:lang w:val="en-US"/>
        </w:rPr>
        <w:t xml:space="preserve">be permitted to exceed those of </w:t>
      </w:r>
      <w:r w:rsidRPr="0079515C">
        <w:rPr>
          <w:spacing w:val="-4"/>
          <w:lang w:val="en-US"/>
        </w:rPr>
        <w:t xml:space="preserve">the </w:t>
      </w:r>
      <w:r>
        <w:rPr>
          <w:spacing w:val="-4"/>
          <w:lang w:val="en-US"/>
        </w:rPr>
        <w:t>application</w:t>
      </w:r>
      <w:r w:rsidRPr="0079515C">
        <w:rPr>
          <w:spacing w:val="-4"/>
          <w:lang w:val="en-US"/>
        </w:rPr>
        <w:t xml:space="preserve"> for </w:t>
      </w:r>
      <w:r w:rsidRPr="0079515C">
        <w:rPr>
          <w:i/>
          <w:iCs/>
          <w:spacing w:val="-4"/>
          <w:lang w:val="en-US"/>
        </w:rPr>
        <w:t>habeas corpus</w:t>
      </w:r>
      <w:r w:rsidRPr="0079515C">
        <w:rPr>
          <w:iCs/>
          <w:spacing w:val="-4"/>
          <w:lang w:val="en-US"/>
        </w:rPr>
        <w:t xml:space="preserve"> filed in the instant case in favor [of] Wong Ho Wing, because the Supreme Court of Justice of the Republic has declared admissible the passive extradition of the Chinese citizen for the offenses of evasion of customs duty and also for the offense of bribery. </w:t>
      </w:r>
      <w:r>
        <w:rPr>
          <w:iCs/>
          <w:spacing w:val="-4"/>
          <w:lang w:val="en-US"/>
        </w:rPr>
        <w:t>Nevertheless</w:t>
      </w:r>
      <w:r w:rsidRPr="0079515C">
        <w:rPr>
          <w:iCs/>
          <w:spacing w:val="-4"/>
          <w:lang w:val="en-US"/>
        </w:rPr>
        <w:t xml:space="preserve">, as can be appreciated from the arguments presented and the decisions made at the constitutional level, no ruling was made on the possibility of carrying out the extradition for the less serious offense; that is, for the offense of passive bribery.” </w:t>
      </w:r>
      <w:r w:rsidRPr="0079515C">
        <w:rPr>
          <w:i/>
          <w:spacing w:val="-4"/>
          <w:lang w:val="en-US"/>
        </w:rPr>
        <w:t xml:space="preserve">Cf. </w:t>
      </w:r>
      <w:r w:rsidRPr="0079515C">
        <w:rPr>
          <w:rFonts w:cs="Segoe UI"/>
          <w:color w:val="000000"/>
          <w:spacing w:val="-4"/>
          <w:lang w:val="en-US" w:eastAsia="es-MX"/>
        </w:rPr>
        <w:t xml:space="preserve">Constitutional remedy of March 19, 2013 </w:t>
      </w:r>
      <w:r w:rsidRPr="0079515C">
        <w:rPr>
          <w:spacing w:val="-4"/>
          <w:lang w:val="en-US"/>
        </w:rPr>
        <w:t>(evidence file, folios 8496 and 8497).</w:t>
      </w:r>
    </w:p>
  </w:footnote>
  <w:footnote w:id="109">
    <w:p w14:paraId="38282C89" w14:textId="2916047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Note of the People’s Republic of China of December 22, 2011 (evidence file, folios 7479 and 7480). The case file does not reveal the date on which the translation of article 12 on criminal retroactivity was sent, because this translation is dated February 24, 2012. </w:t>
      </w:r>
      <w:proofErr w:type="gramStart"/>
      <w:r w:rsidRPr="0079515C">
        <w:rPr>
          <w:i/>
          <w:spacing w:val="-4"/>
          <w:lang w:val="en-US"/>
        </w:rPr>
        <w:t xml:space="preserve">Cf. </w:t>
      </w:r>
      <w:r w:rsidRPr="0079515C">
        <w:rPr>
          <w:spacing w:val="-4"/>
          <w:lang w:val="en-US"/>
        </w:rPr>
        <w:t>Official translation of article 12 (evidence file, folios 7504 and 7505).</w:t>
      </w:r>
      <w:proofErr w:type="gramEnd"/>
    </w:p>
  </w:footnote>
  <w:footnote w:id="110">
    <w:p w14:paraId="78415643" w14:textId="7FAA345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Clarification of the case to which the eighth amendment is applicable (evidence file, folio 7512).</w:t>
      </w:r>
      <w:proofErr w:type="gramEnd"/>
    </w:p>
  </w:footnote>
  <w:footnote w:id="111">
    <w:p w14:paraId="7D974804" w14:textId="5136D53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Brief of February 9, 2012, before the President of the Supreme Court of Justice </w:t>
      </w:r>
      <w:r w:rsidRPr="0079515C">
        <w:rPr>
          <w:spacing w:val="-4"/>
          <w:lang w:val="en-US"/>
        </w:rPr>
        <w:t>(evidence file, folio 352).</w:t>
      </w:r>
      <w:proofErr w:type="gramEnd"/>
    </w:p>
  </w:footnote>
  <w:footnote w:id="112">
    <w:p w14:paraId="2FB2AF13" w14:textId="7B34CFE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Decision of the Permanent Criminal Chamber of February 15, 2012 (evidence file, folio 2595). </w:t>
      </w:r>
    </w:p>
  </w:footnote>
  <w:footnote w:id="113">
    <w:p w14:paraId="74F33BD9" w14:textId="58309827"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 xml:space="preserve">Application for </w:t>
      </w:r>
      <w:r w:rsidRPr="0079515C">
        <w:rPr>
          <w:rFonts w:cs="Segoe UI"/>
          <w:i/>
          <w:color w:val="000000"/>
          <w:spacing w:val="-4"/>
          <w:lang w:val="en-US" w:eastAsia="es-MX"/>
        </w:rPr>
        <w:t>habeas corpus</w:t>
      </w:r>
      <w:r w:rsidRPr="0079515C">
        <w:rPr>
          <w:rFonts w:cs="Segoe UI"/>
          <w:color w:val="000000"/>
          <w:spacing w:val="-4"/>
          <w:lang w:val="en-US" w:eastAsia="es-MX"/>
        </w:rPr>
        <w:t xml:space="preserve"> of March 13, 2012 </w:t>
      </w:r>
      <w:r w:rsidRPr="0079515C">
        <w:rPr>
          <w:spacing w:val="-4"/>
          <w:lang w:val="en-US"/>
        </w:rPr>
        <w:t xml:space="preserve">(evidence file, folio 361). </w:t>
      </w:r>
    </w:p>
  </w:footnote>
  <w:footnote w:id="114">
    <w:p w14:paraId="324BECC4" w14:textId="410F14CB"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The State’s brief of December 1, 2014 (merits file, folio 1159). The application for </w:t>
      </w:r>
      <w:r w:rsidRPr="0079515C">
        <w:rPr>
          <w:i/>
          <w:spacing w:val="-4"/>
          <w:lang w:val="en-US"/>
        </w:rPr>
        <w:t>habeas corpus</w:t>
      </w:r>
      <w:r w:rsidRPr="0079515C">
        <w:rPr>
          <w:spacing w:val="-4"/>
          <w:lang w:val="en-US"/>
        </w:rPr>
        <w:t xml:space="preserve"> was admitted on April 29, 2013. </w:t>
      </w:r>
      <w:r w:rsidRPr="0079515C">
        <w:rPr>
          <w:i/>
          <w:spacing w:val="-4"/>
          <w:lang w:val="en-US"/>
        </w:rPr>
        <w:t xml:space="preserve">Cf. </w:t>
      </w:r>
      <w:r w:rsidRPr="0079515C">
        <w:rPr>
          <w:spacing w:val="-4"/>
          <w:lang w:val="en-US"/>
        </w:rPr>
        <w:t>Admissibility decision of April 29, 2013 (evidence file, folios 8517 to 8520).</w:t>
      </w:r>
    </w:p>
  </w:footnote>
  <w:footnote w:id="115">
    <w:p w14:paraId="25C6FBA3" w14:textId="306E2CC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Decision of February 21, 2012 (evidence file, folios 7456 to 7460). </w:t>
      </w:r>
    </w:p>
  </w:footnote>
  <w:footnote w:id="116">
    <w:p w14:paraId="5DB06D49" w14:textId="3ACB171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Note of the</w:t>
      </w:r>
      <w:r w:rsidRPr="0079515C">
        <w:rPr>
          <w:i/>
          <w:spacing w:val="-4"/>
          <w:lang w:val="en-US"/>
        </w:rPr>
        <w:t xml:space="preserve"> </w:t>
      </w:r>
      <w:r w:rsidRPr="0079515C">
        <w:rPr>
          <w:spacing w:val="-4"/>
          <w:lang w:val="en-US"/>
        </w:rPr>
        <w:t xml:space="preserve">Embassy of the People’s Republic of China of February 27, 2012 (evidence file, folio 7471), and </w:t>
      </w:r>
      <w:r w:rsidRPr="0079515C">
        <w:rPr>
          <w:rFonts w:cs="Segoe UI"/>
          <w:color w:val="000000"/>
          <w:spacing w:val="-4"/>
          <w:lang w:val="en-US" w:eastAsia="es-MX"/>
        </w:rPr>
        <w:t xml:space="preserve">decision of March 6, 2012, of the Permanent Criminal Chamber of the Supreme Court of Justice </w:t>
      </w:r>
      <w:r w:rsidRPr="0079515C">
        <w:rPr>
          <w:spacing w:val="-4"/>
          <w:lang w:val="en-US"/>
        </w:rPr>
        <w:t>(evidence file, folio 359).</w:t>
      </w:r>
    </w:p>
  </w:footnote>
  <w:footnote w:id="117">
    <w:p w14:paraId="545D77E3" w14:textId="2AEED2D3" w:rsidR="002306C1" w:rsidRPr="0079515C" w:rsidRDefault="002306C1" w:rsidP="00853044">
      <w:pPr>
        <w:tabs>
          <w:tab w:val="left" w:pos="426"/>
        </w:tabs>
        <w:autoSpaceDE w:val="0"/>
        <w:autoSpaceDN w:val="0"/>
        <w:adjustRightInd w:val="0"/>
        <w:spacing w:before="120" w:after="120"/>
        <w:rPr>
          <w:rFonts w:cs="Arial"/>
          <w:b/>
          <w:bCs/>
          <w:spacing w:val="-4"/>
          <w:sz w:val="16"/>
          <w:szCs w:val="16"/>
          <w:lang w:val="en-US" w:eastAsia="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rFonts w:cs="Segoe UI"/>
          <w:color w:val="000000"/>
          <w:spacing w:val="-4"/>
          <w:sz w:val="16"/>
          <w:szCs w:val="16"/>
          <w:lang w:val="en-US" w:eastAsia="es-MX"/>
        </w:rPr>
        <w:t xml:space="preserve">Decision of March 14, 2012 of the Permanent Criminal Chamber </w:t>
      </w:r>
      <w:r w:rsidRPr="0079515C">
        <w:rPr>
          <w:spacing w:val="-4"/>
          <w:sz w:val="16"/>
          <w:szCs w:val="16"/>
          <w:lang w:val="en-US"/>
        </w:rPr>
        <w:t>(evidence file, folio 373).</w:t>
      </w:r>
      <w:proofErr w:type="gramEnd"/>
      <w:r w:rsidRPr="0079515C">
        <w:rPr>
          <w:spacing w:val="-4"/>
          <w:sz w:val="16"/>
          <w:szCs w:val="16"/>
          <w:lang w:val="en-US"/>
        </w:rPr>
        <w:t xml:space="preserve"> </w:t>
      </w:r>
    </w:p>
  </w:footnote>
  <w:footnote w:id="118">
    <w:p w14:paraId="20CD2EA9" w14:textId="05BCFE7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 xml:space="preserve">Decision of March 12, 2013, of the Constitutional Court </w:t>
      </w:r>
      <w:r w:rsidRPr="0079515C">
        <w:rPr>
          <w:spacing w:val="-4"/>
          <w:lang w:val="en-US"/>
        </w:rPr>
        <w:t>(evidence file, folio 377).</w:t>
      </w:r>
    </w:p>
  </w:footnote>
  <w:footnote w:id="119">
    <w:p w14:paraId="7A83D226" w14:textId="6710C6B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March 12, 2013, of the Constitutional Court </w:t>
      </w:r>
      <w:r w:rsidRPr="0079515C">
        <w:rPr>
          <w:spacing w:val="-4"/>
          <w:lang w:val="en-US"/>
        </w:rPr>
        <w:t>(evidence file, folio 377).</w:t>
      </w:r>
      <w:proofErr w:type="gramEnd"/>
    </w:p>
  </w:footnote>
  <w:footnote w:id="120">
    <w:p w14:paraId="2E21E3F5" w14:textId="6DE9C8A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This explanation was presented by the Consul of the Embassy of the People’s Republic of China in Peru to the President of the Commission for Extradition</w:t>
      </w:r>
      <w:r>
        <w:rPr>
          <w:spacing w:val="-4"/>
          <w:lang w:val="en-US"/>
        </w:rPr>
        <w:t>s</w:t>
      </w:r>
      <w:r w:rsidRPr="0079515C">
        <w:rPr>
          <w:spacing w:val="-4"/>
          <w:lang w:val="en-US"/>
        </w:rPr>
        <w:t xml:space="preserve"> and </w:t>
      </w:r>
      <w:r>
        <w:rPr>
          <w:spacing w:val="-4"/>
          <w:lang w:val="en-US"/>
        </w:rPr>
        <w:t xml:space="preserve">Prisoner </w:t>
      </w:r>
      <w:r w:rsidRPr="0079515C">
        <w:rPr>
          <w:spacing w:val="-4"/>
          <w:lang w:val="en-US"/>
        </w:rPr>
        <w:t>Transfers (evidence file, folio 1615).</w:t>
      </w:r>
    </w:p>
  </w:footnote>
  <w:footnote w:id="121">
    <w:p w14:paraId="6532F40F" w14:textId="0B8E128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Brief of the General Directorate No. 24 of the Ministry of Public Security of February 2, 2009 </w:t>
      </w:r>
      <w:r w:rsidRPr="0079515C">
        <w:rPr>
          <w:spacing w:val="-4"/>
          <w:lang w:val="en-US"/>
        </w:rPr>
        <w:t>(evidence file, folios 67, 68 and 1617).</w:t>
      </w:r>
      <w:proofErr w:type="gramEnd"/>
    </w:p>
  </w:footnote>
  <w:footnote w:id="122">
    <w:p w14:paraId="6EC9DD48" w14:textId="3F97074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Brief No. 135/2009 of the Ambassador Extraordinary and Plenipotentiary of the People’s Republic of China to Peru addressed to the President of the Supreme Court of Justice of August 25, 2009 (evidence file, folio 2417). </w:t>
      </w:r>
    </w:p>
  </w:footnote>
  <w:footnote w:id="123">
    <w:p w14:paraId="513AFA55" w14:textId="6186587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Notes Nos. 200/2009, 201/2009 and 202/2009 sent by the Ambassador Extraordinary and Plenipotentiary of the People’s Republic of China to Peru to the President of the Permanent Criminal Chamber of the Supreme Court of Justice and the judge of the Seventh Criminal Court of the Superior Court of Justice of El Callao (evidence file, folios 964, 1116 and 1117). </w:t>
      </w:r>
    </w:p>
  </w:footnote>
  <w:footnote w:id="124">
    <w:p w14:paraId="5EA26D5D" w14:textId="0D1ED82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No. 204/2009 of December 29, 2009, sent by the Ambassador of t</w:t>
      </w:r>
      <w:r>
        <w:rPr>
          <w:spacing w:val="-4"/>
          <w:lang w:val="en-US"/>
        </w:rPr>
        <w:t>he People’s Republic of China to</w:t>
      </w:r>
      <w:r w:rsidRPr="0079515C">
        <w:rPr>
          <w:spacing w:val="-4"/>
          <w:lang w:val="en-US"/>
        </w:rPr>
        <w:t xml:space="preserve"> the Republic of Peru to the President of the Permanent Criminal Chamber of the Supreme Court of Justice (evidence file, folios 1622 and 1624).  </w:t>
      </w:r>
    </w:p>
  </w:footnote>
  <w:footnote w:id="125">
    <w:p w14:paraId="184A6480" w14:textId="292C525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No. 010/2011 of February 22, 2011, sent by the Ambassador of t</w:t>
      </w:r>
      <w:r>
        <w:rPr>
          <w:spacing w:val="-4"/>
          <w:lang w:val="en-US"/>
        </w:rPr>
        <w:t>he People’s Republic of China to</w:t>
      </w:r>
      <w:r w:rsidRPr="0079515C">
        <w:rPr>
          <w:spacing w:val="-4"/>
          <w:lang w:val="en-US"/>
        </w:rPr>
        <w:t xml:space="preserve"> the Republic of Peru to the Minister of Justice of the Republic of Peru (evidence file, folio 5755).  </w:t>
      </w:r>
    </w:p>
  </w:footnote>
  <w:footnote w:id="126">
    <w:p w14:paraId="78FE428F" w14:textId="594ABC1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bCs w:val="0"/>
          <w:spacing w:val="-4"/>
          <w:lang w:val="en-US"/>
        </w:rPr>
        <w:t xml:space="preserve">Note No. 036/2011 of June 10, 2011, cited in the </w:t>
      </w:r>
      <w:r w:rsidRPr="0079515C">
        <w:rPr>
          <w:spacing w:val="-4"/>
          <w:lang w:val="en-US"/>
        </w:rPr>
        <w:t>ruling of the Constitutional Court of June 9, 2011 (evidence file, folio 296).</w:t>
      </w:r>
    </w:p>
  </w:footnote>
  <w:footnote w:id="127">
    <w:p w14:paraId="4D4C73C4" w14:textId="58FEC66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Pr>
          <w:spacing w:val="-4"/>
          <w:lang w:val="en-US"/>
        </w:rPr>
        <w:t xml:space="preserve"> </w:t>
      </w:r>
      <w:r>
        <w:rPr>
          <w:spacing w:val="-4"/>
          <w:lang w:val="en-US"/>
        </w:rPr>
        <w:tab/>
        <w:t>Note</w:t>
      </w:r>
      <w:r w:rsidRPr="0079515C">
        <w:rPr>
          <w:spacing w:val="-4"/>
          <w:lang w:val="en-US"/>
        </w:rPr>
        <w:t xml:space="preserve"> of the People’s Republic of China of December 22, 2011 (evidence file, folios 7479 and 7480). With this note, the People’s Republic of China forwarded to Peru:</w:t>
      </w:r>
      <w:r w:rsidRPr="0079515C">
        <w:rPr>
          <w:rFonts w:cs="Times New Roman"/>
          <w:spacing w:val="-4"/>
          <w:lang w:val="en-US"/>
        </w:rPr>
        <w:t xml:space="preserve"> (</w:t>
      </w:r>
      <w:proofErr w:type="spellStart"/>
      <w:r w:rsidRPr="0079515C">
        <w:rPr>
          <w:rFonts w:cs="Times New Roman"/>
          <w:spacing w:val="-4"/>
          <w:lang w:val="en-US"/>
        </w:rPr>
        <w:t>i</w:t>
      </w:r>
      <w:proofErr w:type="spellEnd"/>
      <w:r w:rsidRPr="0079515C">
        <w:rPr>
          <w:rFonts w:cs="Times New Roman"/>
          <w:spacing w:val="-4"/>
          <w:lang w:val="en-US"/>
        </w:rPr>
        <w:t xml:space="preserve">) the “Clarification of the cases to which the eighth amendment of the Criminal Code of the People’s Republic of China is applicable,” in which the People’s Supreme Court indicated that the eighth amendment of the Criminal Code would be applicable to the case of Wong Ho Wing; (ii) the official translation of the eighth amendment of the Criminal Code of the People’s Republic of China </w:t>
      </w:r>
      <w:r w:rsidRPr="0079515C">
        <w:rPr>
          <w:spacing w:val="-4"/>
          <w:lang w:val="en-US"/>
        </w:rPr>
        <w:t xml:space="preserve">(evidence file, folios 7504 and 7505). </w:t>
      </w:r>
      <w:r>
        <w:rPr>
          <w:rFonts w:cs="Times New Roman"/>
          <w:spacing w:val="-4"/>
          <w:lang w:val="en-US"/>
        </w:rPr>
        <w:t>However</w:t>
      </w:r>
      <w:r w:rsidRPr="0079515C">
        <w:rPr>
          <w:rFonts w:cs="Times New Roman"/>
          <w:spacing w:val="-4"/>
          <w:lang w:val="en-US"/>
        </w:rPr>
        <w:t xml:space="preserve">, (iii) the official translation of articles 87 and 88 of the Criminal Code of the People’s Republic of China, concerning the statute of limitations, and (iv) the official translation of article 12, paragraph 1, of the Criminal Code of the People’s Republic of China, which recognizes the principle of </w:t>
      </w:r>
      <w:r>
        <w:rPr>
          <w:rFonts w:cs="Times New Roman"/>
          <w:spacing w:val="-4"/>
          <w:lang w:val="en-US"/>
        </w:rPr>
        <w:t xml:space="preserve">the </w:t>
      </w:r>
      <w:r w:rsidRPr="0079515C">
        <w:rPr>
          <w:rFonts w:cs="Times New Roman"/>
          <w:spacing w:val="-4"/>
          <w:lang w:val="en-US"/>
        </w:rPr>
        <w:t>retroactivity of the most favorable criminal law seems to have been sent later, on February 24, 2012</w:t>
      </w:r>
      <w:r w:rsidRPr="0079515C">
        <w:rPr>
          <w:spacing w:val="-4"/>
          <w:lang w:val="en-US"/>
        </w:rPr>
        <w:t xml:space="preserve"> (evidence file, folios 7497 to 7505). In addition, on April 19, 2013, </w:t>
      </w:r>
      <w:r w:rsidRPr="0079515C">
        <w:rPr>
          <w:rFonts w:cs="Times New Roman"/>
          <w:spacing w:val="-4"/>
          <w:lang w:val="en-US"/>
        </w:rPr>
        <w:t xml:space="preserve">the Embassy of the People’s Republic of China sent a communication to the Ministry of Justice and Human Rights of Peru, with which it forwarded new certifications of those documents as well as complementary documentation on the inapplicability of the death penalty to Wong Ho Wing, particularly the text of articles 151 and 153 of the Chinese Criminal Code before the amendment. </w:t>
      </w:r>
      <w:r w:rsidRPr="0079515C">
        <w:rPr>
          <w:i/>
          <w:spacing w:val="-4"/>
          <w:lang w:val="en-US"/>
        </w:rPr>
        <w:t xml:space="preserve">Cf. </w:t>
      </w:r>
      <w:r w:rsidRPr="0079515C">
        <w:rPr>
          <w:spacing w:val="-4"/>
          <w:lang w:val="en-US"/>
        </w:rPr>
        <w:t>Note No. 26/2013 of April 18, 2013, sent by the Ambassador of t</w:t>
      </w:r>
      <w:r>
        <w:rPr>
          <w:spacing w:val="-4"/>
          <w:lang w:val="en-US"/>
        </w:rPr>
        <w:t>he People’s Republic of China to</w:t>
      </w:r>
      <w:r w:rsidRPr="0079515C">
        <w:rPr>
          <w:spacing w:val="-4"/>
          <w:lang w:val="en-US"/>
        </w:rPr>
        <w:t xml:space="preserve"> the Republic of Peru to the Minister of Justice and Human Rights of Peru (evidence file, folio 3491).</w:t>
      </w:r>
    </w:p>
  </w:footnote>
  <w:footnote w:id="128">
    <w:p w14:paraId="0901FDF3" w14:textId="2093348C"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Note No. 030/2014 of August 19, 2014, sent by the Embassy of the People’s Republic of China in the Republic of Peru to the Ministry of Foreign Affairs of Peru (evidence file, folios 7377 to 7382).  </w:t>
      </w:r>
    </w:p>
  </w:footnote>
  <w:footnote w:id="129">
    <w:p w14:paraId="2C77FB4A" w14:textId="5009C60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Code of Criminal Procedure, promulgated by Legislative Decree No. 957 of July 29, 2004, article 523.</w:t>
      </w:r>
      <w:proofErr w:type="gramEnd"/>
      <w:r w:rsidRPr="0079515C">
        <w:rPr>
          <w:spacing w:val="-4"/>
          <w:lang w:val="en-US"/>
        </w:rPr>
        <w:t xml:space="preserve"> Available at: </w:t>
      </w:r>
      <w:hyperlink r:id="rId7" w:history="1">
        <w:r w:rsidRPr="0079515C">
          <w:rPr>
            <w:rStyle w:val="Hyperlink"/>
            <w:spacing w:val="-4"/>
            <w:lang w:val="en-US"/>
          </w:rPr>
          <w:t>http://www.leyes.congreso.gob.pe/Documentos/Decretoslegislativos/00957.pdf</w:t>
        </w:r>
      </w:hyperlink>
      <w:r w:rsidRPr="0079515C">
        <w:rPr>
          <w:rStyle w:val="Hyperlink"/>
          <w:color w:val="auto"/>
          <w:spacing w:val="-4"/>
          <w:u w:val="none"/>
          <w:lang w:val="en-US"/>
        </w:rPr>
        <w:t xml:space="preserve">, </w:t>
      </w:r>
      <w:r w:rsidRPr="0079515C">
        <w:rPr>
          <w:spacing w:val="-4"/>
          <w:lang w:val="en-US"/>
        </w:rPr>
        <w:t>cited in the Commission’s Merits Report, folio 24.</w:t>
      </w:r>
    </w:p>
  </w:footnote>
  <w:footnote w:id="130">
    <w:p w14:paraId="11F01F93" w14:textId="637ED5F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Extradition Treaty between the Republic of Peru and the People’s Republic of China, article 9 (evidence file, folio 1635).</w:t>
      </w:r>
      <w:proofErr w:type="gramEnd"/>
    </w:p>
  </w:footnote>
  <w:footnote w:id="131">
    <w:p w14:paraId="43F80E23" w14:textId="44C06D0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Note of the First Criminal Court of the Superior Court of El Callao of October 28, 2008 (evidence file, folio 21), and Note of the Peruvian National Police of October 27, 2008 (evidence file, folio 11)</w:t>
      </w:r>
    </w:p>
  </w:footnote>
  <w:footnote w:id="132">
    <w:p w14:paraId="1E433659" w14:textId="1AA10C0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Provisional arrest warrant of October 28, 2008 (evidence file, folios 18 and 19).</w:t>
      </w:r>
      <w:proofErr w:type="gramEnd"/>
    </w:p>
  </w:footnote>
  <w:footnote w:id="133">
    <w:p w14:paraId="1388C1D0" w14:textId="1EA7AE5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Appeal filed on October 29, 2008 (evidence file, folio 24). </w:t>
      </w:r>
    </w:p>
  </w:footnote>
  <w:footnote w:id="134">
    <w:p w14:paraId="007FF500" w14:textId="61E36AB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of November 5, 2008, received on November 6, 2008 (evidence file, folios 32 and 33).</w:t>
      </w:r>
    </w:p>
  </w:footnote>
  <w:footnote w:id="135">
    <w:p w14:paraId="47E6A976" w14:textId="2D6A246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December 11, 2008, of the First Transitory Combined Superior Chamber </w:t>
      </w:r>
      <w:r w:rsidRPr="0079515C">
        <w:rPr>
          <w:spacing w:val="-4"/>
          <w:lang w:val="en-US"/>
        </w:rPr>
        <w:t>(evidence file, folios 43 and 44).</w:t>
      </w:r>
      <w:proofErr w:type="gramEnd"/>
    </w:p>
  </w:footnote>
  <w:footnote w:id="136">
    <w:p w14:paraId="76FFF100" w14:textId="0F2E92C3" w:rsidR="002306C1" w:rsidRPr="0079515C" w:rsidRDefault="002306C1" w:rsidP="00853044">
      <w:pPr>
        <w:pStyle w:val="FootnoteText"/>
        <w:tabs>
          <w:tab w:val="clear" w:pos="567"/>
          <w:tab w:val="left" w:pos="426"/>
        </w:tabs>
        <w:spacing w:before="120" w:after="120"/>
        <w:rPr>
          <w:b/>
          <w:color w:val="7030A0"/>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Release request of September 18, 2009 (evidence file, folio 6405).</w:t>
      </w:r>
      <w:proofErr w:type="gramEnd"/>
      <w:r w:rsidRPr="0079515C">
        <w:rPr>
          <w:spacing w:val="-4"/>
          <w:lang w:val="en-US"/>
        </w:rPr>
        <w:t xml:space="preserve"> </w:t>
      </w:r>
    </w:p>
  </w:footnote>
  <w:footnote w:id="137">
    <w:p w14:paraId="53CD9033" w14:textId="691C0C9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the Second Transitory Criminal Chamber of the Supreme Court of Justice of September 21, 2009 (evidence file, folio 8532).</w:t>
      </w:r>
    </w:p>
  </w:footnote>
  <w:footnote w:id="138">
    <w:p w14:paraId="1021D078" w14:textId="383A73D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Request for release on bail of August 5, 2010 (evidence file, folio 227).</w:t>
      </w:r>
      <w:proofErr w:type="gramEnd"/>
      <w:r w:rsidRPr="0079515C">
        <w:rPr>
          <w:spacing w:val="-4"/>
          <w:lang w:val="en-US"/>
        </w:rPr>
        <w:t xml:space="preserve"> </w:t>
      </w:r>
    </w:p>
  </w:footnote>
  <w:footnote w:id="139">
    <w:p w14:paraId="7C473A32" w14:textId="71008D3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October 19, 2010 (evidence file, folio 263).</w:t>
      </w:r>
    </w:p>
  </w:footnote>
  <w:footnote w:id="140">
    <w:p w14:paraId="53908F9E" w14:textId="0D893D5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Vote of Supreme Justice José Antonio </w:t>
      </w:r>
      <w:proofErr w:type="spellStart"/>
      <w:r w:rsidRPr="0079515C">
        <w:rPr>
          <w:spacing w:val="-4"/>
          <w:lang w:val="en-US"/>
        </w:rPr>
        <w:t>Neyra</w:t>
      </w:r>
      <w:proofErr w:type="spellEnd"/>
      <w:r w:rsidRPr="0079515C">
        <w:rPr>
          <w:spacing w:val="-4"/>
          <w:lang w:val="en-US"/>
        </w:rPr>
        <w:t xml:space="preserve"> Flores of October 13, 2010 (evidence file, folios 1608 to 1611); Vote of José Luis </w:t>
      </w:r>
      <w:proofErr w:type="spellStart"/>
      <w:r w:rsidRPr="0079515C">
        <w:rPr>
          <w:spacing w:val="-4"/>
          <w:lang w:val="en-US"/>
        </w:rPr>
        <w:t>Lecaros</w:t>
      </w:r>
      <w:proofErr w:type="spellEnd"/>
      <w:r w:rsidRPr="0079515C">
        <w:rPr>
          <w:spacing w:val="-4"/>
          <w:lang w:val="en-US"/>
        </w:rPr>
        <w:t xml:space="preserve"> Cornejo and Jorge </w:t>
      </w:r>
      <w:proofErr w:type="spellStart"/>
      <w:r w:rsidRPr="0079515C">
        <w:rPr>
          <w:spacing w:val="-4"/>
          <w:lang w:val="en-US"/>
        </w:rPr>
        <w:t>Calderón</w:t>
      </w:r>
      <w:proofErr w:type="spellEnd"/>
      <w:r w:rsidRPr="0079515C">
        <w:rPr>
          <w:spacing w:val="-4"/>
          <w:lang w:val="en-US"/>
        </w:rPr>
        <w:t xml:space="preserve"> Castillo of September 10, 2010 (evidence file, folio 1598), and Vote of Judge Santa </w:t>
      </w:r>
      <w:proofErr w:type="spellStart"/>
      <w:r w:rsidRPr="0079515C">
        <w:rPr>
          <w:spacing w:val="-4"/>
          <w:lang w:val="en-US"/>
        </w:rPr>
        <w:t>María</w:t>
      </w:r>
      <w:proofErr w:type="spellEnd"/>
      <w:r w:rsidRPr="0079515C">
        <w:rPr>
          <w:spacing w:val="-4"/>
          <w:lang w:val="en-US"/>
        </w:rPr>
        <w:t xml:space="preserve"> </w:t>
      </w:r>
      <w:proofErr w:type="spellStart"/>
      <w:r w:rsidRPr="0079515C">
        <w:rPr>
          <w:spacing w:val="-4"/>
          <w:lang w:val="en-US"/>
        </w:rPr>
        <w:t>Morillo</w:t>
      </w:r>
      <w:proofErr w:type="spellEnd"/>
      <w:r w:rsidRPr="0079515C">
        <w:rPr>
          <w:spacing w:val="-4"/>
          <w:lang w:val="en-US"/>
        </w:rPr>
        <w:t xml:space="preserve"> of September 30, 2010 (evidence file, folio 1601).</w:t>
      </w:r>
    </w:p>
  </w:footnote>
  <w:footnote w:id="141">
    <w:p w14:paraId="6BE27930" w14:textId="777503D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Vote of Supreme Justice José Antonio </w:t>
      </w:r>
      <w:proofErr w:type="spellStart"/>
      <w:r w:rsidRPr="0079515C">
        <w:rPr>
          <w:spacing w:val="-4"/>
          <w:lang w:val="en-US"/>
        </w:rPr>
        <w:t>Neyra</w:t>
      </w:r>
      <w:proofErr w:type="spellEnd"/>
      <w:r w:rsidRPr="0079515C">
        <w:rPr>
          <w:spacing w:val="-4"/>
          <w:lang w:val="en-US"/>
        </w:rPr>
        <w:t xml:space="preserve"> Flores of October 13, 2010 (evidence file, folios 1608 to 1611); Vote of  José Luis </w:t>
      </w:r>
      <w:proofErr w:type="spellStart"/>
      <w:r w:rsidRPr="0079515C">
        <w:rPr>
          <w:spacing w:val="-4"/>
          <w:lang w:val="en-US"/>
        </w:rPr>
        <w:t>Lecaros</w:t>
      </w:r>
      <w:proofErr w:type="spellEnd"/>
      <w:r w:rsidRPr="0079515C">
        <w:rPr>
          <w:spacing w:val="-4"/>
          <w:lang w:val="en-US"/>
        </w:rPr>
        <w:t xml:space="preserve"> Cornejo and Jorge </w:t>
      </w:r>
      <w:proofErr w:type="spellStart"/>
      <w:r w:rsidRPr="0079515C">
        <w:rPr>
          <w:spacing w:val="-4"/>
          <w:lang w:val="en-US"/>
        </w:rPr>
        <w:t>Calderón</w:t>
      </w:r>
      <w:proofErr w:type="spellEnd"/>
      <w:r w:rsidRPr="0079515C">
        <w:rPr>
          <w:spacing w:val="-4"/>
          <w:lang w:val="en-US"/>
        </w:rPr>
        <w:t xml:space="preserve"> Castillo of September 10, 2010 (evidence file, folio 1598), and Vote of Judge Santa </w:t>
      </w:r>
      <w:proofErr w:type="spellStart"/>
      <w:r w:rsidRPr="0079515C">
        <w:rPr>
          <w:spacing w:val="-4"/>
          <w:lang w:val="en-US"/>
        </w:rPr>
        <w:t>María</w:t>
      </w:r>
      <w:proofErr w:type="spellEnd"/>
      <w:r w:rsidRPr="0079515C">
        <w:rPr>
          <w:spacing w:val="-4"/>
          <w:lang w:val="en-US"/>
        </w:rPr>
        <w:t xml:space="preserve"> </w:t>
      </w:r>
      <w:proofErr w:type="spellStart"/>
      <w:r w:rsidRPr="0079515C">
        <w:rPr>
          <w:spacing w:val="-4"/>
          <w:lang w:val="en-US"/>
        </w:rPr>
        <w:t>Morillo</w:t>
      </w:r>
      <w:proofErr w:type="spellEnd"/>
      <w:r w:rsidRPr="0079515C">
        <w:rPr>
          <w:spacing w:val="-4"/>
          <w:lang w:val="en-US"/>
        </w:rPr>
        <w:t xml:space="preserve"> of September 30, 2010 (evidence file, folio 1602).</w:t>
      </w:r>
    </w:p>
  </w:footnote>
  <w:footnote w:id="142">
    <w:p w14:paraId="6A5009A4" w14:textId="47DC415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Vote of Supreme Justice José Antonio </w:t>
      </w:r>
      <w:proofErr w:type="spellStart"/>
      <w:r w:rsidRPr="0079515C">
        <w:rPr>
          <w:spacing w:val="-4"/>
          <w:lang w:val="en-US"/>
        </w:rPr>
        <w:t>Neyra</w:t>
      </w:r>
      <w:proofErr w:type="spellEnd"/>
      <w:r w:rsidRPr="0079515C">
        <w:rPr>
          <w:spacing w:val="-4"/>
          <w:lang w:val="en-US"/>
        </w:rPr>
        <w:t xml:space="preserve"> Flores of October 13, 2010 (evidence file, folios 1608 to 1611).</w:t>
      </w:r>
    </w:p>
  </w:footnote>
  <w:footnote w:id="143">
    <w:p w14:paraId="1B8EC54D" w14:textId="408CAE4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Vote of </w:t>
      </w:r>
      <w:r>
        <w:rPr>
          <w:spacing w:val="-4"/>
          <w:lang w:val="en-US"/>
        </w:rPr>
        <w:t xml:space="preserve">Judges </w:t>
      </w:r>
      <w:r w:rsidRPr="0079515C">
        <w:rPr>
          <w:spacing w:val="-4"/>
          <w:lang w:val="en-US"/>
        </w:rPr>
        <w:t xml:space="preserve">San Martín Castro, Prado </w:t>
      </w:r>
      <w:proofErr w:type="spellStart"/>
      <w:r w:rsidRPr="0079515C">
        <w:rPr>
          <w:spacing w:val="-4"/>
          <w:lang w:val="en-US"/>
        </w:rPr>
        <w:t>Saldarriaga</w:t>
      </w:r>
      <w:proofErr w:type="spellEnd"/>
      <w:r w:rsidRPr="0079515C">
        <w:rPr>
          <w:spacing w:val="-4"/>
          <w:lang w:val="en-US"/>
        </w:rPr>
        <w:t xml:space="preserve"> and Príncipe Trujillo of September 10, 2010 (evidence file, folios 1593 and 1594).</w:t>
      </w:r>
    </w:p>
  </w:footnote>
  <w:footnote w:id="144">
    <w:p w14:paraId="4F33E3F4" w14:textId="6F5A07D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Request dated October 5, 2011 (evidence file, folio 2724).</w:t>
      </w:r>
    </w:p>
  </w:footnote>
  <w:footnote w:id="145">
    <w:p w14:paraId="14BCDE56" w14:textId="66BF4FC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Decision of the Permanent Criminal Chamber of October 10, 2011 (evidence file, folio 304).</w:t>
      </w:r>
      <w:proofErr w:type="gramEnd"/>
    </w:p>
  </w:footnote>
  <w:footnote w:id="146">
    <w:p w14:paraId="2CAA42CA" w14:textId="2F6ADAD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Request dated October 18, 2011 (evidence file, folio 306).</w:t>
      </w:r>
    </w:p>
  </w:footnote>
  <w:footnote w:id="147">
    <w:p w14:paraId="1AD1060B" w14:textId="5E81ED3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Note of the Seventh Criminal Court of October 26, 2011</w:t>
      </w:r>
      <w:r>
        <w:rPr>
          <w:spacing w:val="-4"/>
          <w:lang w:val="en-US"/>
        </w:rPr>
        <w:t>,</w:t>
      </w:r>
      <w:r w:rsidRPr="0079515C">
        <w:rPr>
          <w:spacing w:val="-4"/>
          <w:lang w:val="en-US"/>
        </w:rPr>
        <w:t xml:space="preserve"> received on November 2, 2011 (evidence file, folio 318).</w:t>
      </w:r>
    </w:p>
  </w:footnote>
  <w:footnote w:id="148">
    <w:p w14:paraId="5FE1927C" w14:textId="09E8C6A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Request dated November 4, 2011 (evidence file, folio 320).</w:t>
      </w:r>
    </w:p>
  </w:footnote>
  <w:footnote w:id="149">
    <w:p w14:paraId="6BBD8B9E" w14:textId="017EB6C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Request dated November 8, 2011 (evidence file, folio 322). Additionally, following a request by the representative that he rule in this regard, on November 24, 2011, the Ombudsman sent a note to the Ministry of Justice asking it to forward the file of the provisional arrest so that he could decide the application for </w:t>
      </w:r>
      <w:r w:rsidRPr="0079515C">
        <w:rPr>
          <w:i/>
          <w:spacing w:val="-4"/>
          <w:lang w:val="en-US"/>
        </w:rPr>
        <w:t>habeas corpus</w:t>
      </w:r>
      <w:r w:rsidRPr="0079515C">
        <w:rPr>
          <w:spacing w:val="-4"/>
          <w:lang w:val="en-US"/>
        </w:rPr>
        <w:t xml:space="preserve"> and asked the Vice Minister of Justice for “a report on the objective reasons why the official in charge of the sector had not responded to the note of the Seventh Court of El Callao [requesting the provisional arrest file], and had not forwarded this file.” This request was answered on December 1, indicating that the court’s request had already been answered and that “any evaluation of the reasonableness of the time taken by the extradition process could not be made without considering the procedural activity of the defense of the individual</w:t>
      </w:r>
      <w:r>
        <w:rPr>
          <w:spacing w:val="-4"/>
          <w:lang w:val="en-US"/>
        </w:rPr>
        <w:t xml:space="preserve"> sought</w:t>
      </w:r>
      <w:r w:rsidRPr="0079515C">
        <w:rPr>
          <w:spacing w:val="-4"/>
          <w:lang w:val="en-US"/>
        </w:rPr>
        <w:t xml:space="preserve">.” </w:t>
      </w:r>
      <w:r w:rsidRPr="0079515C">
        <w:rPr>
          <w:i/>
          <w:spacing w:val="-4"/>
          <w:lang w:val="en-US"/>
        </w:rPr>
        <w:t xml:space="preserve">Cf. </w:t>
      </w:r>
      <w:r w:rsidRPr="0079515C">
        <w:rPr>
          <w:spacing w:val="-4"/>
          <w:lang w:val="en-US"/>
        </w:rPr>
        <w:t>Request dated November 21, 2011 (evidence file, folio 331); note of the Ombudsman of November 24, 2011 (evidence file, folios 315 and 316), and brief</w:t>
      </w:r>
      <w:r w:rsidRPr="0079515C">
        <w:rPr>
          <w:rFonts w:cs="Segoe UI"/>
          <w:color w:val="000000"/>
          <w:spacing w:val="-4"/>
          <w:lang w:val="en-US" w:eastAsia="es-MX"/>
        </w:rPr>
        <w:t xml:space="preserve"> of the Ministry of Justice of December 1, 2011 </w:t>
      </w:r>
      <w:r w:rsidRPr="0079515C">
        <w:rPr>
          <w:spacing w:val="-4"/>
          <w:lang w:val="en-US"/>
        </w:rPr>
        <w:t>(evidence file, folios 348 and 349).</w:t>
      </w:r>
    </w:p>
  </w:footnote>
  <w:footnote w:id="150">
    <w:p w14:paraId="61A20DCE" w14:textId="60A87B43" w:rsidR="002306C1" w:rsidRPr="0079515C" w:rsidRDefault="002306C1" w:rsidP="002B3582">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rFonts w:cs="Segoe UI"/>
          <w:color w:val="000000"/>
          <w:spacing w:val="-4"/>
          <w:lang w:val="en-US" w:eastAsia="es-MX"/>
        </w:rPr>
        <w:t>Note of November 25, 2011, to the 30</w:t>
      </w:r>
      <w:r w:rsidRPr="0079515C">
        <w:rPr>
          <w:rFonts w:cs="Segoe UI"/>
          <w:color w:val="000000"/>
          <w:spacing w:val="-4"/>
          <w:vertAlign w:val="superscript"/>
          <w:lang w:val="en-US" w:eastAsia="es-MX"/>
        </w:rPr>
        <w:t>th</w:t>
      </w:r>
      <w:r w:rsidRPr="0079515C">
        <w:rPr>
          <w:rFonts w:cs="Segoe UI"/>
          <w:color w:val="000000"/>
          <w:spacing w:val="-4"/>
          <w:lang w:val="en-US" w:eastAsia="es-MX"/>
        </w:rPr>
        <w:t xml:space="preserve"> Criminal Court of Lima </w:t>
      </w:r>
      <w:r w:rsidRPr="0079515C">
        <w:rPr>
          <w:spacing w:val="-4"/>
          <w:lang w:val="en-US"/>
        </w:rPr>
        <w:t>(evidence file, folios 6469 and 6470), and communication</w:t>
      </w:r>
      <w:r w:rsidRPr="0079515C">
        <w:rPr>
          <w:rFonts w:cs="Segoe UI"/>
          <w:color w:val="000000"/>
          <w:spacing w:val="-4"/>
          <w:lang w:val="en-US" w:eastAsia="es-MX"/>
        </w:rPr>
        <w:t xml:space="preserve"> of the Ministry of Justice of December 1, 2011 </w:t>
      </w:r>
      <w:r w:rsidRPr="0079515C">
        <w:rPr>
          <w:spacing w:val="-4"/>
          <w:lang w:val="en-US"/>
        </w:rPr>
        <w:t>(evidence file, folios 348 and 349).</w:t>
      </w:r>
      <w:proofErr w:type="gramEnd"/>
      <w:r w:rsidRPr="0079515C">
        <w:rPr>
          <w:spacing w:val="-4"/>
          <w:lang w:val="en-US"/>
        </w:rPr>
        <w:t xml:space="preserve"> The Office of Legal Advisory Services indicated that “it is necessary to comply with the request of the judge of </w:t>
      </w:r>
      <w:r w:rsidRPr="0079515C">
        <w:rPr>
          <w:rFonts w:cs="Arial"/>
          <w:spacing w:val="-4"/>
          <w:lang w:val="en-US"/>
        </w:rPr>
        <w:t>the Seventh Criminal Court of the Superior Court of Justice of El Callao, consisting in forwarding the documentation of the provisional arrest that forms part of the case file related to the passive extradition request of the Chinese citizen, Wong Ho Wing, because this is an order or demand made by the judge who is hearing the corresponding criminal proceeding.” In addition, it clarified that, as the Ministry of Justice does not have competence to deal with and/or decide release requests, the court’s note “constitute</w:t>
      </w:r>
      <w:r>
        <w:rPr>
          <w:rFonts w:cs="Arial"/>
          <w:spacing w:val="-4"/>
          <w:lang w:val="en-US"/>
        </w:rPr>
        <w:t>s</w:t>
      </w:r>
      <w:r w:rsidRPr="0079515C">
        <w:rPr>
          <w:rFonts w:cs="Arial"/>
          <w:spacing w:val="-4"/>
          <w:lang w:val="en-US"/>
        </w:rPr>
        <w:t xml:space="preserve"> a document that should be dealt with by the Ministry of Justice, without this signifying that it has </w:t>
      </w:r>
      <w:r>
        <w:rPr>
          <w:rFonts w:cs="Arial"/>
          <w:spacing w:val="-4"/>
          <w:lang w:val="en-US"/>
        </w:rPr>
        <w:t>decision-making powers</w:t>
      </w:r>
      <w:r w:rsidRPr="0079515C">
        <w:rPr>
          <w:rFonts w:cs="Arial"/>
          <w:spacing w:val="-4"/>
          <w:lang w:val="en-US"/>
        </w:rPr>
        <w:t>.”</w:t>
      </w:r>
    </w:p>
  </w:footnote>
  <w:footnote w:id="151">
    <w:p w14:paraId="014491AD" w14:textId="77777777" w:rsidR="002306C1" w:rsidRPr="0079515C" w:rsidRDefault="002306C1" w:rsidP="002B3582">
      <w:pPr>
        <w:tabs>
          <w:tab w:val="left" w:pos="426"/>
        </w:tabs>
        <w:autoSpaceDE w:val="0"/>
        <w:autoSpaceDN w:val="0"/>
        <w:adjustRightInd w:val="0"/>
        <w:spacing w:before="120" w:after="120"/>
        <w:rPr>
          <w:rFonts w:cs="Arial"/>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i/>
          <w:spacing w:val="-4"/>
          <w:sz w:val="16"/>
          <w:szCs w:val="16"/>
          <w:lang w:val="en-US"/>
        </w:rPr>
        <w:t xml:space="preserve">Cf. </w:t>
      </w:r>
      <w:r w:rsidRPr="0079515C">
        <w:rPr>
          <w:rFonts w:cs="Arial"/>
          <w:spacing w:val="-4"/>
          <w:sz w:val="16"/>
          <w:szCs w:val="16"/>
          <w:lang w:val="en-US"/>
        </w:rPr>
        <w:t>Note of November 24, 2011 (</w:t>
      </w:r>
      <w:r w:rsidRPr="0079515C">
        <w:rPr>
          <w:spacing w:val="-4"/>
          <w:sz w:val="16"/>
          <w:szCs w:val="16"/>
          <w:lang w:val="en-US"/>
        </w:rPr>
        <w:t>evidence file</w:t>
      </w:r>
      <w:r w:rsidRPr="0079515C">
        <w:rPr>
          <w:rFonts w:cs="Arial"/>
          <w:spacing w:val="-4"/>
          <w:sz w:val="16"/>
          <w:szCs w:val="16"/>
          <w:lang w:val="en-US"/>
        </w:rPr>
        <w:t>, folios 6466 and 6467).</w:t>
      </w:r>
      <w:proofErr w:type="gramEnd"/>
      <w:r w:rsidRPr="0079515C">
        <w:rPr>
          <w:rFonts w:cs="Arial"/>
          <w:spacing w:val="-4"/>
          <w:sz w:val="16"/>
          <w:szCs w:val="16"/>
          <w:lang w:val="en-US"/>
        </w:rPr>
        <w:t xml:space="preserve"> </w:t>
      </w:r>
    </w:p>
  </w:footnote>
  <w:footnote w:id="152">
    <w:p w14:paraId="76F142B9" w14:textId="663D8E14" w:rsidR="002306C1" w:rsidRPr="0079515C" w:rsidRDefault="002306C1" w:rsidP="00853044">
      <w:pPr>
        <w:pStyle w:val="FootnoteText"/>
        <w:tabs>
          <w:tab w:val="clear" w:pos="567"/>
          <w:tab w:val="left" w:pos="426"/>
          <w:tab w:val="left" w:pos="540"/>
        </w:tabs>
        <w:spacing w:before="120" w:after="120"/>
        <w:rPr>
          <w:spacing w:val="-4"/>
          <w:lang w:val="en-US"/>
        </w:rPr>
      </w:pPr>
      <w:r w:rsidRPr="0079515C">
        <w:rPr>
          <w:rStyle w:val="FootnoteReference"/>
          <w:spacing w:val="-4"/>
          <w:lang w:val="en-US"/>
        </w:rPr>
        <w:footnoteRef/>
      </w:r>
      <w:r w:rsidRPr="0079515C">
        <w:rPr>
          <w:i/>
          <w:spacing w:val="-4"/>
          <w:lang w:val="en-US"/>
        </w:rPr>
        <w:t xml:space="preserve"> </w:t>
      </w:r>
      <w:r w:rsidRPr="0079515C">
        <w:rPr>
          <w:i/>
          <w:spacing w:val="-4"/>
          <w:lang w:val="en-US"/>
        </w:rPr>
        <w:tab/>
      </w:r>
      <w:r w:rsidRPr="0079515C">
        <w:rPr>
          <w:spacing w:val="-4"/>
          <w:lang w:val="en-US"/>
        </w:rPr>
        <w:t xml:space="preserve">Note of November 25, 2011, to the Seventh Criminal Court of El Callao (evidence file, folios 6469 and 6470). On November 28, the Ministry of Justice sent another similar note to the 30th Criminal Court of Lima. </w:t>
      </w:r>
      <w:r w:rsidRPr="0079515C">
        <w:rPr>
          <w:i/>
          <w:spacing w:val="-4"/>
          <w:lang w:val="en-US"/>
        </w:rPr>
        <w:t xml:space="preserve">Cf. </w:t>
      </w:r>
      <w:r w:rsidRPr="0079515C">
        <w:rPr>
          <w:rFonts w:cs="Segoe UI"/>
          <w:color w:val="000000"/>
          <w:spacing w:val="-4"/>
          <w:lang w:val="en-US" w:eastAsia="es-MX"/>
        </w:rPr>
        <w:t xml:space="preserve">Communication of November 28, 2011, to the judge of the </w:t>
      </w:r>
      <w:r w:rsidRPr="0079515C">
        <w:rPr>
          <w:spacing w:val="-4"/>
          <w:lang w:val="en-US"/>
        </w:rPr>
        <w:t xml:space="preserve">30th Criminal Court of Lima (evidence file, folio 346). </w:t>
      </w:r>
      <w:r w:rsidRPr="0079515C">
        <w:rPr>
          <w:spacing w:val="-4"/>
          <w:lang w:val="en-US"/>
        </w:rPr>
        <w:tab/>
      </w:r>
    </w:p>
  </w:footnote>
  <w:footnote w:id="153">
    <w:p w14:paraId="2099A746" w14:textId="293CF48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 xml:space="preserve">Decision of the Seventh Criminal Court of El Callao of December 1, 2011 </w:t>
      </w:r>
      <w:r w:rsidRPr="0079515C">
        <w:rPr>
          <w:spacing w:val="-4"/>
          <w:lang w:val="en-US"/>
        </w:rPr>
        <w:t>(evidence file, folio 6472).</w:t>
      </w:r>
    </w:p>
  </w:footnote>
  <w:footnote w:id="154">
    <w:p w14:paraId="41B2E9D8" w14:textId="4096511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Application for </w:t>
      </w:r>
      <w:r w:rsidRPr="0079515C">
        <w:rPr>
          <w:i/>
          <w:spacing w:val="-4"/>
          <w:lang w:val="en-US"/>
        </w:rPr>
        <w:t>habeas corpus</w:t>
      </w:r>
      <w:r w:rsidRPr="0079515C">
        <w:rPr>
          <w:spacing w:val="-4"/>
          <w:lang w:val="en-US"/>
        </w:rPr>
        <w:t xml:space="preserve"> of November 16, 2011 (evidence file, folios 325 and 326).</w:t>
      </w:r>
    </w:p>
  </w:footnote>
  <w:footnote w:id="155">
    <w:p w14:paraId="07C1CCE7" w14:textId="4B8F0E1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Decision of the 30th Special Criminal Court of Lima of May 30, 2012 (evidence file, folios 6443 to 6448).</w:t>
      </w:r>
      <w:proofErr w:type="gramEnd"/>
    </w:p>
  </w:footnote>
  <w:footnote w:id="156">
    <w:p w14:paraId="30DE6DB2" w14:textId="3BDCD3E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Application for </w:t>
      </w:r>
      <w:r w:rsidRPr="0079515C">
        <w:rPr>
          <w:i/>
          <w:spacing w:val="-4"/>
          <w:lang w:val="en-US"/>
        </w:rPr>
        <w:t>habeas corpus</w:t>
      </w:r>
      <w:r w:rsidRPr="0079515C">
        <w:rPr>
          <w:spacing w:val="-4"/>
          <w:lang w:val="en-US"/>
        </w:rPr>
        <w:t xml:space="preserve"> of </w:t>
      </w:r>
      <w:r w:rsidRPr="0079515C">
        <w:rPr>
          <w:rFonts w:cs="Segoe UI"/>
          <w:color w:val="000000"/>
          <w:spacing w:val="-4"/>
          <w:lang w:val="en-US" w:eastAsia="es-MX"/>
        </w:rPr>
        <w:t xml:space="preserve">April 26, 2013 </w:t>
      </w:r>
      <w:r w:rsidRPr="0079515C">
        <w:rPr>
          <w:spacing w:val="-4"/>
          <w:lang w:val="en-US"/>
        </w:rPr>
        <w:t>(evidence file, folio 6086).</w:t>
      </w:r>
      <w:proofErr w:type="gramEnd"/>
    </w:p>
  </w:footnote>
  <w:footnote w:id="157">
    <w:p w14:paraId="60230CD8" w14:textId="21BA371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Judgment of the 33rd Criminal Court of October 24, 2014 </w:t>
      </w:r>
      <w:r w:rsidRPr="0079515C">
        <w:rPr>
          <w:spacing w:val="-4"/>
          <w:lang w:val="en-US"/>
        </w:rPr>
        <w:t>(evidence file, folios 8538 and 8539).</w:t>
      </w:r>
      <w:proofErr w:type="gramEnd"/>
    </w:p>
  </w:footnote>
  <w:footnote w:id="158">
    <w:p w14:paraId="3BB0A9BD" w14:textId="5F1EA3D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rFonts w:cs="Segoe UI"/>
          <w:color w:val="000000"/>
          <w:spacing w:val="-4"/>
          <w:lang w:val="en-US" w:eastAsia="es-MX"/>
        </w:rPr>
        <w:t xml:space="preserve">Brief of the representative of November 20, 2013 </w:t>
      </w:r>
      <w:r w:rsidRPr="0079515C">
        <w:rPr>
          <w:spacing w:val="-4"/>
          <w:lang w:val="en-US"/>
        </w:rPr>
        <w:t>(evidence file, folio 6450).</w:t>
      </w:r>
      <w:proofErr w:type="gramEnd"/>
      <w:r w:rsidRPr="0079515C">
        <w:rPr>
          <w:spacing w:val="-4"/>
          <w:lang w:val="en-US"/>
        </w:rPr>
        <w:t xml:space="preserve"> </w:t>
      </w:r>
    </w:p>
  </w:footnote>
  <w:footnote w:id="159">
    <w:p w14:paraId="036C8763" w14:textId="7B46600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Brief of January 24, 2014 </w:t>
      </w:r>
      <w:r w:rsidRPr="0079515C">
        <w:rPr>
          <w:spacing w:val="-4"/>
          <w:lang w:val="en-US"/>
        </w:rPr>
        <w:t>(evidence file, folio 6118).</w:t>
      </w:r>
      <w:proofErr w:type="gramEnd"/>
    </w:p>
  </w:footnote>
  <w:footnote w:id="160">
    <w:p w14:paraId="75929EA1" w14:textId="56DFB1A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of the Secretary-Rapporteur of the Constitutional Court of January 27, 2014 (evidence file, folio 8545).</w:t>
      </w:r>
    </w:p>
  </w:footnote>
  <w:footnote w:id="161">
    <w:p w14:paraId="14DC7323" w14:textId="2013451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6459).</w:t>
      </w:r>
      <w:proofErr w:type="gramEnd"/>
    </w:p>
  </w:footnote>
  <w:footnote w:id="162">
    <w:p w14:paraId="6839C7E0" w14:textId="4A83584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6463).</w:t>
      </w:r>
      <w:proofErr w:type="gramEnd"/>
    </w:p>
  </w:footnote>
  <w:footnote w:id="163">
    <w:p w14:paraId="0BB5C521" w14:textId="1D09872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6463).</w:t>
      </w:r>
      <w:proofErr w:type="gramEnd"/>
    </w:p>
  </w:footnote>
  <w:footnote w:id="164">
    <w:p w14:paraId="575833EA" w14:textId="1F64BD4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6464).</w:t>
      </w:r>
      <w:proofErr w:type="gramEnd"/>
    </w:p>
  </w:footnote>
  <w:footnote w:id="165">
    <w:p w14:paraId="6DCC894C" w14:textId="03415CB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 xml:space="preserve">Decision of the Seventh Criminal Court of El Callao of March 24, 2014 </w:t>
      </w:r>
      <w:r w:rsidRPr="0079515C">
        <w:rPr>
          <w:spacing w:val="-4"/>
          <w:lang w:val="en-US"/>
        </w:rPr>
        <w:t>(evidence file, folio 6453). See also, affidavit made by Wong Ho Wing on August 1, 2014 (evidence file, folio 6850).</w:t>
      </w:r>
    </w:p>
  </w:footnote>
  <w:footnote w:id="166">
    <w:p w14:paraId="5ABC1B06" w14:textId="321EA5D5" w:rsidR="002306C1" w:rsidRPr="0079515C" w:rsidRDefault="002306C1" w:rsidP="00853044">
      <w:pPr>
        <w:pStyle w:val="FootnoteText"/>
        <w:tabs>
          <w:tab w:val="clear" w:pos="567"/>
          <w:tab w:val="left" w:pos="426"/>
        </w:tabs>
        <w:spacing w:before="120" w:after="120"/>
        <w:rPr>
          <w:rFonts w:cs="Segoe UI"/>
          <w:color w:val="000000"/>
          <w:spacing w:val="-4"/>
          <w:lang w:val="en-US" w:eastAsia="es-MX"/>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Request of the representative of March 3, 2015 (merits file, folios 1240 to 1247).</w:t>
      </w:r>
    </w:p>
  </w:footnote>
  <w:footnote w:id="167">
    <w:p w14:paraId="7D659D1A" w14:textId="4761185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rFonts w:cs="Segoe UI"/>
          <w:color w:val="000000"/>
          <w:spacing w:val="-4"/>
          <w:lang w:val="en-US" w:eastAsia="es-MX"/>
        </w:rPr>
        <w:t>Decision of the Seventh Criminal Court of June 3, 2015 (merits file, folios 1307 to 1311)</w:t>
      </w:r>
    </w:p>
  </w:footnote>
  <w:footnote w:id="168">
    <w:p w14:paraId="3E48EC2D" w14:textId="7BD2B98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Appeal of June 11, 2015 (merits file, folios 1325 to 1331).</w:t>
      </w:r>
    </w:p>
  </w:footnote>
  <w:footnote w:id="169">
    <w:p w14:paraId="7C6E1115" w14:textId="222D246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Cs w:val="0"/>
          <w:color w:val="000000"/>
          <w:spacing w:val="-4"/>
          <w:lang w:val="en-US"/>
        </w:rPr>
        <w:t xml:space="preserve"> </w:t>
      </w:r>
      <w:r w:rsidRPr="0079515C">
        <w:rPr>
          <w:bCs w:val="0"/>
          <w:i/>
          <w:color w:val="000000"/>
          <w:spacing w:val="-4"/>
          <w:lang w:val="en-US"/>
        </w:rPr>
        <w:t xml:space="preserve">Case of </w:t>
      </w:r>
      <w:proofErr w:type="spellStart"/>
      <w:r w:rsidRPr="0079515C">
        <w:rPr>
          <w:bCs w:val="0"/>
          <w:i/>
          <w:color w:val="000000"/>
          <w:spacing w:val="-4"/>
          <w:lang w:val="en-US"/>
        </w:rPr>
        <w:t>Goiburú</w:t>
      </w:r>
      <w:proofErr w:type="spellEnd"/>
      <w:r w:rsidRPr="0079515C">
        <w:rPr>
          <w:bCs w:val="0"/>
          <w:i/>
          <w:color w:val="000000"/>
          <w:spacing w:val="-4"/>
          <w:lang w:val="en-US"/>
        </w:rPr>
        <w:t xml:space="preserve"> et al. v. Paraguay.</w:t>
      </w:r>
      <w:proofErr w:type="gramEnd"/>
      <w:r w:rsidRPr="0079515C">
        <w:rPr>
          <w:bCs w:val="0"/>
          <w:i/>
          <w:color w:val="000000"/>
          <w:spacing w:val="-4"/>
          <w:lang w:val="en-US"/>
        </w:rPr>
        <w:t xml:space="preserve"> </w:t>
      </w:r>
      <w:proofErr w:type="gramStart"/>
      <w:r w:rsidRPr="0079515C">
        <w:rPr>
          <w:i/>
          <w:color w:val="000000"/>
          <w:spacing w:val="-4"/>
          <w:lang w:val="en-US"/>
        </w:rPr>
        <w:t>Merits, reparations and costs</w:t>
      </w:r>
      <w:r w:rsidRPr="0079515C">
        <w:rPr>
          <w:color w:val="000000"/>
          <w:spacing w:val="-4"/>
          <w:lang w:val="en-US"/>
        </w:rPr>
        <w:t>.</w:t>
      </w:r>
      <w:proofErr w:type="gramEnd"/>
      <w:r w:rsidRPr="0079515C">
        <w:rPr>
          <w:color w:val="000000"/>
          <w:spacing w:val="-4"/>
          <w:lang w:val="en-US"/>
        </w:rPr>
        <w:t xml:space="preserve"> Judgment of September 22, 2006. </w:t>
      </w:r>
      <w:r w:rsidRPr="0039093A">
        <w:rPr>
          <w:color w:val="000000"/>
          <w:spacing w:val="-4"/>
        </w:rPr>
        <w:t xml:space="preserve">Series C No. 153, para. 132; </w:t>
      </w:r>
      <w:r w:rsidRPr="0039093A">
        <w:rPr>
          <w:rFonts w:cs="Verdana,Italic"/>
          <w:i/>
          <w:iCs/>
          <w:spacing w:val="-4"/>
        </w:rPr>
        <w:t xml:space="preserve">Case of La Cantuta v. </w:t>
      </w:r>
      <w:proofErr w:type="spellStart"/>
      <w:r w:rsidRPr="0039093A">
        <w:rPr>
          <w:rFonts w:cs="Verdana,Italic"/>
          <w:i/>
          <w:iCs/>
          <w:spacing w:val="-4"/>
        </w:rPr>
        <w:t>Peru</w:t>
      </w:r>
      <w:proofErr w:type="spellEnd"/>
      <w:r w:rsidRPr="0039093A">
        <w:rPr>
          <w:rFonts w:cs="Verdana,BoldItalic"/>
          <w:bCs w:val="0"/>
          <w:i/>
          <w:iCs/>
          <w:spacing w:val="-4"/>
        </w:rPr>
        <w:t>.</w:t>
      </w:r>
      <w:r w:rsidRPr="0039093A">
        <w:rPr>
          <w:rFonts w:cs="Verdana,BoldItalic"/>
          <w:b/>
          <w:bCs w:val="0"/>
          <w:i/>
          <w:iCs/>
          <w:spacing w:val="-4"/>
        </w:rPr>
        <w:t xml:space="preserve"> </w:t>
      </w:r>
      <w:proofErr w:type="gramStart"/>
      <w:r w:rsidRPr="0079515C">
        <w:rPr>
          <w:rFonts w:cs="Verdana,Italic"/>
          <w:i/>
          <w:iCs/>
          <w:spacing w:val="-4"/>
          <w:lang w:val="en-US"/>
        </w:rPr>
        <w:t>Merits, reparations and costs</w:t>
      </w:r>
      <w:r w:rsidRPr="0079515C">
        <w:rPr>
          <w:spacing w:val="-4"/>
          <w:lang w:val="en-US"/>
        </w:rPr>
        <w:t>.</w:t>
      </w:r>
      <w:proofErr w:type="gramEnd"/>
      <w:r w:rsidRPr="0079515C">
        <w:rPr>
          <w:spacing w:val="-4"/>
          <w:lang w:val="en-US"/>
        </w:rPr>
        <w:t xml:space="preserve"> Judgment of November 29, 2006. Series C No. 162, paras. 159 and 160; </w:t>
      </w:r>
      <w:r w:rsidRPr="0079515C">
        <w:rPr>
          <w:bCs w:val="0"/>
          <w:i/>
          <w:color w:val="000000"/>
          <w:spacing w:val="-4"/>
          <w:lang w:val="en-US"/>
        </w:rPr>
        <w:t xml:space="preserve">Case of the </w:t>
      </w:r>
      <w:proofErr w:type="spellStart"/>
      <w:r w:rsidRPr="0079515C">
        <w:rPr>
          <w:bCs w:val="0"/>
          <w:i/>
          <w:color w:val="000000"/>
          <w:spacing w:val="-4"/>
          <w:lang w:val="en-US"/>
        </w:rPr>
        <w:t>Ituango</w:t>
      </w:r>
      <w:proofErr w:type="spellEnd"/>
      <w:r w:rsidRPr="0079515C">
        <w:rPr>
          <w:bCs w:val="0"/>
          <w:i/>
          <w:color w:val="000000"/>
          <w:spacing w:val="-4"/>
          <w:lang w:val="en-US"/>
        </w:rPr>
        <w:t xml:space="preserve"> Massacres v. Colombia.</w:t>
      </w:r>
      <w:r w:rsidRPr="0079515C">
        <w:rPr>
          <w:i/>
          <w:color w:val="000000"/>
          <w:spacing w:val="-4"/>
          <w:lang w:val="en-US"/>
        </w:rPr>
        <w:t xml:space="preserve"> </w:t>
      </w:r>
      <w:proofErr w:type="gramStart"/>
      <w:r w:rsidRPr="0079515C">
        <w:rPr>
          <w:i/>
          <w:color w:val="000000"/>
          <w:spacing w:val="-4"/>
          <w:lang w:val="en-US"/>
        </w:rPr>
        <w:t>Monitoring compliance with judgment</w:t>
      </w:r>
      <w:r w:rsidRPr="0079515C">
        <w:rPr>
          <w:color w:val="000000"/>
          <w:spacing w:val="-4"/>
          <w:lang w:val="en-US"/>
        </w:rPr>
        <w:t>.</w:t>
      </w:r>
      <w:proofErr w:type="gramEnd"/>
      <w:r w:rsidRPr="0079515C">
        <w:rPr>
          <w:color w:val="000000"/>
          <w:spacing w:val="-4"/>
          <w:lang w:val="en-US"/>
        </w:rPr>
        <w:t xml:space="preserve"> </w:t>
      </w:r>
      <w:proofErr w:type="gramStart"/>
      <w:r w:rsidRPr="0079515C">
        <w:rPr>
          <w:color w:val="000000"/>
          <w:spacing w:val="-4"/>
          <w:lang w:val="en-US"/>
        </w:rPr>
        <w:t xml:space="preserve">Order of the Court of July 7, 2009, </w:t>
      </w:r>
      <w:proofErr w:type="spellStart"/>
      <w:r w:rsidRPr="0079515C">
        <w:rPr>
          <w:i/>
          <w:color w:val="000000"/>
          <w:spacing w:val="-4"/>
          <w:lang w:val="en-US"/>
        </w:rPr>
        <w:t>considerandum</w:t>
      </w:r>
      <w:proofErr w:type="spellEnd"/>
      <w:r w:rsidRPr="0079515C">
        <w:rPr>
          <w:color w:val="000000"/>
          <w:spacing w:val="-4"/>
          <w:lang w:val="en-US"/>
        </w:rPr>
        <w:t xml:space="preserve"> 19, and </w:t>
      </w:r>
      <w:r w:rsidRPr="0079515C">
        <w:rPr>
          <w:bCs w:val="0"/>
          <w:i/>
          <w:color w:val="000000"/>
          <w:spacing w:val="-4"/>
          <w:lang w:val="en-US"/>
        </w:rPr>
        <w:t xml:space="preserve">Case of the </w:t>
      </w:r>
      <w:proofErr w:type="spellStart"/>
      <w:r w:rsidRPr="0079515C">
        <w:rPr>
          <w:bCs w:val="0"/>
          <w:i/>
          <w:color w:val="000000"/>
          <w:spacing w:val="-4"/>
          <w:lang w:val="en-US"/>
        </w:rPr>
        <w:t>Mapiripán</w:t>
      </w:r>
      <w:proofErr w:type="spellEnd"/>
      <w:r w:rsidRPr="0079515C">
        <w:rPr>
          <w:bCs w:val="0"/>
          <w:i/>
          <w:color w:val="000000"/>
          <w:spacing w:val="-4"/>
          <w:lang w:val="en-US"/>
        </w:rPr>
        <w:t xml:space="preserve"> Massacre v. Colombia.</w:t>
      </w:r>
      <w:proofErr w:type="gramEnd"/>
      <w:r w:rsidRPr="0079515C">
        <w:rPr>
          <w:i/>
          <w:color w:val="000000"/>
          <w:spacing w:val="-4"/>
          <w:lang w:val="en-US"/>
        </w:rPr>
        <w:t xml:space="preserve"> </w:t>
      </w:r>
      <w:proofErr w:type="gramStart"/>
      <w:r w:rsidRPr="0079515C">
        <w:rPr>
          <w:i/>
          <w:color w:val="000000"/>
          <w:spacing w:val="-4"/>
          <w:lang w:val="en-US"/>
        </w:rPr>
        <w:t>Monitoring compliance with judgment</w:t>
      </w:r>
      <w:r w:rsidRPr="0079515C">
        <w:rPr>
          <w:color w:val="000000"/>
          <w:spacing w:val="-4"/>
          <w:lang w:val="en-US"/>
        </w:rPr>
        <w:t>.</w:t>
      </w:r>
      <w:proofErr w:type="gramEnd"/>
      <w:r w:rsidRPr="0079515C">
        <w:rPr>
          <w:color w:val="000000"/>
          <w:spacing w:val="-4"/>
          <w:lang w:val="en-US"/>
        </w:rPr>
        <w:t xml:space="preserve"> </w:t>
      </w:r>
      <w:proofErr w:type="gramStart"/>
      <w:r w:rsidRPr="0079515C">
        <w:rPr>
          <w:color w:val="000000"/>
          <w:spacing w:val="-4"/>
          <w:lang w:val="en-US"/>
        </w:rPr>
        <w:t xml:space="preserve">Order of the Court of July 8, 2009, </w:t>
      </w:r>
      <w:proofErr w:type="spellStart"/>
      <w:r w:rsidRPr="0079515C">
        <w:rPr>
          <w:i/>
          <w:color w:val="000000"/>
          <w:spacing w:val="-4"/>
          <w:lang w:val="en-US"/>
        </w:rPr>
        <w:t>consideranda</w:t>
      </w:r>
      <w:proofErr w:type="spellEnd"/>
      <w:r w:rsidRPr="0079515C">
        <w:rPr>
          <w:color w:val="000000"/>
          <w:spacing w:val="-4"/>
          <w:lang w:val="en-US"/>
        </w:rPr>
        <w:t xml:space="preserve"> 40 and 41.</w:t>
      </w:r>
      <w:proofErr w:type="gramEnd"/>
    </w:p>
  </w:footnote>
  <w:footnote w:id="170">
    <w:p w14:paraId="25924F9C" w14:textId="3740CEA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 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May 28, 2010, </w:t>
      </w:r>
      <w:proofErr w:type="spellStart"/>
      <w:r w:rsidRPr="0079515C">
        <w:rPr>
          <w:i/>
          <w:color w:val="000000"/>
          <w:spacing w:val="-4"/>
          <w:lang w:val="en-US"/>
        </w:rPr>
        <w:t>considerandum</w:t>
      </w:r>
      <w:proofErr w:type="spellEnd"/>
      <w:r w:rsidRPr="0079515C">
        <w:rPr>
          <w:spacing w:val="-4"/>
          <w:lang w:val="en-US"/>
        </w:rPr>
        <w:t xml:space="preserve"> 16, and </w:t>
      </w:r>
      <w:r w:rsidRPr="0079515C">
        <w:rPr>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the Republic of Peru.</w:t>
      </w:r>
      <w:proofErr w:type="gramEnd"/>
      <w:r w:rsidRPr="0079515C">
        <w:rPr>
          <w:spacing w:val="-4"/>
          <w:lang w:val="en-US"/>
        </w:rPr>
        <w:t xml:space="preserve"> </w:t>
      </w:r>
      <w:proofErr w:type="gramStart"/>
      <w:r w:rsidRPr="0079515C">
        <w:rPr>
          <w:spacing w:val="-4"/>
          <w:lang w:val="en-US"/>
        </w:rPr>
        <w:t xml:space="preserve">Order of the Court of January 29, 2014, </w:t>
      </w:r>
      <w:proofErr w:type="spellStart"/>
      <w:r w:rsidRPr="0079515C">
        <w:rPr>
          <w:i/>
          <w:color w:val="000000"/>
          <w:spacing w:val="-4"/>
          <w:lang w:val="en-US"/>
        </w:rPr>
        <w:t>considerandum</w:t>
      </w:r>
      <w:proofErr w:type="spellEnd"/>
      <w:r w:rsidRPr="0079515C">
        <w:rPr>
          <w:spacing w:val="-4"/>
          <w:lang w:val="en-US"/>
        </w:rPr>
        <w:t xml:space="preserve"> 13.</w:t>
      </w:r>
      <w:proofErr w:type="gramEnd"/>
    </w:p>
  </w:footnote>
  <w:footnote w:id="171">
    <w:p w14:paraId="7904EC9C" w14:textId="20656D94"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i/>
          <w:iCs/>
          <w:spacing w:val="-4"/>
          <w:sz w:val="16"/>
          <w:szCs w:val="16"/>
          <w:lang w:val="en-US"/>
        </w:rPr>
        <w:t>Cf. Case of the Pueblo Bello Massacre v. Colombia.</w:t>
      </w:r>
      <w:proofErr w:type="gramEnd"/>
      <w:r w:rsidRPr="0079515C">
        <w:rPr>
          <w:i/>
          <w:iCs/>
          <w:spacing w:val="-4"/>
          <w:sz w:val="16"/>
          <w:szCs w:val="16"/>
          <w:lang w:val="en-US"/>
        </w:rPr>
        <w:t xml:space="preserve"> </w:t>
      </w:r>
      <w:proofErr w:type="gramStart"/>
      <w:r w:rsidRPr="0079515C">
        <w:rPr>
          <w:i/>
          <w:iCs/>
          <w:spacing w:val="-4"/>
          <w:sz w:val="16"/>
          <w:szCs w:val="16"/>
          <w:lang w:val="en-US"/>
        </w:rPr>
        <w:t>Merits, reparations and costs</w:t>
      </w:r>
      <w:r w:rsidRPr="0079515C">
        <w:rPr>
          <w:spacing w:val="-4"/>
          <w:sz w:val="16"/>
          <w:szCs w:val="16"/>
          <w:lang w:val="en-US"/>
        </w:rPr>
        <w:t>.</w:t>
      </w:r>
      <w:proofErr w:type="gramEnd"/>
      <w:r w:rsidRPr="0079515C">
        <w:rPr>
          <w:spacing w:val="-4"/>
          <w:sz w:val="16"/>
          <w:szCs w:val="16"/>
          <w:lang w:val="en-US"/>
        </w:rPr>
        <w:t xml:space="preserve"> Judgment of January 31, 2006. Series C No. 140, para. </w:t>
      </w:r>
      <w:proofErr w:type="gramStart"/>
      <w:r w:rsidRPr="0079515C">
        <w:rPr>
          <w:spacing w:val="-4"/>
          <w:sz w:val="16"/>
          <w:szCs w:val="16"/>
          <w:lang w:val="en-US"/>
        </w:rPr>
        <w:t>111,</w:t>
      </w:r>
      <w:proofErr w:type="gramEnd"/>
      <w:r w:rsidRPr="0079515C">
        <w:rPr>
          <w:spacing w:val="-4"/>
          <w:sz w:val="16"/>
          <w:szCs w:val="16"/>
          <w:lang w:val="en-US"/>
        </w:rPr>
        <w:t xml:space="preserve"> and </w:t>
      </w:r>
      <w:r w:rsidRPr="0079515C">
        <w:rPr>
          <w:i/>
          <w:spacing w:val="-4"/>
          <w:sz w:val="16"/>
          <w:szCs w:val="16"/>
          <w:lang w:val="en-US"/>
        </w:rPr>
        <w:t xml:space="preserve">Case of the Pacheco </w:t>
      </w:r>
      <w:proofErr w:type="spellStart"/>
      <w:r w:rsidRPr="0079515C">
        <w:rPr>
          <w:i/>
          <w:spacing w:val="-4"/>
          <w:sz w:val="16"/>
          <w:szCs w:val="16"/>
          <w:lang w:val="en-US"/>
        </w:rPr>
        <w:t>Tineo</w:t>
      </w:r>
      <w:proofErr w:type="spellEnd"/>
      <w:r w:rsidRPr="0079515C">
        <w:rPr>
          <w:i/>
          <w:spacing w:val="-4"/>
          <w:sz w:val="16"/>
          <w:szCs w:val="16"/>
          <w:lang w:val="en-US"/>
        </w:rPr>
        <w:t xml:space="preserve"> Family v. Bolivia, </w:t>
      </w:r>
      <w:r w:rsidRPr="0079515C">
        <w:rPr>
          <w:rStyle w:val="Strong"/>
          <w:b w:val="0"/>
          <w:i/>
          <w:color w:val="000000"/>
          <w:spacing w:val="-4"/>
          <w:sz w:val="16"/>
          <w:szCs w:val="16"/>
          <w:shd w:val="clear" w:color="auto" w:fill="FFFFFF"/>
          <w:lang w:val="en-US"/>
        </w:rPr>
        <w:t>Preliminary objections, merits, reparations and costs.</w:t>
      </w:r>
      <w:r w:rsidRPr="0079515C">
        <w:rPr>
          <w:rStyle w:val="Strong"/>
          <w:b w:val="0"/>
          <w:color w:val="000000"/>
          <w:spacing w:val="-4"/>
          <w:sz w:val="16"/>
          <w:szCs w:val="16"/>
          <w:shd w:val="clear" w:color="auto" w:fill="FFFFFF"/>
          <w:lang w:val="en-US"/>
        </w:rPr>
        <w:t xml:space="preserve"> Judgment of November 25, 2013. Series C No. 272</w:t>
      </w:r>
      <w:r w:rsidRPr="0079515C">
        <w:rPr>
          <w:b/>
          <w:spacing w:val="-4"/>
          <w:sz w:val="16"/>
          <w:szCs w:val="16"/>
          <w:lang w:val="en-US"/>
        </w:rPr>
        <w:t>,</w:t>
      </w:r>
      <w:r w:rsidRPr="0079515C">
        <w:rPr>
          <w:spacing w:val="-4"/>
          <w:sz w:val="16"/>
          <w:szCs w:val="16"/>
          <w:lang w:val="en-US"/>
        </w:rPr>
        <w:t xml:space="preserve"> para. 128.</w:t>
      </w:r>
    </w:p>
  </w:footnote>
  <w:footnote w:id="172">
    <w:p w14:paraId="0C309AB3" w14:textId="1F4CBE6B" w:rsidR="002306C1" w:rsidRPr="0079515C" w:rsidRDefault="002306C1" w:rsidP="008A3625">
      <w:pPr>
        <w:tabs>
          <w:tab w:val="left" w:pos="480"/>
          <w:tab w:val="left" w:pos="1080"/>
          <w:tab w:val="left" w:pos="1680"/>
          <w:tab w:val="left" w:pos="5400"/>
        </w:tabs>
        <w:suppressAutoHyphens/>
        <w:spacing w:before="120" w:after="120"/>
        <w:rPr>
          <w:spacing w:val="-3"/>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The relevant part of Article 4 of the Convention establishes that: “E</w:t>
      </w:r>
      <w:r w:rsidRPr="0079515C">
        <w:rPr>
          <w:spacing w:val="-3"/>
          <w:sz w:val="16"/>
          <w:szCs w:val="16"/>
          <w:lang w:val="en-US"/>
        </w:rPr>
        <w:t>very person has the right to have his life respected.  This right shall be protected by law and, in general, from the moment of conception.  No one shall be arbitrarily deprived of his life. 2. In countries that have not abolished the death penalty, it may be imposed only for the most serious crimes and pursuant to a final judgment rendered by a competent court and in accordance with a law establishing such punishment, enacted prior to the commission of the crime. The application of such punishment shall not be extended to crimes to which it does not presently apply. 3. The death penalty shall not be reestablished in States that have abolished it. 4. In no case shall capital punishment be inflicted for political offenses or related common crimes.”</w:t>
      </w:r>
    </w:p>
  </w:footnote>
  <w:footnote w:id="173">
    <w:p w14:paraId="683547DB" w14:textId="754390E1" w:rsidR="002306C1" w:rsidRPr="0079515C" w:rsidRDefault="002306C1" w:rsidP="008A3625">
      <w:pPr>
        <w:tabs>
          <w:tab w:val="left" w:pos="480"/>
          <w:tab w:val="left" w:pos="1080"/>
          <w:tab w:val="left" w:pos="1680"/>
          <w:tab w:val="left" w:pos="5400"/>
        </w:tabs>
        <w:suppressAutoHyphens/>
        <w:spacing w:before="120" w:after="120"/>
        <w:rPr>
          <w:spacing w:val="-3"/>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The relevant part of Article 5 of the Convention establishes that:</w:t>
      </w:r>
      <w:r w:rsidRPr="0079515C">
        <w:rPr>
          <w:rFonts w:cs="Tahoma"/>
          <w:color w:val="000000"/>
          <w:spacing w:val="-4"/>
          <w:sz w:val="16"/>
          <w:szCs w:val="16"/>
          <w:lang w:val="en-US"/>
        </w:rPr>
        <w:t xml:space="preserve"> </w:t>
      </w:r>
      <w:r w:rsidRPr="0079515C">
        <w:rPr>
          <w:spacing w:val="-4"/>
          <w:sz w:val="16"/>
          <w:szCs w:val="16"/>
          <w:lang w:val="en-US"/>
        </w:rPr>
        <w:t xml:space="preserve">“1. </w:t>
      </w:r>
      <w:proofErr w:type="gramStart"/>
      <w:r w:rsidRPr="0079515C">
        <w:rPr>
          <w:spacing w:val="-3"/>
          <w:sz w:val="16"/>
          <w:szCs w:val="16"/>
          <w:lang w:val="en-US"/>
        </w:rPr>
        <w:t>Every</w:t>
      </w:r>
      <w:proofErr w:type="gramEnd"/>
      <w:r w:rsidRPr="0079515C">
        <w:rPr>
          <w:spacing w:val="-3"/>
          <w:sz w:val="16"/>
          <w:szCs w:val="16"/>
          <w:lang w:val="en-US"/>
        </w:rPr>
        <w:t xml:space="preserve"> person has the right to have his physical, mental, and moral integrity respected. 2. No one shall be subjected to torture or to cruel, inhuman, or degrading punishment or treatment.  All persons deprived of their liberty shall be treated with respect for the inherent dignity of the human person.”</w:t>
      </w:r>
    </w:p>
  </w:footnote>
  <w:footnote w:id="174">
    <w:p w14:paraId="04FE9D81" w14:textId="1289C67E" w:rsidR="002306C1" w:rsidRPr="0079515C" w:rsidRDefault="002306C1" w:rsidP="005A23C0">
      <w:pPr>
        <w:tabs>
          <w:tab w:val="left" w:pos="480"/>
          <w:tab w:val="left" w:pos="1080"/>
          <w:tab w:val="left" w:pos="1680"/>
          <w:tab w:val="left" w:pos="5400"/>
        </w:tabs>
        <w:suppressAutoHyphens/>
        <w:rPr>
          <w:spacing w:val="-3"/>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Article 1(1) of the Convention establishes that: “</w:t>
      </w:r>
      <w:r w:rsidRPr="0079515C">
        <w:rPr>
          <w:spacing w:val="-3"/>
          <w:sz w:val="16"/>
          <w:szCs w:val="16"/>
          <w:lang w:val="en-US"/>
        </w:rPr>
        <w:t>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footnote>
  <w:footnote w:id="175">
    <w:p w14:paraId="415676CA" w14:textId="07B78038" w:rsidR="002306C1" w:rsidRPr="0079515C" w:rsidRDefault="002306C1" w:rsidP="005A23C0">
      <w:pPr>
        <w:tabs>
          <w:tab w:val="left" w:pos="480"/>
        </w:tabs>
        <w:spacing w:before="90" w:after="45"/>
        <w:ind w:right="75"/>
        <w:rPr>
          <w:rFonts w:eastAsia="Times New Roman" w:cs="Times New Roman"/>
          <w:sz w:val="16"/>
          <w:szCs w:val="16"/>
          <w:lang w:val="en-US" w:eastAsia="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Article 13 (paragraph 4) of the Inter-American Convention to Prevent and Punish Torture establishes that:</w:t>
      </w:r>
      <w:r w:rsidRPr="0079515C">
        <w:rPr>
          <w:rFonts w:cs="Tahoma"/>
          <w:bCs/>
          <w:color w:val="000000"/>
          <w:spacing w:val="-4"/>
          <w:sz w:val="16"/>
          <w:szCs w:val="16"/>
          <w:shd w:val="clear" w:color="auto" w:fill="FFFFFF"/>
          <w:lang w:val="en-US"/>
        </w:rPr>
        <w:t xml:space="preserve"> “</w:t>
      </w:r>
      <w:r w:rsidRPr="0079515C">
        <w:rPr>
          <w:rFonts w:eastAsia="Times New Roman" w:cs="Tahoma"/>
          <w:sz w:val="16"/>
          <w:szCs w:val="16"/>
          <w:lang w:val="en-US" w:eastAsia="en-US"/>
        </w:rPr>
        <w:t xml:space="preserve">Extradition shall not be granted nor shall the person sought be returned when there are grounds to believe that his life is in danger, that he will be subjected to torture or to cruel, inhuman or degrading treatment, or that he will be tried by special or </w:t>
      </w:r>
      <w:r w:rsidRPr="00A80898">
        <w:rPr>
          <w:rFonts w:eastAsia="Times New Roman" w:cs="Tahoma"/>
          <w:i/>
          <w:sz w:val="16"/>
          <w:szCs w:val="16"/>
          <w:lang w:val="en-US" w:eastAsia="en-US"/>
        </w:rPr>
        <w:t xml:space="preserve">ad hoc </w:t>
      </w:r>
      <w:r w:rsidRPr="0079515C">
        <w:rPr>
          <w:rFonts w:eastAsia="Times New Roman" w:cs="Tahoma"/>
          <w:sz w:val="16"/>
          <w:szCs w:val="16"/>
          <w:lang w:val="en-US" w:eastAsia="en-US"/>
        </w:rPr>
        <w:t>courts in the requesting State.</w:t>
      </w:r>
      <w:r w:rsidRPr="0079515C">
        <w:rPr>
          <w:spacing w:val="-4"/>
          <w:sz w:val="16"/>
          <w:szCs w:val="16"/>
          <w:lang w:val="en-US"/>
        </w:rPr>
        <w:t>”</w:t>
      </w:r>
    </w:p>
  </w:footnote>
  <w:footnote w:id="176">
    <w:p w14:paraId="4CF60DD0" w14:textId="5E31C7F7" w:rsidR="002306C1" w:rsidRPr="0079515C" w:rsidRDefault="002306C1" w:rsidP="005A23C0">
      <w:pPr>
        <w:pStyle w:val="FootnoteText"/>
        <w:tabs>
          <w:tab w:val="clear" w:pos="567"/>
          <w:tab w:val="left" w:pos="426"/>
          <w:tab w:val="left" w:pos="480"/>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The State ratified the Inter-American Convention to Prevent and Punish Torture on March 28, 1991. In this case, only the representative argued a presumed violation of this provision. In this regard, the Court reiterates that the presumed victims or their representatives may cite the violation of other rights than those included in the Commission’s Merits Report, provided that they abide by the facts contained in that document (</w:t>
      </w:r>
      <w:r w:rsidRPr="0079515C">
        <w:rPr>
          <w:i/>
          <w:spacing w:val="-4"/>
          <w:lang w:val="en-US"/>
        </w:rPr>
        <w:t>supra</w:t>
      </w:r>
      <w:r w:rsidRPr="0079515C">
        <w:rPr>
          <w:spacing w:val="-4"/>
          <w:lang w:val="en-US"/>
        </w:rPr>
        <w:t xml:space="preserve"> para. </w:t>
      </w:r>
      <w:r w:rsidRPr="0079515C">
        <w:rPr>
          <w:spacing w:val="-4"/>
          <w:lang w:val="en-US"/>
        </w:rPr>
        <w:fldChar w:fldCharType="begin"/>
      </w:r>
      <w:r w:rsidRPr="0079515C">
        <w:rPr>
          <w:spacing w:val="-4"/>
          <w:lang w:val="en-US"/>
        </w:rPr>
        <w:instrText xml:space="preserve"> REF _Ref428977240 \r \h  \* MERGEFORMAT </w:instrText>
      </w:r>
      <w:r w:rsidRPr="0079515C">
        <w:rPr>
          <w:spacing w:val="-4"/>
          <w:lang w:val="en-US"/>
        </w:rPr>
      </w:r>
      <w:r w:rsidRPr="0079515C">
        <w:rPr>
          <w:spacing w:val="-4"/>
          <w:lang w:val="en-US"/>
        </w:rPr>
        <w:fldChar w:fldCharType="separate"/>
      </w:r>
      <w:r w:rsidRPr="0079515C">
        <w:rPr>
          <w:spacing w:val="-4"/>
          <w:lang w:val="en-US"/>
        </w:rPr>
        <w:t>35</w:t>
      </w:r>
      <w:r w:rsidRPr="0079515C">
        <w:rPr>
          <w:spacing w:val="-4"/>
          <w:lang w:val="en-US"/>
        </w:rPr>
        <w:fldChar w:fldCharType="end"/>
      </w:r>
      <w:r w:rsidRPr="0079515C">
        <w:rPr>
          <w:spacing w:val="-4"/>
          <w:lang w:val="en-US"/>
        </w:rPr>
        <w:t>).</w:t>
      </w:r>
    </w:p>
  </w:footnote>
  <w:footnote w:id="177">
    <w:p w14:paraId="167CC932" w14:textId="214F050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Case of </w:t>
      </w:r>
      <w:proofErr w:type="spellStart"/>
      <w:r w:rsidRPr="0079515C">
        <w:rPr>
          <w:i/>
          <w:spacing w:val="-4"/>
          <w:lang w:val="en-US"/>
        </w:rPr>
        <w:t>Hilaire</w:t>
      </w:r>
      <w:proofErr w:type="spellEnd"/>
      <w:r w:rsidRPr="0079515C">
        <w:rPr>
          <w:i/>
          <w:spacing w:val="-4"/>
          <w:lang w:val="en-US"/>
        </w:rPr>
        <w:t>, Constantine and Benjamin.</w:t>
      </w:r>
      <w:proofErr w:type="gramEnd"/>
      <w:r w:rsidRPr="0079515C">
        <w:rPr>
          <w:i/>
          <w:spacing w:val="-4"/>
          <w:lang w:val="en-US"/>
        </w:rPr>
        <w:t xml:space="preserve"> </w:t>
      </w:r>
      <w:proofErr w:type="gramStart"/>
      <w:r w:rsidRPr="0079515C">
        <w:rPr>
          <w:rStyle w:val="Strong"/>
          <w:b w:val="0"/>
          <w:i/>
          <w:color w:val="000000"/>
          <w:spacing w:val="-4"/>
          <w:shd w:val="clear" w:color="auto" w:fill="FFFFFF"/>
          <w:lang w:val="en-US"/>
        </w:rPr>
        <w:t>Merits, reparations and costs.</w:t>
      </w:r>
      <w:proofErr w:type="gramEnd"/>
      <w:r w:rsidRPr="0079515C">
        <w:rPr>
          <w:rStyle w:val="Strong"/>
          <w:b w:val="0"/>
          <w:color w:val="000000"/>
          <w:spacing w:val="-4"/>
          <w:shd w:val="clear" w:color="auto" w:fill="FFFFFF"/>
          <w:lang w:val="en-US"/>
        </w:rPr>
        <w:t xml:space="preserve"> Judgment of June 21, 2002. Series C No. 94,</w:t>
      </w:r>
      <w:r w:rsidRPr="0079515C">
        <w:rPr>
          <w:b/>
          <w:i/>
          <w:spacing w:val="-4"/>
          <w:lang w:val="en-US"/>
        </w:rPr>
        <w:t xml:space="preserve"> </w:t>
      </w:r>
      <w:r w:rsidRPr="0079515C">
        <w:rPr>
          <w:spacing w:val="-4"/>
          <w:lang w:val="en-US"/>
        </w:rPr>
        <w:t xml:space="preserve">para. </w:t>
      </w:r>
      <w:proofErr w:type="gramStart"/>
      <w:r w:rsidRPr="0079515C">
        <w:rPr>
          <w:spacing w:val="-4"/>
          <w:lang w:val="en-US"/>
        </w:rPr>
        <w:t>99,</w:t>
      </w:r>
      <w:proofErr w:type="gramEnd"/>
      <w:r w:rsidRPr="0079515C">
        <w:rPr>
          <w:spacing w:val="-4"/>
          <w:lang w:val="en-US"/>
        </w:rPr>
        <w:t xml:space="preserve"> and </w:t>
      </w:r>
      <w:r w:rsidRPr="0079515C">
        <w:rPr>
          <w:rStyle w:val="Strong"/>
          <w:b w:val="0"/>
          <w:i/>
          <w:color w:val="000000"/>
          <w:spacing w:val="-4"/>
          <w:shd w:val="clear" w:color="auto" w:fill="FFFFFF"/>
          <w:lang w:val="en-US"/>
        </w:rPr>
        <w:t>Case of Boyce et al. v. Barbados</w:t>
      </w:r>
      <w:r w:rsidRPr="0079515C">
        <w:rPr>
          <w:rStyle w:val="Strong"/>
          <w:b w:val="0"/>
          <w:color w:val="000000"/>
          <w:spacing w:val="-4"/>
          <w:shd w:val="clear" w:color="auto" w:fill="FFFFFF"/>
          <w:lang w:val="en-US"/>
        </w:rPr>
        <w:t xml:space="preserve">. </w:t>
      </w:r>
      <w:proofErr w:type="gramStart"/>
      <w:r w:rsidRPr="0079515C">
        <w:rPr>
          <w:rStyle w:val="Strong"/>
          <w:b w:val="0"/>
          <w:i/>
          <w:color w:val="000000"/>
          <w:spacing w:val="-4"/>
          <w:shd w:val="clear" w:color="auto" w:fill="FFFFFF"/>
          <w:lang w:val="en-US"/>
        </w:rPr>
        <w:t>Preliminary objection, merits, reparations and costs.</w:t>
      </w:r>
      <w:proofErr w:type="gramEnd"/>
      <w:r w:rsidRPr="0079515C">
        <w:rPr>
          <w:rStyle w:val="Strong"/>
          <w:b w:val="0"/>
          <w:color w:val="000000"/>
          <w:spacing w:val="-4"/>
          <w:shd w:val="clear" w:color="auto" w:fill="FFFFFF"/>
          <w:lang w:val="en-US"/>
        </w:rPr>
        <w:t xml:space="preserve"> Judgment of November 20, 2007. Series C No. 169</w:t>
      </w:r>
      <w:r w:rsidRPr="0079515C">
        <w:rPr>
          <w:i/>
          <w:spacing w:val="-4"/>
          <w:lang w:val="en-US"/>
        </w:rPr>
        <w:t xml:space="preserve">, </w:t>
      </w:r>
      <w:r w:rsidRPr="0079515C">
        <w:rPr>
          <w:spacing w:val="-4"/>
          <w:lang w:val="en-US"/>
        </w:rPr>
        <w:t xml:space="preserve">para. 52. </w:t>
      </w:r>
      <w:r w:rsidRPr="0079515C">
        <w:rPr>
          <w:i/>
          <w:spacing w:val="-4"/>
          <w:lang w:val="en-US"/>
        </w:rPr>
        <w:t>Cf.</w:t>
      </w:r>
      <w:r w:rsidRPr="0079515C">
        <w:rPr>
          <w:spacing w:val="-4"/>
          <w:lang w:val="en-US"/>
        </w:rPr>
        <w:t xml:space="preserve"> </w:t>
      </w:r>
      <w:r w:rsidRPr="0079515C">
        <w:rPr>
          <w:i/>
          <w:spacing w:val="-4"/>
          <w:lang w:val="en-US"/>
        </w:rPr>
        <w:t>Restrictions to the Death Penalty</w:t>
      </w:r>
      <w:r w:rsidRPr="0079515C">
        <w:rPr>
          <w:spacing w:val="-4"/>
          <w:lang w:val="en-US"/>
        </w:rPr>
        <w:t xml:space="preserve"> </w:t>
      </w:r>
      <w:r w:rsidRPr="0079515C">
        <w:rPr>
          <w:i/>
          <w:spacing w:val="-4"/>
          <w:lang w:val="en-US"/>
        </w:rPr>
        <w:t>(Arts. 4.2 and 4.4 American Convention on Human Rights)</w:t>
      </w:r>
      <w:r w:rsidRPr="0079515C">
        <w:rPr>
          <w:spacing w:val="-4"/>
          <w:lang w:val="en-US"/>
        </w:rPr>
        <w:t xml:space="preserve">. Advisory Opinion OC-3/83 of September 8, 1983. Series </w:t>
      </w:r>
      <w:proofErr w:type="gramStart"/>
      <w:r w:rsidRPr="0079515C">
        <w:rPr>
          <w:spacing w:val="-4"/>
          <w:lang w:val="en-US"/>
        </w:rPr>
        <w:t>A</w:t>
      </w:r>
      <w:proofErr w:type="gramEnd"/>
      <w:r w:rsidRPr="0079515C">
        <w:rPr>
          <w:spacing w:val="-4"/>
          <w:lang w:val="en-US"/>
        </w:rPr>
        <w:t xml:space="preserve"> No. 3, para. 57.</w:t>
      </w:r>
    </w:p>
  </w:footnote>
  <w:footnote w:id="178">
    <w:p w14:paraId="4C3F3477" w14:textId="485688B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Style w:val="Strong"/>
          <w:b w:val="0"/>
          <w:i/>
          <w:color w:val="000000"/>
          <w:spacing w:val="-4"/>
          <w:shd w:val="clear" w:color="auto" w:fill="FFFFFF"/>
          <w:lang w:val="en-US"/>
        </w:rPr>
        <w:t>Case of Boyce et al. v. Barbados, supra</w:t>
      </w:r>
      <w:r w:rsidRPr="0079515C">
        <w:rPr>
          <w:i/>
          <w:spacing w:val="-4"/>
          <w:lang w:val="en-US"/>
        </w:rPr>
        <w:t xml:space="preserve">, </w:t>
      </w:r>
      <w:r w:rsidRPr="0079515C">
        <w:rPr>
          <w:spacing w:val="-4"/>
          <w:lang w:val="en-US"/>
        </w:rPr>
        <w:t xml:space="preserve">para. </w:t>
      </w:r>
      <w:proofErr w:type="gramStart"/>
      <w:r w:rsidRPr="0079515C">
        <w:rPr>
          <w:spacing w:val="-4"/>
          <w:lang w:val="en-US"/>
        </w:rPr>
        <w:t>52,</w:t>
      </w:r>
      <w:proofErr w:type="gramEnd"/>
      <w:r w:rsidRPr="0079515C">
        <w:rPr>
          <w:spacing w:val="-4"/>
          <w:lang w:val="en-US"/>
        </w:rPr>
        <w:t xml:space="preserve"> and </w:t>
      </w:r>
      <w:r w:rsidRPr="0079515C">
        <w:rPr>
          <w:rStyle w:val="Strong"/>
          <w:b w:val="0"/>
          <w:i/>
          <w:color w:val="000000"/>
          <w:spacing w:val="-4"/>
          <w:shd w:val="clear" w:color="auto" w:fill="FFFFFF"/>
          <w:lang w:val="en-US"/>
        </w:rPr>
        <w:t xml:space="preserve">Case of </w:t>
      </w:r>
      <w:proofErr w:type="spellStart"/>
      <w:r w:rsidRPr="0079515C">
        <w:rPr>
          <w:rStyle w:val="Strong"/>
          <w:b w:val="0"/>
          <w:i/>
          <w:color w:val="000000"/>
          <w:spacing w:val="-4"/>
          <w:shd w:val="clear" w:color="auto" w:fill="FFFFFF"/>
          <w:lang w:val="en-US"/>
        </w:rPr>
        <w:t>Dacosta</w:t>
      </w:r>
      <w:proofErr w:type="spellEnd"/>
      <w:r w:rsidRPr="0079515C">
        <w:rPr>
          <w:rStyle w:val="Strong"/>
          <w:b w:val="0"/>
          <w:i/>
          <w:color w:val="000000"/>
          <w:spacing w:val="-4"/>
          <w:shd w:val="clear" w:color="auto" w:fill="FFFFFF"/>
          <w:lang w:val="en-US"/>
        </w:rPr>
        <w:t xml:space="preserve"> </w:t>
      </w:r>
      <w:proofErr w:type="spellStart"/>
      <w:r w:rsidRPr="0079515C">
        <w:rPr>
          <w:rStyle w:val="Strong"/>
          <w:b w:val="0"/>
          <w:i/>
          <w:color w:val="000000"/>
          <w:spacing w:val="-4"/>
          <w:shd w:val="clear" w:color="auto" w:fill="FFFFFF"/>
          <w:lang w:val="en-US"/>
        </w:rPr>
        <w:t>Cadogan</w:t>
      </w:r>
      <w:proofErr w:type="spellEnd"/>
      <w:r w:rsidRPr="0079515C">
        <w:rPr>
          <w:rStyle w:val="Strong"/>
          <w:b w:val="0"/>
          <w:i/>
          <w:color w:val="000000"/>
          <w:spacing w:val="-4"/>
          <w:shd w:val="clear" w:color="auto" w:fill="FFFFFF"/>
          <w:lang w:val="en-US"/>
        </w:rPr>
        <w:t xml:space="preserve"> v. Barbados</w:t>
      </w:r>
      <w:r w:rsidRPr="0079515C">
        <w:rPr>
          <w:rStyle w:val="Strong"/>
          <w:b w:val="0"/>
          <w:color w:val="000000"/>
          <w:spacing w:val="-4"/>
          <w:shd w:val="clear" w:color="auto" w:fill="FFFFFF"/>
          <w:lang w:val="en-US"/>
        </w:rPr>
        <w:t>.</w:t>
      </w:r>
      <w:r w:rsidRPr="0079515C">
        <w:rPr>
          <w:rStyle w:val="Strong"/>
          <w:b w:val="0"/>
          <w:i/>
          <w:color w:val="000000"/>
          <w:spacing w:val="-4"/>
          <w:shd w:val="clear" w:color="auto" w:fill="FFFFFF"/>
          <w:lang w:val="en-US"/>
        </w:rPr>
        <w:t xml:space="preserve"> </w:t>
      </w:r>
      <w:proofErr w:type="gramStart"/>
      <w:r w:rsidRPr="0079515C">
        <w:rPr>
          <w:rStyle w:val="Strong"/>
          <w:b w:val="0"/>
          <w:i/>
          <w:color w:val="000000"/>
          <w:spacing w:val="-4"/>
          <w:shd w:val="clear" w:color="auto" w:fill="FFFFFF"/>
          <w:lang w:val="en-US"/>
        </w:rPr>
        <w:t>Preliminary objections, merits, reparations and costs.</w:t>
      </w:r>
      <w:proofErr w:type="gramEnd"/>
      <w:r w:rsidRPr="0079515C">
        <w:rPr>
          <w:rStyle w:val="Strong"/>
          <w:b w:val="0"/>
          <w:i/>
          <w:color w:val="000000"/>
          <w:spacing w:val="-4"/>
          <w:shd w:val="clear" w:color="auto" w:fill="FFFFFF"/>
          <w:lang w:val="en-US"/>
        </w:rPr>
        <w:t xml:space="preserve"> </w:t>
      </w:r>
      <w:r w:rsidRPr="0079515C">
        <w:rPr>
          <w:rStyle w:val="Strong"/>
          <w:b w:val="0"/>
          <w:color w:val="000000"/>
          <w:spacing w:val="-4"/>
          <w:shd w:val="clear" w:color="auto" w:fill="FFFFFF"/>
          <w:lang w:val="en-US"/>
        </w:rPr>
        <w:t>Judgment of September 24, 2009. Series C No. 204</w:t>
      </w:r>
      <w:r w:rsidRPr="0079515C">
        <w:rPr>
          <w:spacing w:val="-4"/>
          <w:lang w:val="en-US"/>
        </w:rPr>
        <w:t>, para. 49.</w:t>
      </w:r>
    </w:p>
  </w:footnote>
  <w:footnote w:id="179">
    <w:p w14:paraId="2FCCA700" w14:textId="14BA364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Fermín</w:t>
      </w:r>
      <w:proofErr w:type="spellEnd"/>
      <w:r w:rsidRPr="0079515C">
        <w:rPr>
          <w:i/>
          <w:spacing w:val="-4"/>
          <w:lang w:val="en-US"/>
        </w:rPr>
        <w:t xml:space="preserve"> </w:t>
      </w:r>
      <w:proofErr w:type="spellStart"/>
      <w:r w:rsidRPr="0079515C">
        <w:rPr>
          <w:i/>
          <w:spacing w:val="-4"/>
          <w:lang w:val="en-US"/>
        </w:rPr>
        <w:t>Ramírez</w:t>
      </w:r>
      <w:proofErr w:type="spellEnd"/>
      <w:r w:rsidRPr="0079515C">
        <w:rPr>
          <w:i/>
          <w:spacing w:val="-4"/>
          <w:lang w:val="en-US"/>
        </w:rPr>
        <w:t xml:space="preserve"> v. Guatemala.</w:t>
      </w:r>
      <w:proofErr w:type="gramEnd"/>
      <w:r w:rsidRPr="0079515C">
        <w:rPr>
          <w:i/>
          <w:spacing w:val="-4"/>
          <w:lang w:val="en-US"/>
        </w:rPr>
        <w:t xml:space="preserv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June 20, 2005. </w:t>
      </w:r>
      <w:r w:rsidRPr="002F702F">
        <w:rPr>
          <w:spacing w:val="-4"/>
          <w:lang w:val="en-US"/>
        </w:rPr>
        <w:t>Series C No. 126</w:t>
      </w:r>
      <w:r w:rsidRPr="002F702F">
        <w:rPr>
          <w:i/>
          <w:spacing w:val="-4"/>
          <w:lang w:val="en-US"/>
        </w:rPr>
        <w:t xml:space="preserve">, </w:t>
      </w:r>
      <w:r w:rsidRPr="002F702F">
        <w:rPr>
          <w:spacing w:val="-4"/>
          <w:lang w:val="en-US"/>
        </w:rPr>
        <w:t xml:space="preserve">para. </w:t>
      </w:r>
      <w:proofErr w:type="gramStart"/>
      <w:r w:rsidRPr="002F702F">
        <w:rPr>
          <w:spacing w:val="-4"/>
          <w:lang w:val="en-US"/>
        </w:rPr>
        <w:t>79,</w:t>
      </w:r>
      <w:proofErr w:type="gramEnd"/>
      <w:r w:rsidRPr="002F702F">
        <w:rPr>
          <w:spacing w:val="-4"/>
          <w:lang w:val="en-US"/>
        </w:rPr>
        <w:t xml:space="preserve"> and </w:t>
      </w:r>
      <w:r w:rsidRPr="002F702F">
        <w:rPr>
          <w:rStyle w:val="Strong"/>
          <w:b w:val="0"/>
          <w:i/>
          <w:color w:val="000000"/>
          <w:spacing w:val="-4"/>
          <w:shd w:val="clear" w:color="auto" w:fill="FFFFFF"/>
          <w:lang w:val="en-US"/>
        </w:rPr>
        <w:t xml:space="preserve">Case of </w:t>
      </w:r>
      <w:proofErr w:type="spellStart"/>
      <w:r w:rsidRPr="002F702F">
        <w:rPr>
          <w:rStyle w:val="Strong"/>
          <w:b w:val="0"/>
          <w:i/>
          <w:color w:val="000000"/>
          <w:spacing w:val="-4"/>
          <w:shd w:val="clear" w:color="auto" w:fill="FFFFFF"/>
          <w:lang w:val="en-US"/>
        </w:rPr>
        <w:t>Dacosta</w:t>
      </w:r>
      <w:proofErr w:type="spellEnd"/>
      <w:r w:rsidRPr="002F702F">
        <w:rPr>
          <w:rStyle w:val="Strong"/>
          <w:b w:val="0"/>
          <w:i/>
          <w:color w:val="000000"/>
          <w:spacing w:val="-4"/>
          <w:shd w:val="clear" w:color="auto" w:fill="FFFFFF"/>
          <w:lang w:val="en-US"/>
        </w:rPr>
        <w:t xml:space="preserve"> </w:t>
      </w:r>
      <w:proofErr w:type="spellStart"/>
      <w:r w:rsidRPr="002F702F">
        <w:rPr>
          <w:rStyle w:val="Strong"/>
          <w:b w:val="0"/>
          <w:i/>
          <w:color w:val="000000"/>
          <w:spacing w:val="-4"/>
          <w:shd w:val="clear" w:color="auto" w:fill="FFFFFF"/>
          <w:lang w:val="en-US"/>
        </w:rPr>
        <w:t>Cadogan</w:t>
      </w:r>
      <w:proofErr w:type="spellEnd"/>
      <w:r w:rsidRPr="002F702F">
        <w:rPr>
          <w:rStyle w:val="Strong"/>
          <w:b w:val="0"/>
          <w:i/>
          <w:color w:val="000000"/>
          <w:spacing w:val="-4"/>
          <w:shd w:val="clear" w:color="auto" w:fill="FFFFFF"/>
          <w:lang w:val="en-US"/>
        </w:rPr>
        <w:t xml:space="preserve"> v. Barbados, supra</w:t>
      </w:r>
      <w:r w:rsidRPr="002F702F">
        <w:rPr>
          <w:spacing w:val="-4"/>
          <w:lang w:val="en-US"/>
        </w:rPr>
        <w:t xml:space="preserve">, para. </w:t>
      </w:r>
      <w:r w:rsidRPr="0079515C">
        <w:rPr>
          <w:spacing w:val="-4"/>
          <w:lang w:val="en-US"/>
        </w:rPr>
        <w:t xml:space="preserve">47. See also </w:t>
      </w:r>
      <w:r w:rsidRPr="0079515C">
        <w:rPr>
          <w:i/>
          <w:spacing w:val="-4"/>
          <w:lang w:val="en-US"/>
        </w:rPr>
        <w:t>Restrictions to the Death Penalty</w:t>
      </w:r>
      <w:r w:rsidRPr="0079515C">
        <w:rPr>
          <w:spacing w:val="-4"/>
          <w:lang w:val="en-US"/>
        </w:rPr>
        <w:t xml:space="preserve"> </w:t>
      </w:r>
      <w:r w:rsidRPr="0079515C">
        <w:rPr>
          <w:i/>
          <w:spacing w:val="-4"/>
          <w:lang w:val="en-US"/>
        </w:rPr>
        <w:t>(Arts. 4.2 and 4.4 American Convention on Human Rights), supra</w:t>
      </w:r>
      <w:r w:rsidRPr="0079515C">
        <w:rPr>
          <w:spacing w:val="-4"/>
          <w:lang w:val="en-US"/>
        </w:rPr>
        <w:t xml:space="preserve">, para. 55, and </w:t>
      </w:r>
      <w:proofErr w:type="gramStart"/>
      <w:r w:rsidRPr="0079515C">
        <w:rPr>
          <w:i/>
          <w:spacing w:val="-4"/>
          <w:lang w:val="en-US"/>
        </w:rPr>
        <w:t>The</w:t>
      </w:r>
      <w:proofErr w:type="gramEnd"/>
      <w:r w:rsidRPr="0079515C">
        <w:rPr>
          <w:i/>
          <w:spacing w:val="-4"/>
          <w:lang w:val="en-US"/>
        </w:rPr>
        <w:t xml:space="preserve"> Right to Information on Consular Assistance within the Framework of the Guarantees of Due Process of Law.</w:t>
      </w:r>
      <w:r w:rsidRPr="0079515C">
        <w:rPr>
          <w:spacing w:val="-4"/>
          <w:lang w:val="en-US"/>
        </w:rPr>
        <w:t xml:space="preserve"> Advisory Opinion OC-16/99 of October 1, 1999. Series </w:t>
      </w:r>
      <w:proofErr w:type="gramStart"/>
      <w:r w:rsidRPr="0079515C">
        <w:rPr>
          <w:spacing w:val="-4"/>
          <w:lang w:val="en-US"/>
        </w:rPr>
        <w:t>A</w:t>
      </w:r>
      <w:proofErr w:type="gramEnd"/>
      <w:r w:rsidRPr="0079515C">
        <w:rPr>
          <w:spacing w:val="-4"/>
          <w:lang w:val="en-US"/>
        </w:rPr>
        <w:t xml:space="preserve"> No. 16, para. 135.</w:t>
      </w:r>
    </w:p>
  </w:footnote>
  <w:footnote w:id="180">
    <w:p w14:paraId="592F88CF" w14:textId="242E05E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Style w:val="Strong"/>
          <w:b w:val="0"/>
          <w:i/>
          <w:color w:val="000000"/>
          <w:spacing w:val="-4"/>
          <w:shd w:val="clear" w:color="auto" w:fill="FFFFFF"/>
          <w:lang w:val="en-US"/>
        </w:rPr>
        <w:t>Case of Boyce et al. v. Barbados, supra</w:t>
      </w:r>
      <w:r w:rsidRPr="0079515C">
        <w:rPr>
          <w:spacing w:val="-4"/>
          <w:lang w:val="en-US"/>
        </w:rPr>
        <w:t>,</w:t>
      </w:r>
      <w:r w:rsidRPr="0079515C">
        <w:rPr>
          <w:b/>
          <w:spacing w:val="-4"/>
          <w:lang w:val="en-US"/>
        </w:rPr>
        <w:t xml:space="preserve"> </w:t>
      </w:r>
      <w:r w:rsidRPr="0079515C">
        <w:rPr>
          <w:spacing w:val="-4"/>
          <w:lang w:val="en-US"/>
        </w:rPr>
        <w:t xml:space="preserve">para. </w:t>
      </w:r>
      <w:proofErr w:type="gramStart"/>
      <w:r w:rsidRPr="0079515C">
        <w:rPr>
          <w:spacing w:val="-4"/>
          <w:lang w:val="en-US"/>
        </w:rPr>
        <w:t>50,</w:t>
      </w:r>
      <w:proofErr w:type="gramEnd"/>
      <w:r w:rsidRPr="0079515C">
        <w:rPr>
          <w:spacing w:val="-4"/>
          <w:lang w:val="en-US"/>
        </w:rPr>
        <w:t xml:space="preserve"> and </w:t>
      </w:r>
      <w:r w:rsidRPr="0079515C">
        <w:rPr>
          <w:rStyle w:val="Strong"/>
          <w:b w:val="0"/>
          <w:i/>
          <w:color w:val="000000"/>
          <w:spacing w:val="-4"/>
          <w:shd w:val="clear" w:color="auto" w:fill="FFFFFF"/>
          <w:lang w:val="en-US"/>
        </w:rPr>
        <w:t xml:space="preserve">Case of </w:t>
      </w:r>
      <w:proofErr w:type="spellStart"/>
      <w:r w:rsidRPr="0079515C">
        <w:rPr>
          <w:rStyle w:val="Strong"/>
          <w:b w:val="0"/>
          <w:i/>
          <w:color w:val="000000"/>
          <w:spacing w:val="-4"/>
          <w:shd w:val="clear" w:color="auto" w:fill="FFFFFF"/>
          <w:lang w:val="en-US"/>
        </w:rPr>
        <w:t>Dacosta</w:t>
      </w:r>
      <w:proofErr w:type="spellEnd"/>
      <w:r w:rsidRPr="0079515C">
        <w:rPr>
          <w:rStyle w:val="Strong"/>
          <w:b w:val="0"/>
          <w:i/>
          <w:color w:val="000000"/>
          <w:spacing w:val="-4"/>
          <w:shd w:val="clear" w:color="auto" w:fill="FFFFFF"/>
          <w:lang w:val="en-US"/>
        </w:rPr>
        <w:t xml:space="preserve"> </w:t>
      </w:r>
      <w:proofErr w:type="spellStart"/>
      <w:r w:rsidRPr="0079515C">
        <w:rPr>
          <w:rStyle w:val="Strong"/>
          <w:b w:val="0"/>
          <w:i/>
          <w:color w:val="000000"/>
          <w:spacing w:val="-4"/>
          <w:shd w:val="clear" w:color="auto" w:fill="FFFFFF"/>
          <w:lang w:val="en-US"/>
        </w:rPr>
        <w:t>Cadogan</w:t>
      </w:r>
      <w:proofErr w:type="spellEnd"/>
      <w:r w:rsidRPr="0079515C">
        <w:rPr>
          <w:rStyle w:val="Strong"/>
          <w:b w:val="0"/>
          <w:i/>
          <w:color w:val="000000"/>
          <w:spacing w:val="-4"/>
          <w:shd w:val="clear" w:color="auto" w:fill="FFFFFF"/>
          <w:lang w:val="en-US"/>
        </w:rPr>
        <w:t xml:space="preserve"> v. Barbados, supra</w:t>
      </w:r>
      <w:r w:rsidRPr="0079515C">
        <w:rPr>
          <w:spacing w:val="-4"/>
          <w:lang w:val="en-US"/>
        </w:rPr>
        <w:t>,</w:t>
      </w:r>
      <w:r w:rsidRPr="0079515C">
        <w:rPr>
          <w:b/>
          <w:spacing w:val="-4"/>
          <w:lang w:val="en-US"/>
        </w:rPr>
        <w:t xml:space="preserve"> </w:t>
      </w:r>
      <w:r w:rsidRPr="0079515C">
        <w:rPr>
          <w:spacing w:val="-4"/>
          <w:lang w:val="en-US"/>
        </w:rPr>
        <w:t xml:space="preserve">para. 84. </w:t>
      </w:r>
      <w:r w:rsidRPr="0079515C">
        <w:rPr>
          <w:i/>
          <w:spacing w:val="-4"/>
          <w:lang w:val="en-US"/>
        </w:rPr>
        <w:t>Cf. Restrictions to the Death Penalty (Arts. 4.2 and 4.4 American Convention on Human Rights), supra</w:t>
      </w:r>
      <w:r w:rsidRPr="0079515C">
        <w:rPr>
          <w:spacing w:val="-4"/>
          <w:lang w:val="en-US"/>
        </w:rPr>
        <w:t>, para. 55.</w:t>
      </w:r>
    </w:p>
  </w:footnote>
  <w:footnote w:id="181">
    <w:p w14:paraId="0FA056ED" w14:textId="17F5C33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Rights and guarantees of children in the context of migration and/or </w:t>
      </w:r>
      <w:r>
        <w:rPr>
          <w:i/>
          <w:spacing w:val="-4"/>
          <w:lang w:val="en-US"/>
        </w:rPr>
        <w:t>in need of</w:t>
      </w:r>
      <w:r w:rsidRPr="0079515C">
        <w:rPr>
          <w:i/>
          <w:spacing w:val="-4"/>
          <w:lang w:val="en-US"/>
        </w:rPr>
        <w:t xml:space="preserve"> international protection. </w:t>
      </w:r>
      <w:r w:rsidRPr="0079515C">
        <w:rPr>
          <w:spacing w:val="-4"/>
          <w:lang w:val="en-US"/>
        </w:rPr>
        <w:t>Advisory Opinion OC-21/14 of August 19, 2014.</w:t>
      </w:r>
      <w:r w:rsidRPr="0079515C">
        <w:rPr>
          <w:i/>
          <w:spacing w:val="-4"/>
          <w:lang w:val="en-US"/>
        </w:rPr>
        <w:t xml:space="preserve"> </w:t>
      </w:r>
      <w:r w:rsidRPr="0079515C">
        <w:rPr>
          <w:spacing w:val="-4"/>
          <w:lang w:val="en-US"/>
        </w:rPr>
        <w:t xml:space="preserve">Series </w:t>
      </w:r>
      <w:proofErr w:type="gramStart"/>
      <w:r w:rsidRPr="0079515C">
        <w:rPr>
          <w:spacing w:val="-4"/>
          <w:lang w:val="en-US"/>
        </w:rPr>
        <w:t>A</w:t>
      </w:r>
      <w:proofErr w:type="gramEnd"/>
      <w:r w:rsidRPr="0079515C">
        <w:rPr>
          <w:spacing w:val="-4"/>
          <w:lang w:val="en-US"/>
        </w:rPr>
        <w:t xml:space="preserve"> No. 21, para. 226.</w:t>
      </w:r>
    </w:p>
  </w:footnote>
  <w:footnote w:id="182">
    <w:p w14:paraId="153380E4" w14:textId="40FE2F4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Rights and guarantees of children in the context of migration and/or </w:t>
      </w:r>
      <w:r>
        <w:rPr>
          <w:i/>
          <w:spacing w:val="-4"/>
          <w:lang w:val="en-US"/>
        </w:rPr>
        <w:t>in need of</w:t>
      </w:r>
      <w:r w:rsidRPr="0079515C">
        <w:rPr>
          <w:i/>
          <w:spacing w:val="-4"/>
          <w:lang w:val="en-US"/>
        </w:rPr>
        <w:t xml:space="preserve"> international protection, supra</w:t>
      </w:r>
      <w:r w:rsidRPr="0079515C">
        <w:rPr>
          <w:spacing w:val="-4"/>
          <w:lang w:val="en-US"/>
        </w:rPr>
        <w:t xml:space="preserve">, paras. </w:t>
      </w:r>
      <w:proofErr w:type="gramStart"/>
      <w:r w:rsidRPr="0079515C">
        <w:rPr>
          <w:spacing w:val="-4"/>
          <w:lang w:val="en-US"/>
        </w:rPr>
        <w:t>225, 227 and 236.</w:t>
      </w:r>
      <w:proofErr w:type="gramEnd"/>
    </w:p>
  </w:footnote>
  <w:footnote w:id="183">
    <w:p w14:paraId="1C3ED9C9" w14:textId="4945818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iCs/>
          <w:color w:val="000000"/>
          <w:spacing w:val="-4"/>
          <w:lang w:val="en-US"/>
        </w:rPr>
        <w:t xml:space="preserve">Cf. </w:t>
      </w:r>
      <w:r w:rsidRPr="0079515C">
        <w:rPr>
          <w:i/>
          <w:spacing w:val="-4"/>
          <w:lang w:val="en-US"/>
        </w:rPr>
        <w:t xml:space="preserve">Rights and guarantees of children in the context of migration and/or </w:t>
      </w:r>
      <w:r>
        <w:rPr>
          <w:i/>
          <w:spacing w:val="-4"/>
          <w:lang w:val="en-US"/>
        </w:rPr>
        <w:t>in need of</w:t>
      </w:r>
      <w:r w:rsidRPr="0079515C">
        <w:rPr>
          <w:i/>
          <w:spacing w:val="-4"/>
          <w:lang w:val="en-US"/>
        </w:rPr>
        <w:t xml:space="preserve"> international protection, supra</w:t>
      </w:r>
      <w:r w:rsidRPr="0079515C">
        <w:rPr>
          <w:spacing w:val="-4"/>
          <w:lang w:val="en-US"/>
        </w:rPr>
        <w:t xml:space="preserve">, para. </w:t>
      </w:r>
      <w:r w:rsidRPr="0079515C">
        <w:rPr>
          <w:iCs/>
          <w:color w:val="000000"/>
          <w:spacing w:val="-4"/>
          <w:lang w:val="en-US"/>
        </w:rPr>
        <w:t>232. See also</w:t>
      </w:r>
      <w:r w:rsidRPr="0079515C">
        <w:rPr>
          <w:i/>
          <w:iCs/>
          <w:color w:val="000000"/>
          <w:spacing w:val="-4"/>
          <w:lang w:val="en-US"/>
        </w:rPr>
        <w:t>,</w:t>
      </w:r>
      <w:r w:rsidRPr="0079515C">
        <w:rPr>
          <w:iCs/>
          <w:color w:val="000000"/>
          <w:spacing w:val="-4"/>
          <w:lang w:val="en-US"/>
        </w:rPr>
        <w:t xml:space="preserve"> UN, </w:t>
      </w:r>
      <w:r w:rsidRPr="0079515C">
        <w:rPr>
          <w:color w:val="000000"/>
          <w:spacing w:val="-4"/>
          <w:lang w:val="en-US"/>
        </w:rPr>
        <w:t>Human Rights Committee, </w:t>
      </w:r>
      <w:r w:rsidRPr="0079515C">
        <w:rPr>
          <w:i/>
          <w:color w:val="000000"/>
          <w:spacing w:val="-4"/>
          <w:lang w:val="en-US"/>
        </w:rPr>
        <w:t xml:space="preserve">Case of </w:t>
      </w:r>
      <w:r w:rsidRPr="0079515C">
        <w:rPr>
          <w:i/>
          <w:iCs/>
          <w:color w:val="000000"/>
          <w:spacing w:val="-4"/>
          <w:lang w:val="en-US"/>
        </w:rPr>
        <w:t xml:space="preserve">Jonny Rubin </w:t>
      </w:r>
      <w:proofErr w:type="spellStart"/>
      <w:r w:rsidRPr="0079515C">
        <w:rPr>
          <w:i/>
          <w:iCs/>
          <w:color w:val="000000"/>
          <w:spacing w:val="-4"/>
          <w:lang w:val="en-US"/>
        </w:rPr>
        <w:t>Byahuranga</w:t>
      </w:r>
      <w:proofErr w:type="spellEnd"/>
      <w:r w:rsidRPr="0079515C">
        <w:rPr>
          <w:i/>
          <w:iCs/>
          <w:color w:val="000000"/>
          <w:spacing w:val="-4"/>
          <w:lang w:val="en-US"/>
        </w:rPr>
        <w:t xml:space="preserve"> v. Denmark</w:t>
      </w:r>
      <w:r w:rsidRPr="0079515C">
        <w:rPr>
          <w:color w:val="000000"/>
          <w:spacing w:val="-4"/>
          <w:lang w:val="en-US"/>
        </w:rPr>
        <w:t xml:space="preserve">, Communication No. 1222/2003, U.N. Doc. CCPR/C/82/D/1222/2003, December 9, 2004, para. </w:t>
      </w:r>
      <w:proofErr w:type="gramStart"/>
      <w:r w:rsidRPr="0079515C">
        <w:rPr>
          <w:color w:val="000000"/>
          <w:spacing w:val="-4"/>
          <w:lang w:val="en-US"/>
        </w:rPr>
        <w:t xml:space="preserve">11.3, and </w:t>
      </w:r>
      <w:r w:rsidRPr="0079515C">
        <w:rPr>
          <w:i/>
          <w:color w:val="000000"/>
          <w:spacing w:val="-4"/>
          <w:lang w:val="en-US"/>
        </w:rPr>
        <w:t xml:space="preserve">Case of </w:t>
      </w:r>
      <w:proofErr w:type="spellStart"/>
      <w:r w:rsidRPr="0079515C">
        <w:rPr>
          <w:i/>
          <w:iCs/>
          <w:color w:val="000000"/>
          <w:spacing w:val="-4"/>
          <w:lang w:val="en-US"/>
        </w:rPr>
        <w:t>Jama</w:t>
      </w:r>
      <w:proofErr w:type="spellEnd"/>
      <w:r w:rsidRPr="0079515C">
        <w:rPr>
          <w:i/>
          <w:iCs/>
          <w:color w:val="000000"/>
          <w:spacing w:val="-4"/>
          <w:lang w:val="en-US"/>
        </w:rPr>
        <w:t xml:space="preserve"> </w:t>
      </w:r>
      <w:proofErr w:type="spellStart"/>
      <w:r w:rsidRPr="0079515C">
        <w:rPr>
          <w:i/>
          <w:iCs/>
          <w:color w:val="000000"/>
          <w:spacing w:val="-4"/>
          <w:lang w:val="en-US"/>
        </w:rPr>
        <w:t>Warsame</w:t>
      </w:r>
      <w:proofErr w:type="spellEnd"/>
      <w:r w:rsidRPr="0079515C">
        <w:rPr>
          <w:i/>
          <w:iCs/>
          <w:color w:val="000000"/>
          <w:spacing w:val="-4"/>
          <w:lang w:val="en-US"/>
        </w:rPr>
        <w:t xml:space="preserve"> v. Canada</w:t>
      </w:r>
      <w:r w:rsidRPr="0079515C">
        <w:rPr>
          <w:color w:val="000000"/>
          <w:spacing w:val="-4"/>
          <w:lang w:val="en-US"/>
        </w:rPr>
        <w:t xml:space="preserve">, Communication No. </w:t>
      </w:r>
      <w:r w:rsidRPr="0079515C">
        <w:rPr>
          <w:bCs w:val="0"/>
          <w:color w:val="000000"/>
          <w:spacing w:val="-4"/>
          <w:shd w:val="clear" w:color="auto" w:fill="FFFFFF"/>
          <w:lang w:val="en-US"/>
        </w:rPr>
        <w:t>1959/2010</w:t>
      </w:r>
      <w:r w:rsidRPr="0079515C">
        <w:rPr>
          <w:color w:val="000000"/>
          <w:spacing w:val="-4"/>
          <w:lang w:val="en-US"/>
        </w:rPr>
        <w:t>, UN.</w:t>
      </w:r>
      <w:proofErr w:type="gramEnd"/>
      <w:r w:rsidRPr="0079515C">
        <w:rPr>
          <w:color w:val="000000"/>
          <w:spacing w:val="-4"/>
          <w:lang w:val="en-US"/>
        </w:rPr>
        <w:t xml:space="preserve"> </w:t>
      </w:r>
      <w:proofErr w:type="gramStart"/>
      <w:r w:rsidRPr="0079515C">
        <w:rPr>
          <w:color w:val="000000"/>
          <w:spacing w:val="-4"/>
          <w:lang w:val="en-US"/>
        </w:rPr>
        <w:t>Doc. CCPR/C/102/D/1959/2010, September 1, 2011, para.</w:t>
      </w:r>
      <w:proofErr w:type="gramEnd"/>
      <w:r w:rsidRPr="0079515C">
        <w:rPr>
          <w:color w:val="000000"/>
          <w:spacing w:val="-4"/>
          <w:lang w:val="en-US"/>
        </w:rPr>
        <w:t xml:space="preserve"> 8.3.</w:t>
      </w:r>
    </w:p>
  </w:footnote>
  <w:footnote w:id="184">
    <w:p w14:paraId="3235AE17" w14:textId="4B984B8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Style w:val="Strong"/>
          <w:b w:val="0"/>
          <w:i/>
          <w:color w:val="000000"/>
          <w:spacing w:val="-4"/>
          <w:shd w:val="clear" w:color="auto" w:fill="FFFFFF"/>
          <w:lang w:val="en-US"/>
        </w:rPr>
        <w:t xml:space="preserve">Case of the Pacheco </w:t>
      </w:r>
      <w:proofErr w:type="spellStart"/>
      <w:r w:rsidRPr="0079515C">
        <w:rPr>
          <w:rStyle w:val="Strong"/>
          <w:b w:val="0"/>
          <w:i/>
          <w:color w:val="000000"/>
          <w:spacing w:val="-4"/>
          <w:shd w:val="clear" w:color="auto" w:fill="FFFFFF"/>
          <w:lang w:val="en-US"/>
        </w:rPr>
        <w:t>Tineo</w:t>
      </w:r>
      <w:proofErr w:type="spellEnd"/>
      <w:r w:rsidRPr="0079515C">
        <w:rPr>
          <w:rStyle w:val="Strong"/>
          <w:b w:val="0"/>
          <w:i/>
          <w:color w:val="000000"/>
          <w:spacing w:val="-4"/>
          <w:shd w:val="clear" w:color="auto" w:fill="FFFFFF"/>
          <w:lang w:val="en-US"/>
        </w:rPr>
        <w:t xml:space="preserve"> Family v. Bolivia, supra</w:t>
      </w:r>
      <w:r w:rsidRPr="0079515C">
        <w:rPr>
          <w:rStyle w:val="Strong"/>
          <w:b w:val="0"/>
          <w:color w:val="000000"/>
          <w:spacing w:val="-4"/>
          <w:shd w:val="clear" w:color="auto" w:fill="FFFFFF"/>
          <w:lang w:val="en-US"/>
        </w:rPr>
        <w:t>,</w:t>
      </w:r>
      <w:r w:rsidRPr="0079515C">
        <w:rPr>
          <w:b/>
          <w:spacing w:val="-4"/>
          <w:lang w:val="en-US"/>
        </w:rPr>
        <w:t xml:space="preserve"> </w:t>
      </w:r>
      <w:r w:rsidRPr="0079515C">
        <w:rPr>
          <w:spacing w:val="-4"/>
          <w:lang w:val="en-US"/>
        </w:rPr>
        <w:t>para. 136.</w:t>
      </w:r>
    </w:p>
  </w:footnote>
  <w:footnote w:id="185">
    <w:p w14:paraId="5064796D" w14:textId="1067514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Affidavit made by Ben Saul on August 18, 2014 (evidence file, folio 6960), citing UN, Committee against Torture, </w:t>
      </w:r>
      <w:r w:rsidRPr="0079515C">
        <w:rPr>
          <w:i/>
          <w:spacing w:val="-4"/>
          <w:lang w:val="en-US"/>
        </w:rPr>
        <w:t xml:space="preserve">Case of </w:t>
      </w:r>
      <w:proofErr w:type="spellStart"/>
      <w:r w:rsidRPr="0079515C">
        <w:rPr>
          <w:i/>
          <w:spacing w:val="-4"/>
          <w:lang w:val="en-US"/>
        </w:rPr>
        <w:t>Chipana</w:t>
      </w:r>
      <w:proofErr w:type="spellEnd"/>
      <w:r w:rsidRPr="0079515C">
        <w:rPr>
          <w:i/>
          <w:spacing w:val="-4"/>
          <w:lang w:val="en-US"/>
        </w:rPr>
        <w:t xml:space="preserve"> v. Venezuela</w:t>
      </w:r>
      <w:r w:rsidRPr="0079515C">
        <w:rPr>
          <w:spacing w:val="-4"/>
          <w:lang w:val="en-US"/>
        </w:rPr>
        <w:t xml:space="preserve">, Communication No. 110/1998, </w:t>
      </w:r>
      <w:r w:rsidRPr="0079515C">
        <w:rPr>
          <w:rStyle w:val="Strong"/>
          <w:b w:val="0"/>
          <w:color w:val="000000"/>
          <w:spacing w:val="-4"/>
          <w:shd w:val="clear" w:color="auto" w:fill="FFFFFF"/>
          <w:lang w:val="en-US"/>
        </w:rPr>
        <w:t>U.N. Doc. CAT/C/21/D/110/1998,</w:t>
      </w:r>
      <w:r w:rsidRPr="0079515C">
        <w:rPr>
          <w:b/>
          <w:spacing w:val="-4"/>
          <w:lang w:val="en-US"/>
        </w:rPr>
        <w:t xml:space="preserve"> </w:t>
      </w:r>
      <w:r w:rsidRPr="0079515C">
        <w:rPr>
          <w:spacing w:val="-4"/>
          <w:lang w:val="en-US"/>
        </w:rPr>
        <w:t xml:space="preserve">November 10, 1998, para. </w:t>
      </w:r>
      <w:proofErr w:type="gramStart"/>
      <w:r w:rsidRPr="0079515C">
        <w:rPr>
          <w:spacing w:val="-4"/>
          <w:lang w:val="en-US"/>
        </w:rPr>
        <w:t>6.2,</w:t>
      </w:r>
      <w:proofErr w:type="gramEnd"/>
      <w:r w:rsidRPr="0079515C">
        <w:rPr>
          <w:spacing w:val="-4"/>
          <w:lang w:val="en-US"/>
        </w:rPr>
        <w:t xml:space="preserve"> and </w:t>
      </w:r>
      <w:r w:rsidRPr="0079515C">
        <w:rPr>
          <w:i/>
          <w:spacing w:val="-4"/>
          <w:lang w:val="en-US"/>
        </w:rPr>
        <w:t>Case of G</w:t>
      </w:r>
      <w:r>
        <w:rPr>
          <w:i/>
          <w:spacing w:val="-4"/>
          <w:lang w:val="en-US"/>
        </w:rPr>
        <w:t>.</w:t>
      </w:r>
      <w:r w:rsidRPr="0079515C">
        <w:rPr>
          <w:i/>
          <w:spacing w:val="-4"/>
          <w:lang w:val="en-US"/>
        </w:rPr>
        <w:t>K</w:t>
      </w:r>
      <w:r>
        <w:rPr>
          <w:i/>
          <w:spacing w:val="-4"/>
          <w:lang w:val="en-US"/>
        </w:rPr>
        <w:t>.</w:t>
      </w:r>
      <w:r w:rsidRPr="0079515C">
        <w:rPr>
          <w:i/>
          <w:spacing w:val="-4"/>
          <w:lang w:val="en-US"/>
        </w:rPr>
        <w:t xml:space="preserve"> v. Switzerland</w:t>
      </w:r>
      <w:r w:rsidRPr="0079515C">
        <w:rPr>
          <w:spacing w:val="-4"/>
          <w:lang w:val="en-US"/>
        </w:rPr>
        <w:t xml:space="preserve">, Communication No. 219/2002, </w:t>
      </w:r>
      <w:r w:rsidRPr="0079515C">
        <w:rPr>
          <w:rStyle w:val="Strong"/>
          <w:b w:val="0"/>
          <w:color w:val="000000"/>
          <w:spacing w:val="-4"/>
          <w:shd w:val="clear" w:color="auto" w:fill="FFFFFF"/>
          <w:lang w:val="en-US"/>
        </w:rPr>
        <w:t>U.N. Doc. CAT/C/30/D/219/2002</w:t>
      </w:r>
      <w:r w:rsidRPr="0079515C">
        <w:rPr>
          <w:rStyle w:val="apple-converted-space"/>
          <w:bCs w:val="0"/>
          <w:color w:val="000000"/>
          <w:spacing w:val="-4"/>
          <w:shd w:val="clear" w:color="auto" w:fill="FFFFFF"/>
          <w:lang w:val="en-US"/>
        </w:rPr>
        <w:t xml:space="preserve">, </w:t>
      </w:r>
      <w:r w:rsidRPr="0079515C">
        <w:rPr>
          <w:spacing w:val="-4"/>
          <w:lang w:val="en-US"/>
        </w:rPr>
        <w:t xml:space="preserve">May 7, 2003, paras. 6.4 </w:t>
      </w:r>
      <w:proofErr w:type="gramStart"/>
      <w:r w:rsidRPr="0079515C">
        <w:rPr>
          <w:spacing w:val="-4"/>
          <w:lang w:val="en-US"/>
        </w:rPr>
        <w:t>and</w:t>
      </w:r>
      <w:proofErr w:type="gramEnd"/>
      <w:r w:rsidRPr="0079515C">
        <w:rPr>
          <w:spacing w:val="-4"/>
          <w:lang w:val="en-US"/>
        </w:rPr>
        <w:t xml:space="preserve"> 6.5. The European Court has ruled similarly. </w:t>
      </w:r>
      <w:r w:rsidRPr="0079515C">
        <w:rPr>
          <w:i/>
          <w:spacing w:val="-4"/>
          <w:lang w:val="en-US"/>
        </w:rPr>
        <w:t xml:space="preserve">Cf. </w:t>
      </w:r>
      <w:r w:rsidRPr="0079515C">
        <w:rPr>
          <w:spacing w:val="-4"/>
          <w:lang w:val="en-US"/>
        </w:rPr>
        <w:t xml:space="preserve">ECHR, </w:t>
      </w:r>
      <w:r w:rsidRPr="0079515C">
        <w:rPr>
          <w:i/>
          <w:spacing w:val="-4"/>
          <w:lang w:val="en-US"/>
        </w:rPr>
        <w:t xml:space="preserve">Case of Babar Ahmad </w:t>
      </w:r>
      <w:r>
        <w:rPr>
          <w:i/>
          <w:spacing w:val="-4"/>
          <w:lang w:val="en-US"/>
        </w:rPr>
        <w:t>and Others</w:t>
      </w:r>
      <w:r w:rsidRPr="0079515C">
        <w:rPr>
          <w:i/>
          <w:spacing w:val="-4"/>
          <w:lang w:val="en-US"/>
        </w:rPr>
        <w:t xml:space="preserve"> v. The United Kingdom</w:t>
      </w:r>
      <w:r w:rsidRPr="0079515C">
        <w:rPr>
          <w:spacing w:val="-4"/>
          <w:lang w:val="en-US"/>
        </w:rPr>
        <w:t>, Nos. </w:t>
      </w:r>
      <w:hyperlink r:id="rId8" w:anchor="{&quot;appno&quot;:[&quot;24027/07&quot;]}" w:tgtFrame="_blank" w:history="1">
        <w:proofErr w:type="gramStart"/>
        <w:r w:rsidRPr="0079515C">
          <w:rPr>
            <w:rStyle w:val="Hyperlink"/>
            <w:color w:val="auto"/>
            <w:spacing w:val="-4"/>
            <w:u w:val="none"/>
            <w:lang w:val="en-US"/>
          </w:rPr>
          <w:t>24027/07</w:t>
        </w:r>
      </w:hyperlink>
      <w:r w:rsidRPr="0079515C">
        <w:rPr>
          <w:spacing w:val="-4"/>
          <w:lang w:val="en-US"/>
        </w:rPr>
        <w:t>, </w:t>
      </w:r>
      <w:hyperlink r:id="rId9" w:anchor="{&quot;appno&quot;:[&quot;11949/08&quot;]}" w:tgtFrame="_blank" w:history="1">
        <w:r w:rsidRPr="0079515C">
          <w:rPr>
            <w:rStyle w:val="Hyperlink"/>
            <w:color w:val="auto"/>
            <w:spacing w:val="-4"/>
            <w:u w:val="none"/>
            <w:lang w:val="en-US"/>
          </w:rPr>
          <w:t>11949/08</w:t>
        </w:r>
      </w:hyperlink>
      <w:r w:rsidRPr="0079515C">
        <w:rPr>
          <w:spacing w:val="-4"/>
          <w:lang w:val="en-US"/>
        </w:rPr>
        <w:t xml:space="preserve">, </w:t>
      </w:r>
      <w:hyperlink r:id="rId10" w:anchor="{&quot;appno&quot;:[&quot;36742/08&quot;]}" w:tgtFrame="_blank" w:history="1">
        <w:r w:rsidRPr="0079515C">
          <w:rPr>
            <w:rStyle w:val="Hyperlink"/>
            <w:color w:val="auto"/>
            <w:spacing w:val="-4"/>
            <w:u w:val="none"/>
            <w:lang w:val="en-US"/>
          </w:rPr>
          <w:t>36742/08</w:t>
        </w:r>
      </w:hyperlink>
      <w:r w:rsidRPr="0079515C">
        <w:rPr>
          <w:rStyle w:val="Hyperlink"/>
          <w:color w:val="auto"/>
          <w:spacing w:val="-4"/>
          <w:u w:val="none"/>
          <w:lang w:val="en-US"/>
        </w:rPr>
        <w:t>, 66911/09 and 67354/09</w:t>
      </w:r>
      <w:r w:rsidRPr="0079515C">
        <w:rPr>
          <w:spacing w:val="-4"/>
          <w:lang w:val="en-US"/>
        </w:rPr>
        <w:t>.</w:t>
      </w:r>
      <w:proofErr w:type="gramEnd"/>
      <w:r w:rsidRPr="0079515C">
        <w:rPr>
          <w:spacing w:val="-4"/>
          <w:lang w:val="en-US"/>
        </w:rPr>
        <w:t xml:space="preserve"> </w:t>
      </w:r>
      <w:proofErr w:type="gramStart"/>
      <w:r w:rsidRPr="0079515C">
        <w:rPr>
          <w:spacing w:val="-4"/>
          <w:lang w:val="en-US"/>
        </w:rPr>
        <w:t>Judgment of April 10, 2012, para.</w:t>
      </w:r>
      <w:proofErr w:type="gramEnd"/>
      <w:r w:rsidRPr="0079515C">
        <w:rPr>
          <w:spacing w:val="-4"/>
          <w:lang w:val="en-US"/>
        </w:rPr>
        <w:t xml:space="preserve"> </w:t>
      </w:r>
      <w:proofErr w:type="gramStart"/>
      <w:r w:rsidRPr="0079515C">
        <w:rPr>
          <w:spacing w:val="-4"/>
          <w:lang w:val="en-US"/>
        </w:rPr>
        <w:t>168 and 176.</w:t>
      </w:r>
      <w:proofErr w:type="gramEnd"/>
      <w:r w:rsidRPr="0079515C">
        <w:rPr>
          <w:spacing w:val="-4"/>
          <w:lang w:val="en-US"/>
        </w:rPr>
        <w:t xml:space="preserve">  </w:t>
      </w:r>
      <w:r w:rsidRPr="0079515C">
        <w:rPr>
          <w:b/>
          <w:spacing w:val="-4"/>
          <w:lang w:val="en-US"/>
        </w:rPr>
        <w:t xml:space="preserve"> </w:t>
      </w:r>
    </w:p>
  </w:footnote>
  <w:footnote w:id="186">
    <w:p w14:paraId="399338F8" w14:textId="698FD18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UN, Human Rights Committee, General Comment No. 31, Nature of the General Legal Obligation on States Parties to the Covenant, CCPR/C/21/Rev.1/Add.13, May 26, 2004, </w:t>
      </w:r>
      <w:proofErr w:type="gramStart"/>
      <w:r w:rsidRPr="0079515C">
        <w:rPr>
          <w:spacing w:val="-4"/>
          <w:lang w:val="en-US"/>
        </w:rPr>
        <w:t>para</w:t>
      </w:r>
      <w:proofErr w:type="gramEnd"/>
      <w:r w:rsidRPr="0079515C">
        <w:rPr>
          <w:spacing w:val="-4"/>
          <w:lang w:val="en-US"/>
        </w:rPr>
        <w:t>. 12.</w:t>
      </w:r>
    </w:p>
  </w:footnote>
  <w:footnote w:id="187">
    <w:p w14:paraId="5FFD4AEC" w14:textId="49A990B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UN, Human Rights Committee</w:t>
      </w:r>
      <w:r w:rsidRPr="0079515C">
        <w:rPr>
          <w:i/>
          <w:spacing w:val="-4"/>
          <w:lang w:val="en-US"/>
        </w:rPr>
        <w:t>, Case of Roger Judge v. Canada</w:t>
      </w:r>
      <w:r w:rsidRPr="0079515C">
        <w:rPr>
          <w:spacing w:val="-4"/>
          <w:lang w:val="en-US"/>
        </w:rPr>
        <w:t>, Communication No.</w:t>
      </w:r>
      <w:r w:rsidRPr="0079515C">
        <w:rPr>
          <w:rStyle w:val="Strong"/>
          <w:b w:val="0"/>
          <w:color w:val="000000"/>
          <w:spacing w:val="-4"/>
          <w:shd w:val="clear" w:color="auto" w:fill="FFFFFF"/>
          <w:lang w:val="en-US"/>
        </w:rPr>
        <w:t>829/1998,</w:t>
      </w:r>
      <w:r w:rsidRPr="0079515C">
        <w:rPr>
          <w:rStyle w:val="apple-converted-space"/>
          <w:b/>
          <w:bCs w:val="0"/>
          <w:color w:val="000000"/>
          <w:spacing w:val="-4"/>
          <w:shd w:val="clear" w:color="auto" w:fill="FFFFFF"/>
          <w:lang w:val="en-US"/>
        </w:rPr>
        <w:t> </w:t>
      </w:r>
      <w:r w:rsidRPr="0079515C">
        <w:rPr>
          <w:spacing w:val="-4"/>
          <w:lang w:val="en-US"/>
        </w:rPr>
        <w:t xml:space="preserve">UN. </w:t>
      </w:r>
      <w:proofErr w:type="gramStart"/>
      <w:r w:rsidRPr="0079515C">
        <w:rPr>
          <w:spacing w:val="-4"/>
          <w:lang w:val="en-US"/>
        </w:rPr>
        <w:t>Doc. CCPR/C/78/D/829/1998, October 20, 2003, paras.</w:t>
      </w:r>
      <w:proofErr w:type="gramEnd"/>
      <w:r w:rsidRPr="0079515C">
        <w:rPr>
          <w:spacing w:val="-4"/>
          <w:lang w:val="en-US"/>
        </w:rPr>
        <w:t xml:space="preserve"> 10.4 </w:t>
      </w:r>
      <w:proofErr w:type="gramStart"/>
      <w:r w:rsidRPr="0079515C">
        <w:rPr>
          <w:spacing w:val="-4"/>
          <w:lang w:val="en-US"/>
        </w:rPr>
        <w:t>and</w:t>
      </w:r>
      <w:proofErr w:type="gramEnd"/>
      <w:r w:rsidRPr="0079515C">
        <w:rPr>
          <w:spacing w:val="-4"/>
          <w:lang w:val="en-US"/>
        </w:rPr>
        <w:t xml:space="preserve"> 10.6. </w:t>
      </w:r>
      <w:proofErr w:type="gramStart"/>
      <w:r w:rsidRPr="0079515C">
        <w:rPr>
          <w:spacing w:val="-4"/>
          <w:lang w:val="en-US"/>
        </w:rPr>
        <w:t xml:space="preserve">Similarly, </w:t>
      </w:r>
      <w:r w:rsidRPr="0079515C">
        <w:rPr>
          <w:i/>
          <w:spacing w:val="-4"/>
          <w:lang w:val="en-US"/>
        </w:rPr>
        <w:t>Case of Yin Fong, Kwok v. Australia</w:t>
      </w:r>
      <w:r w:rsidRPr="0079515C">
        <w:rPr>
          <w:spacing w:val="-4"/>
          <w:lang w:val="en-US"/>
        </w:rPr>
        <w:t>, Communication No. 1442/2005, UN.</w:t>
      </w:r>
      <w:proofErr w:type="gramEnd"/>
      <w:r w:rsidRPr="0079515C">
        <w:rPr>
          <w:spacing w:val="-4"/>
          <w:lang w:val="en-US"/>
        </w:rPr>
        <w:t xml:space="preserve"> </w:t>
      </w:r>
      <w:proofErr w:type="gramStart"/>
      <w:r w:rsidRPr="0079515C">
        <w:rPr>
          <w:spacing w:val="-4"/>
          <w:lang w:val="en-US"/>
        </w:rPr>
        <w:t>Doc. CCPR/C/97/D/1442/2005, October 23, 2009, para.</w:t>
      </w:r>
      <w:proofErr w:type="gramEnd"/>
      <w:r w:rsidRPr="0079515C">
        <w:rPr>
          <w:spacing w:val="-4"/>
          <w:lang w:val="en-US"/>
        </w:rPr>
        <w:t xml:space="preserve"> 9.7.</w:t>
      </w:r>
    </w:p>
  </w:footnote>
  <w:footnote w:id="188">
    <w:p w14:paraId="13302EDB" w14:textId="73E40178" w:rsidR="002306C1" w:rsidRPr="0079515C" w:rsidRDefault="002306C1" w:rsidP="00853044">
      <w:pPr>
        <w:widowControl w:val="0"/>
        <w:tabs>
          <w:tab w:val="left" w:pos="426"/>
        </w:tabs>
        <w:autoSpaceDE w:val="0"/>
        <w:autoSpaceDN w:val="0"/>
        <w:adjustRightInd w:val="0"/>
        <w:spacing w:before="120" w:after="120"/>
        <w:rPr>
          <w:rFonts w:cs="Times"/>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The application </w:t>
      </w:r>
      <w:r w:rsidRPr="0079515C">
        <w:rPr>
          <w:rFonts w:cs="Times"/>
          <w:spacing w:val="-4"/>
          <w:sz w:val="16"/>
          <w:szCs w:val="16"/>
          <w:lang w:val="en-US"/>
        </w:rPr>
        <w:t xml:space="preserve">of Article 3 of the Convention against Torture is restricted to cases in which there are well-founded reasons to believe that the author would be in danger of being subjected to torture as defined in Article 1 of the Convention. </w:t>
      </w:r>
      <w:r w:rsidRPr="0079515C">
        <w:rPr>
          <w:i/>
          <w:spacing w:val="-4"/>
          <w:sz w:val="16"/>
          <w:szCs w:val="16"/>
          <w:lang w:val="en-US"/>
        </w:rPr>
        <w:t>Cf.</w:t>
      </w:r>
      <w:r w:rsidRPr="0079515C">
        <w:rPr>
          <w:rFonts w:cs="Times"/>
          <w:spacing w:val="-4"/>
          <w:sz w:val="16"/>
          <w:szCs w:val="16"/>
          <w:lang w:val="en-US"/>
        </w:rPr>
        <w:t xml:space="preserve"> UN, Committee against Torture. </w:t>
      </w:r>
      <w:r w:rsidRPr="0079515C">
        <w:rPr>
          <w:rFonts w:cs="Times"/>
          <w:bCs/>
          <w:spacing w:val="-4"/>
          <w:sz w:val="16"/>
          <w:szCs w:val="16"/>
          <w:lang w:val="en-US"/>
        </w:rPr>
        <w:t xml:space="preserve">General Comment No. 1: Implementation of Article 3 of the Convention in the Context of Article 22, </w:t>
      </w:r>
      <w:r w:rsidRPr="0079515C">
        <w:rPr>
          <w:spacing w:val="-4"/>
          <w:sz w:val="16"/>
          <w:szCs w:val="16"/>
          <w:lang w:val="en-US"/>
        </w:rPr>
        <w:t xml:space="preserve">U.N. Doc. </w:t>
      </w:r>
      <w:r w:rsidRPr="0079515C">
        <w:rPr>
          <w:rFonts w:cs="Times"/>
          <w:bCs/>
          <w:spacing w:val="-4"/>
          <w:sz w:val="16"/>
          <w:szCs w:val="16"/>
          <w:lang w:val="en-US"/>
        </w:rPr>
        <w:t>CAT, A/53/44, November 21, 1997, para. 1</w:t>
      </w:r>
      <w:r w:rsidRPr="0079515C">
        <w:rPr>
          <w:rFonts w:cs="Times"/>
          <w:spacing w:val="-4"/>
          <w:sz w:val="16"/>
          <w:szCs w:val="16"/>
          <w:lang w:val="en-US"/>
        </w:rPr>
        <w:t>.</w:t>
      </w:r>
    </w:p>
  </w:footnote>
  <w:footnote w:id="189">
    <w:p w14:paraId="3A824959" w14:textId="0DBBBADD"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ECHR, </w:t>
      </w:r>
      <w:r w:rsidRPr="0079515C">
        <w:rPr>
          <w:i/>
          <w:spacing w:val="-4"/>
          <w:lang w:val="en-US"/>
        </w:rPr>
        <w:t>Case of</w:t>
      </w:r>
      <w:r w:rsidRPr="0079515C">
        <w:rPr>
          <w:spacing w:val="-4"/>
          <w:lang w:val="en-US"/>
        </w:rPr>
        <w:t xml:space="preserve"> </w:t>
      </w:r>
      <w:proofErr w:type="spellStart"/>
      <w:r w:rsidRPr="0079515C">
        <w:rPr>
          <w:i/>
          <w:spacing w:val="-4"/>
          <w:lang w:val="en-US"/>
        </w:rPr>
        <w:t>Shamayev</w:t>
      </w:r>
      <w:proofErr w:type="spellEnd"/>
      <w:r w:rsidRPr="0079515C">
        <w:rPr>
          <w:i/>
          <w:spacing w:val="-4"/>
          <w:lang w:val="en-US"/>
        </w:rPr>
        <w:t xml:space="preserve"> and Others v. Georgia and Russia</w:t>
      </w:r>
      <w:r w:rsidRPr="0079515C">
        <w:rPr>
          <w:spacing w:val="-4"/>
          <w:lang w:val="en-US"/>
        </w:rPr>
        <w:t xml:space="preserve">, No. 36378/02. </w:t>
      </w:r>
      <w:proofErr w:type="gramStart"/>
      <w:r w:rsidRPr="0079515C">
        <w:rPr>
          <w:spacing w:val="-4"/>
          <w:lang w:val="en-US"/>
        </w:rPr>
        <w:t>Judgment of April 12, 2005, para.</w:t>
      </w:r>
      <w:proofErr w:type="gramEnd"/>
      <w:r w:rsidRPr="0079515C">
        <w:rPr>
          <w:spacing w:val="-4"/>
          <w:lang w:val="en-US"/>
        </w:rPr>
        <w:t xml:space="preserve"> 335, citing: </w:t>
      </w:r>
      <w:r w:rsidRPr="0079515C">
        <w:rPr>
          <w:rStyle w:val="sb8d990e2"/>
          <w:rFonts w:cs="Arial"/>
          <w:i/>
          <w:color w:val="000000" w:themeColor="text1"/>
          <w:spacing w:val="-4"/>
          <w:shd w:val="clear" w:color="auto" w:fill="FFFFFF"/>
          <w:lang w:val="en-US"/>
        </w:rPr>
        <w:t xml:space="preserve">Case of </w:t>
      </w:r>
      <w:proofErr w:type="spellStart"/>
      <w:r w:rsidRPr="0079515C">
        <w:rPr>
          <w:rStyle w:val="s6b621b36"/>
          <w:rFonts w:cs="Arial"/>
          <w:i/>
          <w:iCs/>
          <w:color w:val="000000" w:themeColor="text1"/>
          <w:spacing w:val="-4"/>
          <w:shd w:val="clear" w:color="auto" w:fill="FFFFFF"/>
          <w:lang w:val="en-US"/>
        </w:rPr>
        <w:t>Chahal</w:t>
      </w:r>
      <w:proofErr w:type="spellEnd"/>
      <w:r w:rsidRPr="0079515C">
        <w:rPr>
          <w:rStyle w:val="s6b621b36"/>
          <w:rFonts w:cs="Arial"/>
          <w:i/>
          <w:iCs/>
          <w:color w:val="000000" w:themeColor="text1"/>
          <w:spacing w:val="-4"/>
          <w:shd w:val="clear" w:color="auto" w:fill="FFFFFF"/>
          <w:lang w:val="en-US"/>
        </w:rPr>
        <w:t xml:space="preserve"> v. </w:t>
      </w:r>
      <w:proofErr w:type="gramStart"/>
      <w:r w:rsidRPr="0079515C">
        <w:rPr>
          <w:rStyle w:val="s6b621b36"/>
          <w:rFonts w:cs="Arial"/>
          <w:i/>
          <w:iCs/>
          <w:color w:val="000000" w:themeColor="text1"/>
          <w:spacing w:val="-4"/>
          <w:shd w:val="clear" w:color="auto" w:fill="FFFFFF"/>
          <w:lang w:val="en-US"/>
        </w:rPr>
        <w:t>The United Kingdom</w:t>
      </w:r>
      <w:r w:rsidRPr="0079515C">
        <w:rPr>
          <w:rStyle w:val="s6b621b36"/>
          <w:rFonts w:cs="Arial"/>
          <w:iCs/>
          <w:color w:val="000000" w:themeColor="text1"/>
          <w:spacing w:val="-4"/>
          <w:shd w:val="clear" w:color="auto" w:fill="FFFFFF"/>
          <w:lang w:val="en-US"/>
        </w:rPr>
        <w:t xml:space="preserve"> [GS], </w:t>
      </w:r>
      <w:r w:rsidRPr="0079515C">
        <w:rPr>
          <w:rStyle w:val="sb8d990e2"/>
          <w:rFonts w:cs="Arial"/>
          <w:color w:val="000000" w:themeColor="text1"/>
          <w:spacing w:val="-4"/>
          <w:shd w:val="clear" w:color="auto" w:fill="FFFFFF"/>
          <w:lang w:val="en-US"/>
        </w:rPr>
        <w:t>No.</w:t>
      </w:r>
      <w:proofErr w:type="gramEnd"/>
      <w:r w:rsidRPr="0079515C">
        <w:rPr>
          <w:rStyle w:val="sb8d990e2"/>
          <w:rFonts w:cs="Arial"/>
          <w:color w:val="000000" w:themeColor="text1"/>
          <w:spacing w:val="-4"/>
          <w:shd w:val="clear" w:color="auto" w:fill="FFFFFF"/>
          <w:lang w:val="en-US"/>
        </w:rPr>
        <w:t xml:space="preserve"> </w:t>
      </w:r>
      <w:hyperlink r:id="rId11" w:anchor="{&quot;appno&quot;:[&quot;22414/93&quot;]}" w:tgtFrame="_blank" w:history="1">
        <w:proofErr w:type="gramStart"/>
        <w:r w:rsidRPr="0079515C">
          <w:rPr>
            <w:rStyle w:val="Hyperlink"/>
            <w:rFonts w:cs="Arial"/>
            <w:iCs/>
            <w:color w:val="000000" w:themeColor="text1"/>
            <w:spacing w:val="-4"/>
            <w:u w:val="none"/>
            <w:shd w:val="clear" w:color="auto" w:fill="FFFFFF"/>
            <w:lang w:val="en-US"/>
          </w:rPr>
          <w:t>22414/93</w:t>
        </w:r>
      </w:hyperlink>
      <w:r w:rsidRPr="0079515C">
        <w:rPr>
          <w:rStyle w:val="s6b621b36"/>
          <w:rFonts w:cs="Arial"/>
          <w:iCs/>
          <w:color w:val="000000" w:themeColor="text1"/>
          <w:spacing w:val="-4"/>
          <w:shd w:val="clear" w:color="auto" w:fill="FFFFFF"/>
          <w:lang w:val="en-US"/>
        </w:rPr>
        <w:t>.</w:t>
      </w:r>
      <w:proofErr w:type="gramEnd"/>
      <w:r w:rsidRPr="0079515C">
        <w:rPr>
          <w:rStyle w:val="s6b621b36"/>
          <w:rFonts w:cs="Arial"/>
          <w:iCs/>
          <w:color w:val="000000" w:themeColor="text1"/>
          <w:spacing w:val="-4"/>
          <w:shd w:val="clear" w:color="auto" w:fill="FFFFFF"/>
          <w:lang w:val="en-US"/>
        </w:rPr>
        <w:t xml:space="preserve"> </w:t>
      </w:r>
      <w:proofErr w:type="gramStart"/>
      <w:r w:rsidRPr="0079515C">
        <w:rPr>
          <w:rStyle w:val="s6b621b36"/>
          <w:rFonts w:cs="Arial"/>
          <w:iCs/>
          <w:color w:val="000000" w:themeColor="text1"/>
          <w:spacing w:val="-4"/>
          <w:shd w:val="clear" w:color="auto" w:fill="FFFFFF"/>
          <w:lang w:val="en-US"/>
        </w:rPr>
        <w:t>Judgment of November 15, 1996, paras.</w:t>
      </w:r>
      <w:proofErr w:type="gramEnd"/>
      <w:r w:rsidRPr="0079515C">
        <w:rPr>
          <w:rStyle w:val="s6b621b36"/>
          <w:rFonts w:cs="Arial"/>
          <w:iCs/>
          <w:color w:val="000000" w:themeColor="text1"/>
          <w:spacing w:val="-4"/>
          <w:shd w:val="clear" w:color="auto" w:fill="FFFFFF"/>
          <w:lang w:val="en-US"/>
        </w:rPr>
        <w:t xml:space="preserve"> </w:t>
      </w:r>
      <w:proofErr w:type="gramStart"/>
      <w:r w:rsidRPr="0079515C">
        <w:rPr>
          <w:rStyle w:val="s6b621b36"/>
          <w:rFonts w:cs="Arial"/>
          <w:iCs/>
          <w:color w:val="000000" w:themeColor="text1"/>
          <w:spacing w:val="-4"/>
          <w:shd w:val="clear" w:color="auto" w:fill="FFFFFF"/>
          <w:lang w:val="en-US"/>
        </w:rPr>
        <w:t xml:space="preserve">73 and 74; </w:t>
      </w:r>
      <w:r w:rsidRPr="0079515C">
        <w:rPr>
          <w:rStyle w:val="sb8d990e2"/>
          <w:i/>
          <w:iCs/>
          <w:color w:val="000000"/>
          <w:spacing w:val="-4"/>
          <w:shd w:val="clear" w:color="auto" w:fill="FFFFFF"/>
          <w:lang w:val="en-US"/>
        </w:rPr>
        <w:t xml:space="preserve">Case of </w:t>
      </w:r>
      <w:proofErr w:type="spellStart"/>
      <w:r w:rsidRPr="0079515C">
        <w:rPr>
          <w:rStyle w:val="sb8d990e2"/>
          <w:i/>
          <w:iCs/>
          <w:color w:val="000000"/>
          <w:spacing w:val="-4"/>
          <w:shd w:val="clear" w:color="auto" w:fill="FFFFFF"/>
          <w:lang w:val="en-US"/>
        </w:rPr>
        <w:t>Soering</w:t>
      </w:r>
      <w:proofErr w:type="spellEnd"/>
      <w:r w:rsidRPr="0079515C">
        <w:rPr>
          <w:rStyle w:val="sb8d990e2"/>
          <w:i/>
          <w:iCs/>
          <w:color w:val="000000"/>
          <w:spacing w:val="-4"/>
          <w:shd w:val="clear" w:color="auto" w:fill="FFFFFF"/>
          <w:lang w:val="en-US"/>
        </w:rPr>
        <w:t xml:space="preserve"> v.</w:t>
      </w:r>
      <w:proofErr w:type="gramEnd"/>
      <w:r w:rsidRPr="0079515C">
        <w:rPr>
          <w:rStyle w:val="sb8d990e2"/>
          <w:i/>
          <w:iCs/>
          <w:color w:val="000000"/>
          <w:spacing w:val="-4"/>
          <w:shd w:val="clear" w:color="auto" w:fill="FFFFFF"/>
          <w:lang w:val="en-US"/>
        </w:rPr>
        <w:t xml:space="preserve"> </w:t>
      </w:r>
      <w:proofErr w:type="gramStart"/>
      <w:r w:rsidRPr="0079515C">
        <w:rPr>
          <w:rStyle w:val="sb8d990e2"/>
          <w:i/>
          <w:iCs/>
          <w:color w:val="000000"/>
          <w:spacing w:val="-4"/>
          <w:shd w:val="clear" w:color="auto" w:fill="FFFFFF"/>
          <w:lang w:val="en-US"/>
        </w:rPr>
        <w:t>The United Kingdom</w:t>
      </w:r>
      <w:r w:rsidRPr="0079515C">
        <w:rPr>
          <w:rStyle w:val="sb8d990e2"/>
          <w:color w:val="000000"/>
          <w:spacing w:val="-4"/>
          <w:shd w:val="clear" w:color="auto" w:fill="FFFFFF"/>
          <w:lang w:val="en-US"/>
        </w:rPr>
        <w:t>, No.</w:t>
      </w:r>
      <w:r w:rsidRPr="0079515C">
        <w:rPr>
          <w:rStyle w:val="apple-converted-space"/>
          <w:color w:val="000000"/>
          <w:spacing w:val="-4"/>
          <w:shd w:val="clear" w:color="auto" w:fill="FFFFFF"/>
          <w:lang w:val="en-US"/>
        </w:rPr>
        <w:t> </w:t>
      </w:r>
      <w:r w:rsidRPr="0079515C">
        <w:rPr>
          <w:spacing w:val="-4"/>
          <w:lang w:val="en-US"/>
        </w:rPr>
        <w:t>14038/88</w:t>
      </w:r>
      <w:r w:rsidRPr="0079515C">
        <w:rPr>
          <w:rStyle w:val="sb8d990e2"/>
          <w:color w:val="000000"/>
          <w:spacing w:val="-4"/>
          <w:shd w:val="clear" w:color="auto" w:fill="FFFFFF"/>
          <w:lang w:val="en-US"/>
        </w:rPr>
        <w:t>.</w:t>
      </w:r>
      <w:proofErr w:type="gramEnd"/>
      <w:r w:rsidRPr="0079515C">
        <w:rPr>
          <w:rStyle w:val="sb8d990e2"/>
          <w:color w:val="000000"/>
          <w:spacing w:val="-4"/>
          <w:shd w:val="clear" w:color="auto" w:fill="FFFFFF"/>
          <w:lang w:val="en-US"/>
        </w:rPr>
        <w:t xml:space="preserve"> </w:t>
      </w:r>
      <w:proofErr w:type="gramStart"/>
      <w:r w:rsidRPr="0079515C">
        <w:rPr>
          <w:rStyle w:val="sb8d990e2"/>
          <w:color w:val="000000"/>
          <w:spacing w:val="-4"/>
          <w:shd w:val="clear" w:color="auto" w:fill="FFFFFF"/>
          <w:lang w:val="en-US"/>
        </w:rPr>
        <w:t>Judgment of July 7, 1989, paras.</w:t>
      </w:r>
      <w:proofErr w:type="gramEnd"/>
      <w:r w:rsidRPr="0079515C">
        <w:rPr>
          <w:rStyle w:val="sb8d990e2"/>
          <w:color w:val="000000"/>
          <w:spacing w:val="-4"/>
          <w:shd w:val="clear" w:color="auto" w:fill="FFFFFF"/>
          <w:lang w:val="en-US"/>
        </w:rPr>
        <w:t xml:space="preserve"> 34 to </w:t>
      </w:r>
      <w:proofErr w:type="gramStart"/>
      <w:r w:rsidRPr="0079515C">
        <w:rPr>
          <w:rStyle w:val="sb8d990e2"/>
          <w:color w:val="000000"/>
          <w:spacing w:val="-4"/>
          <w:shd w:val="clear" w:color="auto" w:fill="FFFFFF"/>
          <w:lang w:val="en-US"/>
        </w:rPr>
        <w:t>36,</w:t>
      </w:r>
      <w:proofErr w:type="gramEnd"/>
      <w:r w:rsidRPr="0079515C">
        <w:rPr>
          <w:rStyle w:val="sb8d990e2"/>
          <w:color w:val="000000"/>
          <w:spacing w:val="-4"/>
          <w:shd w:val="clear" w:color="auto" w:fill="FFFFFF"/>
          <w:lang w:val="en-US"/>
        </w:rPr>
        <w:t xml:space="preserve"> and </w:t>
      </w:r>
      <w:r w:rsidRPr="0079515C">
        <w:rPr>
          <w:i/>
          <w:spacing w:val="-4"/>
          <w:lang w:val="en-US"/>
        </w:rPr>
        <w:t xml:space="preserve">Case of Cruz </w:t>
      </w:r>
      <w:proofErr w:type="spellStart"/>
      <w:r w:rsidRPr="0079515C">
        <w:rPr>
          <w:i/>
          <w:spacing w:val="-4"/>
          <w:lang w:val="en-US"/>
        </w:rPr>
        <w:t>Varas</w:t>
      </w:r>
      <w:proofErr w:type="spellEnd"/>
      <w:r w:rsidRPr="0079515C">
        <w:rPr>
          <w:i/>
          <w:spacing w:val="-4"/>
          <w:lang w:val="en-US"/>
        </w:rPr>
        <w:t xml:space="preserve"> </w:t>
      </w:r>
      <w:r>
        <w:rPr>
          <w:i/>
          <w:spacing w:val="-4"/>
          <w:lang w:val="en-US"/>
        </w:rPr>
        <w:t>and Others</w:t>
      </w:r>
      <w:r w:rsidRPr="0079515C">
        <w:rPr>
          <w:i/>
          <w:spacing w:val="-4"/>
          <w:lang w:val="en-US"/>
        </w:rPr>
        <w:t xml:space="preserve"> v. Sweden</w:t>
      </w:r>
      <w:r w:rsidRPr="0079515C">
        <w:rPr>
          <w:spacing w:val="-4"/>
          <w:lang w:val="en-US"/>
        </w:rPr>
        <w:t xml:space="preserve">, No. </w:t>
      </w:r>
      <w:hyperlink r:id="rId12" w:anchor="{&quot;appno&quot;:[&quot;15576/89&quot;]}" w:tgtFrame="_blank" w:history="1">
        <w:proofErr w:type="gramStart"/>
        <w:r w:rsidRPr="0079515C">
          <w:rPr>
            <w:spacing w:val="-4"/>
            <w:lang w:val="en-US"/>
          </w:rPr>
          <w:t>15576/89</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March 20, 1991, paras.</w:t>
      </w:r>
      <w:proofErr w:type="gramEnd"/>
      <w:r w:rsidRPr="0079515C">
        <w:rPr>
          <w:spacing w:val="-4"/>
          <w:lang w:val="en-US"/>
        </w:rPr>
        <w:t xml:space="preserve"> </w:t>
      </w:r>
      <w:proofErr w:type="gramStart"/>
      <w:r w:rsidRPr="0079515C">
        <w:rPr>
          <w:spacing w:val="-4"/>
          <w:lang w:val="en-US"/>
        </w:rPr>
        <w:t>69 and 70.</w:t>
      </w:r>
      <w:proofErr w:type="gramEnd"/>
      <w:r w:rsidRPr="0079515C">
        <w:rPr>
          <w:spacing w:val="-4"/>
          <w:lang w:val="en-US"/>
        </w:rPr>
        <w:t xml:space="preserve"> Similarly, see </w:t>
      </w:r>
      <w:r w:rsidRPr="0079515C">
        <w:rPr>
          <w:i/>
          <w:spacing w:val="-4"/>
          <w:lang w:val="en-US"/>
        </w:rPr>
        <w:t>inter alia</w:t>
      </w:r>
      <w:r w:rsidRPr="0079515C">
        <w:rPr>
          <w:spacing w:val="-4"/>
          <w:lang w:val="en-US"/>
        </w:rPr>
        <w:t xml:space="preserve">, </w:t>
      </w:r>
      <w:r w:rsidRPr="0079515C">
        <w:rPr>
          <w:i/>
          <w:color w:val="000000" w:themeColor="text1"/>
          <w:spacing w:val="-4"/>
          <w:lang w:val="en-US"/>
        </w:rPr>
        <w:t xml:space="preserve">Case of </w:t>
      </w:r>
      <w:proofErr w:type="spellStart"/>
      <w:r w:rsidRPr="0079515C">
        <w:rPr>
          <w:i/>
          <w:color w:val="000000" w:themeColor="text1"/>
          <w:spacing w:val="-4"/>
          <w:lang w:val="en-US"/>
        </w:rPr>
        <w:t>Saadi</w:t>
      </w:r>
      <w:proofErr w:type="spellEnd"/>
      <w:r w:rsidRPr="0079515C">
        <w:rPr>
          <w:i/>
          <w:color w:val="000000" w:themeColor="text1"/>
          <w:spacing w:val="-4"/>
          <w:lang w:val="en-US"/>
        </w:rPr>
        <w:t xml:space="preserve"> v. Italy </w:t>
      </w:r>
      <w:r w:rsidRPr="0079515C">
        <w:rPr>
          <w:color w:val="000000" w:themeColor="text1"/>
          <w:spacing w:val="-4"/>
          <w:lang w:val="en-US"/>
        </w:rPr>
        <w:t xml:space="preserve">[GS], No. 37201/06. </w:t>
      </w:r>
      <w:proofErr w:type="gramStart"/>
      <w:r w:rsidRPr="0079515C">
        <w:rPr>
          <w:color w:val="000000" w:themeColor="text1"/>
          <w:spacing w:val="-4"/>
          <w:lang w:val="en-US"/>
        </w:rPr>
        <w:t>Judgment of February 28, 2008, para.</w:t>
      </w:r>
      <w:proofErr w:type="gramEnd"/>
      <w:r w:rsidRPr="0079515C">
        <w:rPr>
          <w:color w:val="000000" w:themeColor="text1"/>
          <w:spacing w:val="-4"/>
          <w:lang w:val="en-US"/>
        </w:rPr>
        <w:t xml:space="preserve"> </w:t>
      </w:r>
      <w:proofErr w:type="gramStart"/>
      <w:r w:rsidRPr="0079515C">
        <w:rPr>
          <w:rStyle w:val="sb8d990e2"/>
          <w:rFonts w:cs="Arial"/>
          <w:color w:val="000000" w:themeColor="text1"/>
          <w:spacing w:val="-4"/>
          <w:shd w:val="clear" w:color="auto" w:fill="FFFFFF"/>
          <w:lang w:val="en-US"/>
        </w:rPr>
        <w:t xml:space="preserve">125; </w:t>
      </w:r>
      <w:r w:rsidRPr="0079515C">
        <w:rPr>
          <w:i/>
          <w:color w:val="000000" w:themeColor="text1"/>
          <w:spacing w:val="-4"/>
          <w:lang w:val="en-US"/>
        </w:rPr>
        <w:t xml:space="preserve">Case of </w:t>
      </w:r>
      <w:proofErr w:type="spellStart"/>
      <w:r w:rsidRPr="0079515C">
        <w:rPr>
          <w:i/>
          <w:color w:val="000000" w:themeColor="text1"/>
          <w:spacing w:val="-4"/>
          <w:lang w:val="en-US"/>
        </w:rPr>
        <w:t>Nizomkhon</w:t>
      </w:r>
      <w:proofErr w:type="spellEnd"/>
      <w:r w:rsidRPr="0079515C">
        <w:rPr>
          <w:i/>
          <w:color w:val="000000" w:themeColor="text1"/>
          <w:spacing w:val="-4"/>
          <w:lang w:val="en-US"/>
        </w:rPr>
        <w:t xml:space="preserve"> </w:t>
      </w:r>
      <w:proofErr w:type="spellStart"/>
      <w:r w:rsidRPr="0079515C">
        <w:rPr>
          <w:i/>
          <w:color w:val="000000" w:themeColor="text1"/>
          <w:spacing w:val="-4"/>
          <w:lang w:val="en-US"/>
        </w:rPr>
        <w:t>Dzhurayev</w:t>
      </w:r>
      <w:proofErr w:type="spellEnd"/>
      <w:r w:rsidRPr="0079515C">
        <w:rPr>
          <w:i/>
          <w:color w:val="000000" w:themeColor="text1"/>
          <w:spacing w:val="-4"/>
          <w:lang w:val="en-US"/>
        </w:rPr>
        <w:t xml:space="preserve"> v. Russia</w:t>
      </w:r>
      <w:r w:rsidRPr="0079515C">
        <w:rPr>
          <w:color w:val="000000" w:themeColor="text1"/>
          <w:spacing w:val="-4"/>
          <w:lang w:val="en-US"/>
        </w:rPr>
        <w:t xml:space="preserve">, </w:t>
      </w:r>
      <w:r w:rsidRPr="0079515C">
        <w:rPr>
          <w:rFonts w:cs="Arial"/>
          <w:iCs/>
          <w:color w:val="000000" w:themeColor="text1"/>
          <w:spacing w:val="-4"/>
          <w:shd w:val="clear" w:color="auto" w:fill="FFFFFF"/>
          <w:lang w:val="en-US"/>
        </w:rPr>
        <w:t>No.</w:t>
      </w:r>
      <w:proofErr w:type="gramEnd"/>
      <w:r w:rsidRPr="0079515C">
        <w:rPr>
          <w:rStyle w:val="apple-converted-space"/>
          <w:rFonts w:cs="Arial"/>
          <w:iCs/>
          <w:color w:val="000000" w:themeColor="text1"/>
          <w:spacing w:val="-4"/>
          <w:shd w:val="clear" w:color="auto" w:fill="FFFFFF"/>
          <w:lang w:val="en-US"/>
        </w:rPr>
        <w:t> </w:t>
      </w:r>
      <w:hyperlink r:id="rId13" w:anchor="{&quot;appno&quot;:[&quot;31890/11&quot;]}" w:tgtFrame="_blank" w:history="1">
        <w:proofErr w:type="gramStart"/>
        <w:r w:rsidRPr="0079515C">
          <w:rPr>
            <w:rStyle w:val="Hyperlink"/>
            <w:rFonts w:cs="Arial"/>
            <w:iCs/>
            <w:color w:val="000000" w:themeColor="text1"/>
            <w:spacing w:val="-4"/>
            <w:u w:val="none"/>
            <w:shd w:val="clear" w:color="auto" w:fill="FFFFFF"/>
            <w:lang w:val="en-US"/>
          </w:rPr>
          <w:t>31890/11</w:t>
        </w:r>
      </w:hyperlink>
      <w:r w:rsidRPr="0079515C">
        <w:rPr>
          <w:color w:val="000000" w:themeColor="text1"/>
          <w:spacing w:val="-4"/>
          <w:lang w:val="en-US"/>
        </w:rPr>
        <w:t>, Judgment of October 3, 2013, para.</w:t>
      </w:r>
      <w:proofErr w:type="gramEnd"/>
      <w:r w:rsidRPr="0079515C">
        <w:rPr>
          <w:color w:val="000000" w:themeColor="text1"/>
          <w:spacing w:val="-4"/>
          <w:lang w:val="en-US"/>
        </w:rPr>
        <w:t xml:space="preserve"> </w:t>
      </w:r>
      <w:proofErr w:type="gramStart"/>
      <w:r w:rsidRPr="0079515C">
        <w:rPr>
          <w:color w:val="000000" w:themeColor="text1"/>
          <w:spacing w:val="-4"/>
          <w:lang w:val="en-US"/>
        </w:rPr>
        <w:t>105,</w:t>
      </w:r>
      <w:proofErr w:type="gramEnd"/>
      <w:r w:rsidRPr="0079515C">
        <w:rPr>
          <w:color w:val="000000" w:themeColor="text1"/>
          <w:spacing w:val="-4"/>
          <w:lang w:val="en-US"/>
        </w:rPr>
        <w:t xml:space="preserve"> and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185. </w:t>
      </w:r>
    </w:p>
  </w:footnote>
  <w:footnote w:id="190">
    <w:p w14:paraId="3344A13E" w14:textId="537C3AAD"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ECHR, </w:t>
      </w:r>
      <w:r w:rsidRPr="0079515C">
        <w:rPr>
          <w:i/>
          <w:spacing w:val="-4"/>
          <w:lang w:val="en-US"/>
        </w:rPr>
        <w:t>Case of Al-</w:t>
      </w:r>
      <w:proofErr w:type="spellStart"/>
      <w:r w:rsidRPr="0079515C">
        <w:rPr>
          <w:i/>
          <w:spacing w:val="-4"/>
          <w:lang w:val="en-US"/>
        </w:rPr>
        <w:t>Saadoon</w:t>
      </w:r>
      <w:proofErr w:type="spellEnd"/>
      <w:r w:rsidRPr="0079515C">
        <w:rPr>
          <w:i/>
          <w:spacing w:val="-4"/>
          <w:lang w:val="en-US"/>
        </w:rPr>
        <w:t xml:space="preserve"> and </w:t>
      </w:r>
      <w:proofErr w:type="spellStart"/>
      <w:r w:rsidRPr="0079515C">
        <w:rPr>
          <w:i/>
          <w:spacing w:val="-4"/>
          <w:lang w:val="en-US"/>
        </w:rPr>
        <w:t>Mufdhi</w:t>
      </w:r>
      <w:proofErr w:type="spellEnd"/>
      <w:r w:rsidRPr="0079515C">
        <w:rPr>
          <w:i/>
          <w:spacing w:val="-4"/>
          <w:lang w:val="en-US"/>
        </w:rPr>
        <w:t xml:space="preserve"> v. The United Kingdom</w:t>
      </w:r>
      <w:r w:rsidRPr="0079515C">
        <w:rPr>
          <w:spacing w:val="-4"/>
          <w:lang w:val="en-US"/>
        </w:rPr>
        <w:t xml:space="preserve">, </w:t>
      </w:r>
      <w:r w:rsidRPr="0079515C">
        <w:rPr>
          <w:iCs/>
          <w:spacing w:val="-4"/>
          <w:lang w:val="en-US"/>
        </w:rPr>
        <w:t>No.</w:t>
      </w:r>
      <w:hyperlink r:id="rId14" w:anchor="{&quot;appno&quot;:[&quot;61498/08&quot;]}" w:tgtFrame="_blank" w:history="1">
        <w:r w:rsidRPr="0079515C">
          <w:rPr>
            <w:rStyle w:val="Hyperlink"/>
            <w:iCs/>
            <w:color w:val="auto"/>
            <w:spacing w:val="-4"/>
            <w:u w:val="none"/>
            <w:lang w:val="en-US"/>
          </w:rPr>
          <w:t>61498/08</w:t>
        </w:r>
      </w:hyperlink>
      <w:r w:rsidRPr="0079515C">
        <w:rPr>
          <w:iCs/>
          <w:spacing w:val="-4"/>
          <w:lang w:val="en-US"/>
        </w:rPr>
        <w:t xml:space="preserve">. </w:t>
      </w:r>
      <w:proofErr w:type="gramStart"/>
      <w:r w:rsidRPr="0079515C">
        <w:rPr>
          <w:iCs/>
          <w:spacing w:val="-4"/>
          <w:lang w:val="en-US"/>
        </w:rPr>
        <w:t>Judgment of March 2, 2010, para.</w:t>
      </w:r>
      <w:proofErr w:type="gramEnd"/>
      <w:r w:rsidRPr="0079515C">
        <w:rPr>
          <w:iCs/>
          <w:spacing w:val="-4"/>
          <w:lang w:val="en-US"/>
        </w:rPr>
        <w:t xml:space="preserve"> </w:t>
      </w:r>
      <w:proofErr w:type="gramStart"/>
      <w:r w:rsidRPr="0079515C">
        <w:rPr>
          <w:iCs/>
          <w:spacing w:val="-4"/>
          <w:lang w:val="en-US"/>
        </w:rPr>
        <w:t xml:space="preserve">123; </w:t>
      </w:r>
      <w:r w:rsidRPr="0079515C">
        <w:rPr>
          <w:i/>
          <w:iCs/>
          <w:spacing w:val="-4"/>
          <w:lang w:val="en-US"/>
        </w:rPr>
        <w:t xml:space="preserve">Case of </w:t>
      </w:r>
      <w:proofErr w:type="spellStart"/>
      <w:r w:rsidRPr="0079515C">
        <w:rPr>
          <w:rStyle w:val="s6b621b36"/>
          <w:rFonts w:cs="Arial"/>
          <w:i/>
          <w:iCs/>
          <w:spacing w:val="-4"/>
          <w:shd w:val="clear" w:color="auto" w:fill="FFFFFF"/>
          <w:lang w:val="en-US"/>
        </w:rPr>
        <w:t>Hakizimana</w:t>
      </w:r>
      <w:proofErr w:type="spellEnd"/>
      <w:r w:rsidRPr="0079515C">
        <w:rPr>
          <w:rStyle w:val="s6b621b36"/>
          <w:rFonts w:cs="Arial"/>
          <w:i/>
          <w:iCs/>
          <w:spacing w:val="-4"/>
          <w:shd w:val="clear" w:color="auto" w:fill="FFFFFF"/>
          <w:lang w:val="en-US"/>
        </w:rPr>
        <w:t xml:space="preserve"> v. Sweden</w:t>
      </w:r>
      <w:r w:rsidRPr="0079515C">
        <w:rPr>
          <w:rStyle w:val="sb8d990e2"/>
          <w:rFonts w:cs="Arial"/>
          <w:spacing w:val="-4"/>
          <w:shd w:val="clear" w:color="auto" w:fill="FFFFFF"/>
          <w:lang w:val="en-US"/>
        </w:rPr>
        <w:t>, No.</w:t>
      </w:r>
      <w:proofErr w:type="gramEnd"/>
      <w:r w:rsidRPr="0079515C">
        <w:rPr>
          <w:rStyle w:val="sb8d990e2"/>
          <w:rFonts w:cs="Arial"/>
          <w:spacing w:val="-4"/>
          <w:shd w:val="clear" w:color="auto" w:fill="FFFFFF"/>
          <w:lang w:val="en-US"/>
        </w:rPr>
        <w:t> </w:t>
      </w:r>
      <w:hyperlink r:id="rId15" w:anchor="{&quot;appno&quot;:[&quot;37913/05&quot;]}" w:tgtFrame="_blank" w:history="1">
        <w:proofErr w:type="gramStart"/>
        <w:r w:rsidRPr="0079515C">
          <w:rPr>
            <w:rStyle w:val="Hyperlink"/>
            <w:rFonts w:cs="Arial"/>
            <w:color w:val="auto"/>
            <w:spacing w:val="-4"/>
            <w:u w:val="none"/>
            <w:shd w:val="clear" w:color="auto" w:fill="FFFFFF"/>
            <w:lang w:val="en-US"/>
          </w:rPr>
          <w:t>37913/05</w:t>
        </w:r>
      </w:hyperlink>
      <w:r w:rsidRPr="0079515C">
        <w:rPr>
          <w:rStyle w:val="sb8d990e2"/>
          <w:rFonts w:cs="Arial"/>
          <w:spacing w:val="-4"/>
          <w:shd w:val="clear" w:color="auto" w:fill="FFFFFF"/>
          <w:lang w:val="en-US"/>
        </w:rPr>
        <w:t xml:space="preserve">, Decision of March 27, 2008, and </w:t>
      </w:r>
      <w:r w:rsidRPr="0079515C">
        <w:rPr>
          <w:i/>
          <w:spacing w:val="-4"/>
          <w:lang w:val="en-US"/>
        </w:rPr>
        <w:t xml:space="preserve">Case of </w:t>
      </w:r>
      <w:proofErr w:type="spellStart"/>
      <w:r w:rsidRPr="0079515C">
        <w:rPr>
          <w:i/>
          <w:spacing w:val="-4"/>
          <w:lang w:val="en-US"/>
        </w:rPr>
        <w:t>Kaboulov</w:t>
      </w:r>
      <w:proofErr w:type="spellEnd"/>
      <w:r w:rsidRPr="0079515C">
        <w:rPr>
          <w:i/>
          <w:spacing w:val="-4"/>
          <w:lang w:val="en-US"/>
        </w:rPr>
        <w:t xml:space="preserve"> v. Ukraine,</w:t>
      </w:r>
      <w:r w:rsidRPr="0079515C">
        <w:rPr>
          <w:spacing w:val="-4"/>
          <w:lang w:val="en-US"/>
        </w:rPr>
        <w:t xml:space="preserve"> No. 41015/04.</w:t>
      </w:r>
      <w:proofErr w:type="gramEnd"/>
      <w:r w:rsidRPr="0079515C">
        <w:rPr>
          <w:spacing w:val="-4"/>
          <w:lang w:val="en-US"/>
        </w:rPr>
        <w:t xml:space="preserve"> </w:t>
      </w:r>
      <w:proofErr w:type="gramStart"/>
      <w:r w:rsidRPr="0079515C">
        <w:rPr>
          <w:spacing w:val="-4"/>
          <w:lang w:val="en-US"/>
        </w:rPr>
        <w:t>Judgment of November 19, 2009, para.</w:t>
      </w:r>
      <w:proofErr w:type="gramEnd"/>
      <w:r w:rsidRPr="0079515C">
        <w:rPr>
          <w:spacing w:val="-4"/>
          <w:lang w:val="en-US"/>
        </w:rPr>
        <w:t xml:space="preserve"> 99</w:t>
      </w:r>
      <w:r w:rsidRPr="0079515C">
        <w:rPr>
          <w:iCs/>
          <w:spacing w:val="-4"/>
          <w:lang w:val="en-US"/>
        </w:rPr>
        <w:t>.</w:t>
      </w:r>
    </w:p>
  </w:footnote>
  <w:footnote w:id="191">
    <w:p w14:paraId="6AEA8D0E" w14:textId="3CE2E9B9" w:rsidR="002306C1" w:rsidRPr="0079515C" w:rsidRDefault="002306C1" w:rsidP="0020496F">
      <w:pPr>
        <w:pStyle w:val="FootnoteText"/>
        <w:tabs>
          <w:tab w:val="clear" w:pos="567"/>
          <w:tab w:val="left" w:pos="426"/>
        </w:tabs>
        <w:spacing w:before="120" w:after="120"/>
        <w:rPr>
          <w:rFonts w:ascii="Arial" w:hAnsi="Arial" w:cs="Arial"/>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In this regard, the European Court has indicated that:</w:t>
      </w:r>
      <w:r w:rsidRPr="0079515C">
        <w:rPr>
          <w:i/>
          <w:spacing w:val="-4"/>
          <w:lang w:val="en-US"/>
        </w:rPr>
        <w:t xml:space="preserve"> </w:t>
      </w:r>
      <w:r w:rsidRPr="0079515C">
        <w:rPr>
          <w:spacing w:val="-4"/>
          <w:lang w:val="en-US"/>
        </w:rPr>
        <w:t>“</w:t>
      </w:r>
      <w:r w:rsidRPr="0079515C">
        <w:rPr>
          <w:rFonts w:cs="Arial"/>
          <w:lang w:val="en-US"/>
        </w:rPr>
        <w:t xml:space="preserve">It is established in the Court's case-law that an issue might exceptionally be raised under Article 6 by an expulsion or extradition decision in circumstances where the fugitive had suffered or risked suffering a flagrant denial of justice in the requesting country. […]  In the Court's case-law, the term "flagrant </w:t>
      </w:r>
      <w:r w:rsidRPr="00B919BC">
        <w:rPr>
          <w:rFonts w:cs="Arial"/>
          <w:lang w:val="en-US"/>
        </w:rPr>
        <w:t>denial of justice" has been synonymous with a trial which is manifestly contrary to the provisions of Article 6 or the principles embodied therein. […] [C]</w:t>
      </w:r>
      <w:proofErr w:type="spellStart"/>
      <w:r w:rsidRPr="00B919BC">
        <w:rPr>
          <w:rFonts w:cs="Arial"/>
          <w:lang w:val="en-US"/>
        </w:rPr>
        <w:t>ertain</w:t>
      </w:r>
      <w:proofErr w:type="spellEnd"/>
      <w:r w:rsidRPr="00B919BC">
        <w:rPr>
          <w:rFonts w:cs="Arial"/>
          <w:lang w:val="en-US"/>
        </w:rPr>
        <w:t xml:space="preserve"> forms of unfairness could amount to a flagrant de</w:t>
      </w:r>
      <w:r>
        <w:rPr>
          <w:rFonts w:cs="Arial"/>
          <w:lang w:val="en-US"/>
        </w:rPr>
        <w:t xml:space="preserve">nial of justice, </w:t>
      </w:r>
      <w:proofErr w:type="spellStart"/>
      <w:r>
        <w:rPr>
          <w:rFonts w:cs="Arial"/>
          <w:lang w:val="en-US"/>
        </w:rPr>
        <w:t>includ</w:t>
      </w:r>
      <w:proofErr w:type="spellEnd"/>
      <w:r>
        <w:rPr>
          <w:rFonts w:cs="Arial"/>
          <w:lang w:val="en-US"/>
        </w:rPr>
        <w:t>[</w:t>
      </w:r>
      <w:proofErr w:type="spellStart"/>
      <w:r>
        <w:rPr>
          <w:rFonts w:cs="Arial"/>
          <w:lang w:val="en-US"/>
        </w:rPr>
        <w:t>ing</w:t>
      </w:r>
      <w:proofErr w:type="spellEnd"/>
      <w:r>
        <w:rPr>
          <w:rFonts w:cs="Arial"/>
          <w:lang w:val="en-US"/>
        </w:rPr>
        <w:t xml:space="preserve">]: </w:t>
      </w:r>
      <w:r w:rsidRPr="00B919BC">
        <w:rPr>
          <w:rFonts w:cs="Arial"/>
          <w:lang w:val="en-US"/>
        </w:rPr>
        <w:t xml:space="preserve">conviction </w:t>
      </w:r>
      <w:r w:rsidRPr="00B919BC">
        <w:rPr>
          <w:rFonts w:cs="Arial"/>
          <w:i/>
          <w:iCs/>
          <w:lang w:val="en-US"/>
        </w:rPr>
        <w:t xml:space="preserve">in absentia </w:t>
      </w:r>
      <w:r w:rsidRPr="00B919BC">
        <w:rPr>
          <w:rFonts w:cs="Arial"/>
          <w:lang w:val="en-US"/>
        </w:rPr>
        <w:t>with no possibility subsequently to obtain a fresh determination</w:t>
      </w:r>
      <w:r>
        <w:rPr>
          <w:rFonts w:cs="Arial"/>
          <w:lang w:val="en-US"/>
        </w:rPr>
        <w:t xml:space="preserve"> of the merits of the charge; </w:t>
      </w:r>
      <w:r w:rsidRPr="00B919BC">
        <w:rPr>
          <w:rFonts w:cs="Arial"/>
          <w:lang w:val="en-US"/>
        </w:rPr>
        <w:t>a trial which is summary in nature and conducted with a total disregard f</w:t>
      </w:r>
      <w:r>
        <w:rPr>
          <w:rFonts w:cs="Arial"/>
          <w:lang w:val="en-US"/>
        </w:rPr>
        <w:t xml:space="preserve">or the rights of the </w:t>
      </w:r>
      <w:proofErr w:type="spellStart"/>
      <w:r>
        <w:rPr>
          <w:rFonts w:cs="Arial"/>
          <w:lang w:val="en-US"/>
        </w:rPr>
        <w:t>defence</w:t>
      </w:r>
      <w:proofErr w:type="spellEnd"/>
      <w:r>
        <w:rPr>
          <w:rFonts w:cs="Arial"/>
          <w:lang w:val="en-US"/>
        </w:rPr>
        <w:t xml:space="preserve">; </w:t>
      </w:r>
      <w:r w:rsidRPr="00B919BC">
        <w:rPr>
          <w:rFonts w:cs="Arial"/>
          <w:lang w:val="en-US"/>
        </w:rPr>
        <w:t>detention without any access to an independent and impartial tribunal to have the leg</w:t>
      </w:r>
      <w:r>
        <w:rPr>
          <w:rFonts w:cs="Arial"/>
          <w:lang w:val="en-US"/>
        </w:rPr>
        <w:t xml:space="preserve">ality the detention reviewed; </w:t>
      </w:r>
      <w:r w:rsidRPr="00B919BC">
        <w:rPr>
          <w:rFonts w:cs="Arial"/>
          <w:lang w:val="en-US"/>
        </w:rPr>
        <w:t>deliberate and systematic refusal of access to a lawyer, especially for an individual detained in a foreign country. […] A flagrant denial of justice goes beyond mere irregularities or lack of safeguards in the trial procedures such as might result in a breach of Article 6 if occurring within the Contracting State itself. What is required is a breach of the principles of fair trial guaranteed by Article 6 which is so fundamental as to amount to a nullification, or destruction of the very essence, o</w:t>
      </w:r>
      <w:r>
        <w:rPr>
          <w:rFonts w:cs="Arial"/>
          <w:lang w:val="en-US"/>
        </w:rPr>
        <w:t>f the right guaranteed by that a</w:t>
      </w:r>
      <w:r w:rsidRPr="00B919BC">
        <w:rPr>
          <w:rFonts w:cs="Arial"/>
          <w:lang w:val="en-US"/>
        </w:rPr>
        <w:t>rticle.</w:t>
      </w:r>
      <w:r w:rsidRPr="00B919BC">
        <w:rPr>
          <w:rFonts w:cs="Arial"/>
          <w:color w:val="000000"/>
          <w:spacing w:val="-4"/>
          <w:shd w:val="clear" w:color="auto" w:fill="FFFFFF"/>
          <w:lang w:val="en-US"/>
        </w:rPr>
        <w:t>”</w:t>
      </w:r>
      <w:r w:rsidRPr="00B919BC">
        <w:rPr>
          <w:spacing w:val="-4"/>
          <w:lang w:val="en-US"/>
        </w:rPr>
        <w:t xml:space="preserve"> ECHR, </w:t>
      </w:r>
      <w:r w:rsidRPr="00B919BC">
        <w:rPr>
          <w:i/>
          <w:spacing w:val="-4"/>
          <w:lang w:val="en-US"/>
        </w:rPr>
        <w:t xml:space="preserve">Case of Othman (Abu </w:t>
      </w:r>
      <w:proofErr w:type="spellStart"/>
      <w:r w:rsidRPr="00B919BC">
        <w:rPr>
          <w:i/>
          <w:spacing w:val="-4"/>
          <w:lang w:val="en-US"/>
        </w:rPr>
        <w:t>Qatada</w:t>
      </w:r>
      <w:proofErr w:type="spellEnd"/>
      <w:r w:rsidRPr="00B919BC">
        <w:rPr>
          <w:i/>
          <w:spacing w:val="-4"/>
          <w:lang w:val="en-US"/>
        </w:rPr>
        <w:t>)</w:t>
      </w:r>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w:t>
      </w:r>
      <w:proofErr w:type="gramStart"/>
      <w:r w:rsidRPr="0079515C">
        <w:rPr>
          <w:spacing w:val="-4"/>
          <w:lang w:val="en-US"/>
        </w:rPr>
        <w:t>258 to 260.</w:t>
      </w:r>
      <w:proofErr w:type="gramEnd"/>
    </w:p>
  </w:footnote>
  <w:footnote w:id="192">
    <w:p w14:paraId="708BD1E2" w14:textId="115388C7"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Code of Criminal Procedure, promulgated by Legislative Decree No. 957 of July 29, 2004, article 517.</w:t>
      </w:r>
      <w:proofErr w:type="gramEnd"/>
      <w:r w:rsidRPr="0079515C">
        <w:rPr>
          <w:spacing w:val="-4"/>
          <w:lang w:val="en-US"/>
        </w:rPr>
        <w:t xml:space="preserve"> Available at: </w:t>
      </w:r>
      <w:hyperlink r:id="rId16" w:history="1">
        <w:r w:rsidRPr="0079515C">
          <w:rPr>
            <w:rStyle w:val="Hyperlink"/>
            <w:spacing w:val="-4"/>
            <w:lang w:val="en-US"/>
          </w:rPr>
          <w:t>http://www.leyes.congreso.gob.pe/Documentos/Decretoslegislativos/00957.pdf</w:t>
        </w:r>
      </w:hyperlink>
      <w:r w:rsidRPr="0079515C">
        <w:rPr>
          <w:spacing w:val="-4"/>
          <w:lang w:val="en-US"/>
        </w:rPr>
        <w:t xml:space="preserve">, cited in the Commission’s Merits Report, folio 24. </w:t>
      </w:r>
    </w:p>
  </w:footnote>
  <w:footnote w:id="193">
    <w:p w14:paraId="7A07CF98" w14:textId="081347D6"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Code of Criminal Procedure, promulgated by Legislative Decree No. 957 of July 29, 2004, article 516.</w:t>
      </w:r>
      <w:proofErr w:type="gramEnd"/>
      <w:r w:rsidRPr="0079515C">
        <w:rPr>
          <w:spacing w:val="-4"/>
          <w:lang w:val="en-US"/>
        </w:rPr>
        <w:t xml:space="preserve"> Available at: </w:t>
      </w:r>
      <w:hyperlink r:id="rId17" w:history="1">
        <w:r w:rsidRPr="0079515C">
          <w:rPr>
            <w:rStyle w:val="Hyperlink"/>
            <w:spacing w:val="-4"/>
            <w:lang w:val="en-US"/>
          </w:rPr>
          <w:t>http://www.leyes.congreso.gob.pe/Documentos/Decretoslegislativos/00957.pdf</w:t>
        </w:r>
      </w:hyperlink>
      <w:r w:rsidRPr="0079515C">
        <w:rPr>
          <w:rStyle w:val="Hyperlink"/>
          <w:spacing w:val="-4"/>
          <w:u w:val="none"/>
          <w:lang w:val="en-US"/>
        </w:rPr>
        <w:t xml:space="preserve">, </w:t>
      </w:r>
      <w:r w:rsidRPr="0079515C">
        <w:rPr>
          <w:spacing w:val="-4"/>
          <w:lang w:val="en-US"/>
        </w:rPr>
        <w:t>cited in the Commission’s Merits Report, folio 24.</w:t>
      </w:r>
    </w:p>
  </w:footnote>
  <w:footnote w:id="194">
    <w:p w14:paraId="18B40357" w14:textId="08C8AA9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Extradition Treaty between the Republic of Peru and the People’s Republic of China, article 5 (evidence file, folio 1634).</w:t>
      </w:r>
      <w:proofErr w:type="gramEnd"/>
    </w:p>
  </w:footnote>
  <w:footnote w:id="195">
    <w:p w14:paraId="4CF0E3AA" w14:textId="447AE6B7" w:rsidR="002306C1" w:rsidRPr="0079515C" w:rsidRDefault="002306C1" w:rsidP="00853044">
      <w:pPr>
        <w:pStyle w:val="ListParagraph"/>
        <w:tabs>
          <w:tab w:val="left" w:pos="426"/>
          <w:tab w:val="left" w:pos="9356"/>
        </w:tabs>
        <w:spacing w:before="120" w:after="120"/>
        <w:ind w:left="0" w:right="4"/>
        <w:rPr>
          <w:bCs/>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 xml:space="preserve">Cf. </w:t>
      </w:r>
      <w:r w:rsidRPr="0079515C">
        <w:rPr>
          <w:spacing w:val="-4"/>
          <w:sz w:val="16"/>
          <w:szCs w:val="16"/>
          <w:lang w:val="en-US"/>
        </w:rPr>
        <w:t xml:space="preserve">ECHR, </w:t>
      </w:r>
      <w:r w:rsidRPr="0079515C">
        <w:rPr>
          <w:rStyle w:val="sb8d990e2"/>
          <w:rFonts w:cs="Arial"/>
          <w:i/>
          <w:color w:val="000000"/>
          <w:spacing w:val="-4"/>
          <w:sz w:val="16"/>
          <w:szCs w:val="16"/>
          <w:shd w:val="clear" w:color="auto" w:fill="FFFFFF"/>
          <w:lang w:val="en-US"/>
        </w:rPr>
        <w:t xml:space="preserve">Case of </w:t>
      </w:r>
      <w:proofErr w:type="spellStart"/>
      <w:r w:rsidRPr="0079515C">
        <w:rPr>
          <w:rStyle w:val="s6b621b36"/>
          <w:rFonts w:cs="Arial"/>
          <w:i/>
          <w:iCs/>
          <w:color w:val="000000"/>
          <w:spacing w:val="-4"/>
          <w:sz w:val="16"/>
          <w:szCs w:val="16"/>
          <w:shd w:val="clear" w:color="auto" w:fill="FFFFFF"/>
          <w:lang w:val="en-US"/>
        </w:rPr>
        <w:t>Chahal</w:t>
      </w:r>
      <w:proofErr w:type="spellEnd"/>
      <w:r w:rsidRPr="0079515C">
        <w:rPr>
          <w:rStyle w:val="s6b621b36"/>
          <w:rFonts w:cs="Arial"/>
          <w:i/>
          <w:iCs/>
          <w:color w:val="000000"/>
          <w:spacing w:val="-4"/>
          <w:sz w:val="16"/>
          <w:szCs w:val="16"/>
          <w:shd w:val="clear" w:color="auto" w:fill="FFFFFF"/>
          <w:lang w:val="en-US"/>
        </w:rPr>
        <w:t xml:space="preserve"> v. </w:t>
      </w:r>
      <w:proofErr w:type="gramStart"/>
      <w:r w:rsidRPr="0079515C">
        <w:rPr>
          <w:rStyle w:val="s6b621b36"/>
          <w:rFonts w:cs="Arial"/>
          <w:i/>
          <w:iCs/>
          <w:spacing w:val="-4"/>
          <w:sz w:val="16"/>
          <w:szCs w:val="16"/>
          <w:shd w:val="clear" w:color="auto" w:fill="FFFFFF"/>
          <w:lang w:val="en-US"/>
        </w:rPr>
        <w:t xml:space="preserve">The United Kingdom </w:t>
      </w:r>
      <w:r w:rsidRPr="0079515C">
        <w:rPr>
          <w:rStyle w:val="s6b621b36"/>
          <w:rFonts w:cs="Arial"/>
          <w:iCs/>
          <w:spacing w:val="-4"/>
          <w:sz w:val="16"/>
          <w:szCs w:val="16"/>
          <w:shd w:val="clear" w:color="auto" w:fill="FFFFFF"/>
          <w:lang w:val="en-US"/>
        </w:rPr>
        <w:t>[GS]</w:t>
      </w:r>
      <w:r w:rsidRPr="0079515C">
        <w:rPr>
          <w:rStyle w:val="sb8d990e2"/>
          <w:rFonts w:cs="Arial"/>
          <w:spacing w:val="-4"/>
          <w:sz w:val="16"/>
          <w:szCs w:val="16"/>
          <w:shd w:val="clear" w:color="auto" w:fill="FFFFFF"/>
          <w:lang w:val="en-US"/>
        </w:rPr>
        <w:t>, No.</w:t>
      </w:r>
      <w:proofErr w:type="gramEnd"/>
      <w:r w:rsidRPr="0079515C">
        <w:rPr>
          <w:rStyle w:val="sb8d990e2"/>
          <w:rFonts w:cs="Arial"/>
          <w:spacing w:val="-4"/>
          <w:sz w:val="16"/>
          <w:szCs w:val="16"/>
          <w:shd w:val="clear" w:color="auto" w:fill="FFFFFF"/>
          <w:lang w:val="en-US"/>
        </w:rPr>
        <w:t xml:space="preserve"> </w:t>
      </w:r>
      <w:hyperlink r:id="rId18" w:anchor="{&quot;appno&quot;:[&quot;22414/93&quot;]}" w:tgtFrame="_blank" w:history="1">
        <w:proofErr w:type="gramStart"/>
        <w:r w:rsidRPr="0079515C">
          <w:rPr>
            <w:rStyle w:val="Hyperlink"/>
            <w:rFonts w:cs="Arial"/>
            <w:iCs/>
            <w:color w:val="auto"/>
            <w:spacing w:val="-4"/>
            <w:sz w:val="16"/>
            <w:szCs w:val="16"/>
            <w:u w:val="none"/>
            <w:shd w:val="clear" w:color="auto" w:fill="FFFFFF"/>
            <w:lang w:val="en-US"/>
          </w:rPr>
          <w:t>22414/93</w:t>
        </w:r>
      </w:hyperlink>
      <w:r w:rsidRPr="0079515C">
        <w:rPr>
          <w:rStyle w:val="s6b621b36"/>
          <w:rFonts w:cs="Arial"/>
          <w:iCs/>
          <w:spacing w:val="-4"/>
          <w:sz w:val="16"/>
          <w:szCs w:val="16"/>
          <w:shd w:val="clear" w:color="auto" w:fill="FFFFFF"/>
          <w:lang w:val="en-US"/>
        </w:rPr>
        <w:t>.</w:t>
      </w:r>
      <w:proofErr w:type="gramEnd"/>
      <w:r w:rsidRPr="0079515C">
        <w:rPr>
          <w:rStyle w:val="s6b621b36"/>
          <w:rFonts w:cs="Arial"/>
          <w:iCs/>
          <w:spacing w:val="-4"/>
          <w:sz w:val="16"/>
          <w:szCs w:val="16"/>
          <w:shd w:val="clear" w:color="auto" w:fill="FFFFFF"/>
          <w:lang w:val="en-US"/>
        </w:rPr>
        <w:t xml:space="preserve"> </w:t>
      </w:r>
      <w:proofErr w:type="gramStart"/>
      <w:r w:rsidRPr="0079515C">
        <w:rPr>
          <w:rStyle w:val="s6b621b36"/>
          <w:rFonts w:cs="Arial"/>
          <w:iCs/>
          <w:spacing w:val="-4"/>
          <w:sz w:val="16"/>
          <w:szCs w:val="16"/>
          <w:shd w:val="clear" w:color="auto" w:fill="FFFFFF"/>
          <w:lang w:val="en-US"/>
        </w:rPr>
        <w:t>Judgment of November 15, 1996, paras.</w:t>
      </w:r>
      <w:proofErr w:type="gramEnd"/>
      <w:r w:rsidRPr="0079515C">
        <w:rPr>
          <w:rStyle w:val="s6b621b36"/>
          <w:rFonts w:cs="Arial"/>
          <w:iCs/>
          <w:spacing w:val="-4"/>
          <w:sz w:val="16"/>
          <w:szCs w:val="16"/>
          <w:shd w:val="clear" w:color="auto" w:fill="FFFFFF"/>
          <w:lang w:val="en-US"/>
        </w:rPr>
        <w:t xml:space="preserve"> </w:t>
      </w:r>
      <w:proofErr w:type="gramStart"/>
      <w:r w:rsidRPr="0079515C">
        <w:rPr>
          <w:rStyle w:val="s6b621b36"/>
          <w:rFonts w:cs="Arial"/>
          <w:iCs/>
          <w:spacing w:val="-4"/>
          <w:sz w:val="16"/>
          <w:szCs w:val="16"/>
          <w:shd w:val="clear" w:color="auto" w:fill="FFFFFF"/>
          <w:lang w:val="en-US"/>
        </w:rPr>
        <w:t>86 and 97</w:t>
      </w:r>
      <w:r w:rsidRPr="0079515C">
        <w:rPr>
          <w:rStyle w:val="sb8d990e2"/>
          <w:rFonts w:cs="Arial"/>
          <w:spacing w:val="-4"/>
          <w:sz w:val="16"/>
          <w:szCs w:val="16"/>
          <w:shd w:val="clear" w:color="auto" w:fill="FFFFFF"/>
          <w:lang w:val="en-US"/>
        </w:rPr>
        <w:t>;</w:t>
      </w:r>
      <w:r w:rsidRPr="0079515C">
        <w:rPr>
          <w:rStyle w:val="apple-converted-space"/>
          <w:rFonts w:cs="Arial"/>
          <w:spacing w:val="-4"/>
          <w:sz w:val="16"/>
          <w:szCs w:val="16"/>
          <w:shd w:val="clear" w:color="auto" w:fill="FFFFFF"/>
          <w:lang w:val="en-US"/>
        </w:rPr>
        <w:t> </w:t>
      </w:r>
      <w:r w:rsidRPr="0079515C">
        <w:rPr>
          <w:rStyle w:val="s6b621b36"/>
          <w:rFonts w:cs="Arial"/>
          <w:i/>
          <w:iCs/>
          <w:spacing w:val="-4"/>
          <w:sz w:val="16"/>
          <w:szCs w:val="16"/>
          <w:shd w:val="clear" w:color="auto" w:fill="FFFFFF"/>
          <w:lang w:val="en-US"/>
        </w:rPr>
        <w:t xml:space="preserve">H.L.R. v. France </w:t>
      </w:r>
      <w:r w:rsidRPr="0079515C">
        <w:rPr>
          <w:rStyle w:val="s6b621b36"/>
          <w:rFonts w:cs="Arial"/>
          <w:iCs/>
          <w:spacing w:val="-4"/>
          <w:sz w:val="16"/>
          <w:szCs w:val="16"/>
          <w:shd w:val="clear" w:color="auto" w:fill="FFFFFF"/>
          <w:lang w:val="en-US"/>
        </w:rPr>
        <w:t>[GS]</w:t>
      </w:r>
      <w:r w:rsidRPr="0079515C">
        <w:rPr>
          <w:rStyle w:val="sb8d990e2"/>
          <w:rFonts w:cs="Arial"/>
          <w:spacing w:val="-4"/>
          <w:sz w:val="16"/>
          <w:szCs w:val="16"/>
          <w:shd w:val="clear" w:color="auto" w:fill="FFFFFF"/>
          <w:lang w:val="en-US"/>
        </w:rPr>
        <w:t>, No. 24573/94.</w:t>
      </w:r>
      <w:proofErr w:type="gramEnd"/>
      <w:r w:rsidRPr="0079515C">
        <w:rPr>
          <w:rStyle w:val="sb8d990e2"/>
          <w:rFonts w:cs="Arial"/>
          <w:spacing w:val="-4"/>
          <w:sz w:val="16"/>
          <w:szCs w:val="16"/>
          <w:shd w:val="clear" w:color="auto" w:fill="FFFFFF"/>
          <w:lang w:val="en-US"/>
        </w:rPr>
        <w:t xml:space="preserve"> </w:t>
      </w:r>
      <w:proofErr w:type="gramStart"/>
      <w:r w:rsidRPr="0079515C">
        <w:rPr>
          <w:rStyle w:val="sb8d990e2"/>
          <w:rFonts w:cs="Arial"/>
          <w:spacing w:val="-4"/>
          <w:sz w:val="16"/>
          <w:szCs w:val="16"/>
          <w:shd w:val="clear" w:color="auto" w:fill="FFFFFF"/>
          <w:lang w:val="en-US"/>
        </w:rPr>
        <w:t>Judgment of April 29, 1997, para.</w:t>
      </w:r>
      <w:proofErr w:type="gramEnd"/>
      <w:r w:rsidRPr="0079515C">
        <w:rPr>
          <w:rStyle w:val="sb8d990e2"/>
          <w:rFonts w:cs="Arial"/>
          <w:spacing w:val="-4"/>
          <w:sz w:val="16"/>
          <w:szCs w:val="16"/>
          <w:shd w:val="clear" w:color="auto" w:fill="FFFFFF"/>
          <w:lang w:val="en-US"/>
        </w:rPr>
        <w:t xml:space="preserve"> </w:t>
      </w:r>
      <w:proofErr w:type="gramStart"/>
      <w:r w:rsidRPr="0079515C">
        <w:rPr>
          <w:rStyle w:val="sb8d990e2"/>
          <w:rFonts w:cs="Arial"/>
          <w:spacing w:val="-4"/>
          <w:sz w:val="16"/>
          <w:szCs w:val="16"/>
          <w:shd w:val="clear" w:color="auto" w:fill="FFFFFF"/>
          <w:lang w:val="en-US"/>
        </w:rPr>
        <w:t>37;</w:t>
      </w:r>
      <w:r w:rsidRPr="0079515C">
        <w:rPr>
          <w:rStyle w:val="apple-converted-space"/>
          <w:rFonts w:cs="Arial"/>
          <w:spacing w:val="-4"/>
          <w:sz w:val="16"/>
          <w:szCs w:val="16"/>
          <w:shd w:val="clear" w:color="auto" w:fill="FFFFFF"/>
          <w:lang w:val="en-US"/>
        </w:rPr>
        <w:t> </w:t>
      </w:r>
      <w:proofErr w:type="spellStart"/>
      <w:r w:rsidRPr="0079515C">
        <w:rPr>
          <w:rStyle w:val="s6b621b36"/>
          <w:rFonts w:cs="Arial"/>
          <w:i/>
          <w:iCs/>
          <w:spacing w:val="-4"/>
          <w:sz w:val="16"/>
          <w:szCs w:val="16"/>
          <w:shd w:val="clear" w:color="auto" w:fill="FFFFFF"/>
          <w:lang w:val="en-US"/>
        </w:rPr>
        <w:t>Mamatkulov</w:t>
      </w:r>
      <w:proofErr w:type="spellEnd"/>
      <w:r w:rsidRPr="0079515C">
        <w:rPr>
          <w:rStyle w:val="s6b621b36"/>
          <w:rFonts w:cs="Arial"/>
          <w:i/>
          <w:iCs/>
          <w:spacing w:val="-4"/>
          <w:sz w:val="16"/>
          <w:szCs w:val="16"/>
          <w:shd w:val="clear" w:color="auto" w:fill="FFFFFF"/>
          <w:lang w:val="en-US"/>
        </w:rPr>
        <w:t xml:space="preserve"> and </w:t>
      </w:r>
      <w:proofErr w:type="spellStart"/>
      <w:r w:rsidRPr="0079515C">
        <w:rPr>
          <w:rStyle w:val="s6b621b36"/>
          <w:rFonts w:cs="Arial"/>
          <w:i/>
          <w:iCs/>
          <w:spacing w:val="-4"/>
          <w:sz w:val="16"/>
          <w:szCs w:val="16"/>
          <w:shd w:val="clear" w:color="auto" w:fill="FFFFFF"/>
          <w:lang w:val="en-US"/>
        </w:rPr>
        <w:t>Askarov</w:t>
      </w:r>
      <w:proofErr w:type="spellEnd"/>
      <w:r w:rsidRPr="0079515C">
        <w:rPr>
          <w:rStyle w:val="s6b621b36"/>
          <w:rFonts w:cs="Arial"/>
          <w:i/>
          <w:iCs/>
          <w:spacing w:val="-4"/>
          <w:sz w:val="16"/>
          <w:szCs w:val="16"/>
          <w:shd w:val="clear" w:color="auto" w:fill="FFFFFF"/>
          <w:lang w:val="en-US"/>
        </w:rPr>
        <w:t xml:space="preserve"> v.</w:t>
      </w:r>
      <w:r w:rsidRPr="0079515C">
        <w:rPr>
          <w:rStyle w:val="apple-converted-space"/>
          <w:rFonts w:cs="Arial"/>
          <w:i/>
          <w:iCs/>
          <w:spacing w:val="-4"/>
          <w:sz w:val="16"/>
          <w:szCs w:val="16"/>
          <w:shd w:val="clear" w:color="auto" w:fill="FFFFFF"/>
          <w:lang w:val="en-US"/>
        </w:rPr>
        <w:t> </w:t>
      </w:r>
      <w:r w:rsidRPr="0079515C">
        <w:rPr>
          <w:rStyle w:val="s6b621b36"/>
          <w:rFonts w:cs="Arial"/>
          <w:i/>
          <w:iCs/>
          <w:spacing w:val="-4"/>
          <w:sz w:val="16"/>
          <w:szCs w:val="16"/>
          <w:shd w:val="clear" w:color="auto" w:fill="FFFFFF"/>
          <w:lang w:val="en-US"/>
        </w:rPr>
        <w:t xml:space="preserve">Turkey </w:t>
      </w:r>
      <w:r w:rsidRPr="0079515C">
        <w:rPr>
          <w:rStyle w:val="s6b621b36"/>
          <w:rFonts w:cs="Arial"/>
          <w:iCs/>
          <w:spacing w:val="-4"/>
          <w:sz w:val="16"/>
          <w:szCs w:val="16"/>
          <w:shd w:val="clear" w:color="auto" w:fill="FFFFFF"/>
          <w:lang w:val="en-US"/>
        </w:rPr>
        <w:t>[GS]</w:t>
      </w:r>
      <w:r w:rsidRPr="0079515C">
        <w:rPr>
          <w:rStyle w:val="sb8d990e2"/>
          <w:rFonts w:cs="Arial"/>
          <w:spacing w:val="-4"/>
          <w:sz w:val="16"/>
          <w:szCs w:val="16"/>
          <w:shd w:val="clear" w:color="auto" w:fill="FFFFFF"/>
          <w:lang w:val="en-US"/>
        </w:rPr>
        <w:t>, Nos.</w:t>
      </w:r>
      <w:proofErr w:type="gramEnd"/>
      <w:r w:rsidRPr="0079515C">
        <w:rPr>
          <w:rStyle w:val="sb8d990e2"/>
          <w:rFonts w:cs="Arial"/>
          <w:spacing w:val="-4"/>
          <w:sz w:val="16"/>
          <w:szCs w:val="16"/>
          <w:shd w:val="clear" w:color="auto" w:fill="FFFFFF"/>
          <w:lang w:val="en-US"/>
        </w:rPr>
        <w:t> </w:t>
      </w:r>
      <w:hyperlink r:id="rId19" w:anchor="{&quot;appno&quot;:[&quot;46827/99&quot;]}" w:tgtFrame="_blank" w:history="1">
        <w:proofErr w:type="gramStart"/>
        <w:r w:rsidRPr="0079515C">
          <w:rPr>
            <w:rStyle w:val="Hyperlink"/>
            <w:rFonts w:cs="Arial"/>
            <w:color w:val="auto"/>
            <w:spacing w:val="-4"/>
            <w:sz w:val="16"/>
            <w:szCs w:val="16"/>
            <w:u w:val="none"/>
            <w:shd w:val="clear" w:color="auto" w:fill="FFFFFF"/>
            <w:lang w:val="en-US"/>
          </w:rPr>
          <w:t>46827/99</w:t>
        </w:r>
      </w:hyperlink>
      <w:r w:rsidRPr="0079515C">
        <w:rPr>
          <w:rStyle w:val="apple-converted-space"/>
          <w:rFonts w:cs="Arial"/>
          <w:spacing w:val="-4"/>
          <w:sz w:val="16"/>
          <w:szCs w:val="16"/>
          <w:shd w:val="clear" w:color="auto" w:fill="FFFFFF"/>
          <w:lang w:val="en-US"/>
        </w:rPr>
        <w:t xml:space="preserve"> and </w:t>
      </w:r>
      <w:hyperlink r:id="rId20" w:anchor="{&quot;appno&quot;:[&quot;46951/99&quot;]}" w:tgtFrame="_blank" w:history="1">
        <w:r w:rsidRPr="0079515C">
          <w:rPr>
            <w:rStyle w:val="Hyperlink"/>
            <w:rFonts w:cs="Arial"/>
            <w:color w:val="auto"/>
            <w:spacing w:val="-4"/>
            <w:sz w:val="16"/>
            <w:szCs w:val="16"/>
            <w:u w:val="none"/>
            <w:shd w:val="clear" w:color="auto" w:fill="FFFFFF"/>
            <w:lang w:val="en-US"/>
          </w:rPr>
          <w:t>46951/99</w:t>
        </w:r>
      </w:hyperlink>
      <w:r w:rsidRPr="0079515C">
        <w:rPr>
          <w:rStyle w:val="Hyperlink"/>
          <w:rFonts w:cs="Arial"/>
          <w:color w:val="auto"/>
          <w:spacing w:val="-4"/>
          <w:sz w:val="16"/>
          <w:szCs w:val="16"/>
          <w:u w:val="none"/>
          <w:shd w:val="clear" w:color="auto" w:fill="FFFFFF"/>
          <w:lang w:val="en-US"/>
        </w:rPr>
        <w:t>.</w:t>
      </w:r>
      <w:proofErr w:type="gramEnd"/>
      <w:r w:rsidRPr="0079515C">
        <w:rPr>
          <w:rStyle w:val="Hyperlink"/>
          <w:rFonts w:cs="Arial"/>
          <w:color w:val="auto"/>
          <w:spacing w:val="-4"/>
          <w:sz w:val="16"/>
          <w:szCs w:val="16"/>
          <w:u w:val="none"/>
          <w:shd w:val="clear" w:color="auto" w:fill="FFFFFF"/>
          <w:lang w:val="en-US"/>
        </w:rPr>
        <w:t xml:space="preserve"> </w:t>
      </w:r>
      <w:proofErr w:type="gramStart"/>
      <w:r w:rsidRPr="0079515C">
        <w:rPr>
          <w:rStyle w:val="Hyperlink"/>
          <w:rFonts w:cs="Arial"/>
          <w:color w:val="auto"/>
          <w:spacing w:val="-4"/>
          <w:sz w:val="16"/>
          <w:szCs w:val="16"/>
          <w:u w:val="none"/>
          <w:shd w:val="clear" w:color="auto" w:fill="FFFFFF"/>
          <w:lang w:val="en-US"/>
        </w:rPr>
        <w:t>Judgment of February 4, 2005, para.</w:t>
      </w:r>
      <w:proofErr w:type="gramEnd"/>
      <w:r w:rsidRPr="0079515C">
        <w:rPr>
          <w:rStyle w:val="Hyperlink"/>
          <w:rFonts w:cs="Arial"/>
          <w:color w:val="auto"/>
          <w:spacing w:val="-4"/>
          <w:sz w:val="16"/>
          <w:szCs w:val="16"/>
          <w:u w:val="none"/>
          <w:shd w:val="clear" w:color="auto" w:fill="FFFFFF"/>
          <w:lang w:val="en-US"/>
        </w:rPr>
        <w:t xml:space="preserve"> </w:t>
      </w:r>
      <w:r w:rsidRPr="0079515C">
        <w:rPr>
          <w:rStyle w:val="sb8d990e2"/>
          <w:rFonts w:cs="Arial"/>
          <w:spacing w:val="-4"/>
          <w:sz w:val="16"/>
          <w:szCs w:val="16"/>
          <w:shd w:val="clear" w:color="auto" w:fill="FFFFFF"/>
          <w:lang w:val="en-US"/>
        </w:rPr>
        <w:t xml:space="preserve">69. “The existence of the risk must be assessed primarily with reference to those facts which were known or ought to have been known to the Contracting State at the time of the expulsion […]. Where the applicant has not yet been expelled, the material point in time is that of the Court’s consideration of the case.” </w:t>
      </w:r>
      <w:r w:rsidRPr="0079515C">
        <w:rPr>
          <w:spacing w:val="-4"/>
          <w:sz w:val="16"/>
          <w:szCs w:val="16"/>
          <w:lang w:val="en-US"/>
        </w:rPr>
        <w:t xml:space="preserve">ECHR, </w:t>
      </w:r>
      <w:r w:rsidRPr="0079515C">
        <w:rPr>
          <w:i/>
          <w:spacing w:val="-4"/>
          <w:sz w:val="16"/>
          <w:szCs w:val="16"/>
          <w:lang w:val="en-US"/>
        </w:rPr>
        <w:t>Case of</w:t>
      </w:r>
      <w:r w:rsidRPr="0079515C">
        <w:rPr>
          <w:spacing w:val="-4"/>
          <w:sz w:val="16"/>
          <w:szCs w:val="16"/>
          <w:lang w:val="en-US"/>
        </w:rPr>
        <w:t xml:space="preserve"> </w:t>
      </w:r>
      <w:proofErr w:type="spellStart"/>
      <w:r w:rsidRPr="0079515C">
        <w:rPr>
          <w:bCs/>
          <w:i/>
          <w:spacing w:val="-4"/>
          <w:sz w:val="16"/>
          <w:szCs w:val="16"/>
          <w:lang w:val="en-US"/>
        </w:rPr>
        <w:t>Ryabikin</w:t>
      </w:r>
      <w:proofErr w:type="spellEnd"/>
      <w:r w:rsidRPr="0079515C">
        <w:rPr>
          <w:bCs/>
          <w:i/>
          <w:spacing w:val="-4"/>
          <w:sz w:val="16"/>
          <w:szCs w:val="16"/>
          <w:lang w:val="en-US"/>
        </w:rPr>
        <w:t xml:space="preserve"> v. Russia</w:t>
      </w:r>
      <w:r w:rsidRPr="0079515C">
        <w:rPr>
          <w:bCs/>
          <w:spacing w:val="-4"/>
          <w:sz w:val="16"/>
          <w:szCs w:val="16"/>
          <w:lang w:val="en-US"/>
        </w:rPr>
        <w:t xml:space="preserve">, No. </w:t>
      </w:r>
      <w:hyperlink r:id="rId21" w:anchor="{&quot;appno&quot;:[&quot;8320/04&quot;]}" w:tgtFrame="_blank" w:history="1">
        <w:proofErr w:type="gramStart"/>
        <w:r w:rsidRPr="0079515C">
          <w:rPr>
            <w:rStyle w:val="Hyperlink"/>
            <w:rFonts w:cs="Arial"/>
            <w:iCs/>
            <w:color w:val="auto"/>
            <w:spacing w:val="-4"/>
            <w:sz w:val="16"/>
            <w:szCs w:val="16"/>
            <w:u w:val="none"/>
            <w:shd w:val="clear" w:color="auto" w:fill="FFFFFF"/>
            <w:lang w:val="en-US"/>
          </w:rPr>
          <w:t>8320/04</w:t>
        </w:r>
      </w:hyperlink>
      <w:r w:rsidRPr="0079515C">
        <w:rPr>
          <w:spacing w:val="-4"/>
          <w:sz w:val="16"/>
          <w:szCs w:val="16"/>
          <w:lang w:val="en-US"/>
        </w:rPr>
        <w:t>.</w:t>
      </w:r>
      <w:proofErr w:type="gramEnd"/>
      <w:r w:rsidRPr="0079515C">
        <w:rPr>
          <w:spacing w:val="-4"/>
          <w:sz w:val="16"/>
          <w:szCs w:val="16"/>
          <w:lang w:val="en-US"/>
        </w:rPr>
        <w:t xml:space="preserve"> </w:t>
      </w:r>
      <w:proofErr w:type="gramStart"/>
      <w:r w:rsidRPr="0079515C">
        <w:rPr>
          <w:spacing w:val="-4"/>
          <w:sz w:val="16"/>
          <w:szCs w:val="16"/>
          <w:lang w:val="en-US"/>
        </w:rPr>
        <w:t xml:space="preserve">Judgment of June 19, 2008, </w:t>
      </w:r>
      <w:r w:rsidRPr="0079515C">
        <w:rPr>
          <w:bCs/>
          <w:spacing w:val="-4"/>
          <w:sz w:val="16"/>
          <w:szCs w:val="16"/>
          <w:lang w:val="en-US"/>
        </w:rPr>
        <w:t>para.</w:t>
      </w:r>
      <w:proofErr w:type="gramEnd"/>
      <w:r w:rsidRPr="0079515C">
        <w:rPr>
          <w:bCs/>
          <w:spacing w:val="-4"/>
          <w:sz w:val="16"/>
          <w:szCs w:val="16"/>
          <w:lang w:val="en-US"/>
        </w:rPr>
        <w:t xml:space="preserve"> 111.</w:t>
      </w:r>
    </w:p>
  </w:footnote>
  <w:footnote w:id="196">
    <w:p w14:paraId="505AE066" w14:textId="137C3422"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Similarly, see ECHR, </w:t>
      </w:r>
      <w:r w:rsidRPr="0079515C">
        <w:rPr>
          <w:i/>
          <w:spacing w:val="-4"/>
          <w:sz w:val="16"/>
          <w:szCs w:val="16"/>
          <w:lang w:val="en-US"/>
        </w:rPr>
        <w:t>Case of</w:t>
      </w:r>
      <w:r w:rsidRPr="0079515C">
        <w:rPr>
          <w:spacing w:val="-4"/>
          <w:sz w:val="16"/>
          <w:szCs w:val="16"/>
          <w:lang w:val="en-US"/>
        </w:rPr>
        <w:t xml:space="preserve"> </w:t>
      </w:r>
      <w:proofErr w:type="spellStart"/>
      <w:r w:rsidRPr="0079515C">
        <w:rPr>
          <w:rStyle w:val="s6b621b36"/>
          <w:rFonts w:cs="Arial"/>
          <w:i/>
          <w:iCs/>
          <w:spacing w:val="-4"/>
          <w:sz w:val="16"/>
          <w:szCs w:val="16"/>
          <w:shd w:val="clear" w:color="auto" w:fill="FFFFFF"/>
          <w:lang w:val="en-US"/>
        </w:rPr>
        <w:t>Mamatkulov</w:t>
      </w:r>
      <w:proofErr w:type="spellEnd"/>
      <w:r w:rsidRPr="0079515C">
        <w:rPr>
          <w:rStyle w:val="s6b621b36"/>
          <w:rFonts w:cs="Arial"/>
          <w:i/>
          <w:iCs/>
          <w:spacing w:val="-4"/>
          <w:sz w:val="16"/>
          <w:szCs w:val="16"/>
          <w:shd w:val="clear" w:color="auto" w:fill="FFFFFF"/>
          <w:lang w:val="en-US"/>
        </w:rPr>
        <w:t xml:space="preserve"> and </w:t>
      </w:r>
      <w:proofErr w:type="spellStart"/>
      <w:r w:rsidRPr="0079515C">
        <w:rPr>
          <w:rStyle w:val="s6b621b36"/>
          <w:rFonts w:cs="Arial"/>
          <w:i/>
          <w:iCs/>
          <w:spacing w:val="-4"/>
          <w:sz w:val="16"/>
          <w:szCs w:val="16"/>
          <w:shd w:val="clear" w:color="auto" w:fill="FFFFFF"/>
          <w:lang w:val="en-US"/>
        </w:rPr>
        <w:t>Askarov</w:t>
      </w:r>
      <w:proofErr w:type="spellEnd"/>
      <w:r w:rsidRPr="0079515C">
        <w:rPr>
          <w:rStyle w:val="s6b621b36"/>
          <w:rFonts w:cs="Arial"/>
          <w:i/>
          <w:iCs/>
          <w:spacing w:val="-4"/>
          <w:sz w:val="16"/>
          <w:szCs w:val="16"/>
          <w:shd w:val="clear" w:color="auto" w:fill="FFFFFF"/>
          <w:lang w:val="en-US"/>
        </w:rPr>
        <w:t xml:space="preserve"> v.</w:t>
      </w:r>
      <w:r w:rsidRPr="0079515C">
        <w:rPr>
          <w:rStyle w:val="apple-converted-space"/>
          <w:rFonts w:cs="Arial"/>
          <w:i/>
          <w:iCs/>
          <w:spacing w:val="-4"/>
          <w:sz w:val="16"/>
          <w:szCs w:val="16"/>
          <w:shd w:val="clear" w:color="auto" w:fill="FFFFFF"/>
          <w:lang w:val="en-US"/>
        </w:rPr>
        <w:t> </w:t>
      </w:r>
      <w:r w:rsidRPr="0079515C">
        <w:rPr>
          <w:rStyle w:val="s6b621b36"/>
          <w:rFonts w:cs="Arial"/>
          <w:i/>
          <w:iCs/>
          <w:spacing w:val="-4"/>
          <w:sz w:val="16"/>
          <w:szCs w:val="16"/>
          <w:shd w:val="clear" w:color="auto" w:fill="FFFFFF"/>
          <w:lang w:val="en-US"/>
        </w:rPr>
        <w:t xml:space="preserve">Turkey </w:t>
      </w:r>
      <w:r w:rsidRPr="0079515C">
        <w:rPr>
          <w:rStyle w:val="s6b621b36"/>
          <w:rFonts w:cs="Arial"/>
          <w:iCs/>
          <w:spacing w:val="-4"/>
          <w:sz w:val="16"/>
          <w:szCs w:val="16"/>
          <w:shd w:val="clear" w:color="auto" w:fill="FFFFFF"/>
          <w:lang w:val="en-US"/>
        </w:rPr>
        <w:t>[GS]</w:t>
      </w:r>
      <w:r w:rsidRPr="0079515C">
        <w:rPr>
          <w:rStyle w:val="sb8d990e2"/>
          <w:rFonts w:cs="Arial"/>
          <w:spacing w:val="-4"/>
          <w:sz w:val="16"/>
          <w:szCs w:val="16"/>
          <w:shd w:val="clear" w:color="auto" w:fill="FFFFFF"/>
          <w:lang w:val="en-US"/>
        </w:rPr>
        <w:t>, Nos. </w:t>
      </w:r>
      <w:hyperlink r:id="rId22" w:anchor="{&quot;appno&quot;:[&quot;46827/99&quot;]}" w:tgtFrame="_blank" w:history="1">
        <w:proofErr w:type="gramStart"/>
        <w:r w:rsidRPr="0079515C">
          <w:rPr>
            <w:rStyle w:val="Hyperlink"/>
            <w:rFonts w:cs="Arial"/>
            <w:color w:val="auto"/>
            <w:spacing w:val="-4"/>
            <w:sz w:val="16"/>
            <w:szCs w:val="16"/>
            <w:u w:val="none"/>
            <w:shd w:val="clear" w:color="auto" w:fill="FFFFFF"/>
            <w:lang w:val="en-US"/>
          </w:rPr>
          <w:t>46827/99</w:t>
        </w:r>
      </w:hyperlink>
      <w:r w:rsidRPr="0079515C">
        <w:rPr>
          <w:rStyle w:val="apple-converted-space"/>
          <w:rFonts w:cs="Arial"/>
          <w:spacing w:val="-4"/>
          <w:sz w:val="16"/>
          <w:szCs w:val="16"/>
          <w:shd w:val="clear" w:color="auto" w:fill="FFFFFF"/>
          <w:lang w:val="en-US"/>
        </w:rPr>
        <w:t xml:space="preserve"> and </w:t>
      </w:r>
      <w:hyperlink r:id="rId23" w:anchor="{&quot;appno&quot;:[&quot;46951/99&quot;]}" w:tgtFrame="_blank" w:history="1">
        <w:r w:rsidRPr="0079515C">
          <w:rPr>
            <w:rStyle w:val="Hyperlink"/>
            <w:rFonts w:cs="Arial"/>
            <w:color w:val="auto"/>
            <w:spacing w:val="-4"/>
            <w:sz w:val="16"/>
            <w:szCs w:val="16"/>
            <w:u w:val="none"/>
            <w:shd w:val="clear" w:color="auto" w:fill="FFFFFF"/>
            <w:lang w:val="en-US"/>
          </w:rPr>
          <w:t>46951/99</w:t>
        </w:r>
      </w:hyperlink>
      <w:r w:rsidRPr="0079515C">
        <w:rPr>
          <w:rStyle w:val="Hyperlink"/>
          <w:rFonts w:cs="Arial"/>
          <w:color w:val="auto"/>
          <w:spacing w:val="-4"/>
          <w:sz w:val="16"/>
          <w:szCs w:val="16"/>
          <w:u w:val="none"/>
          <w:shd w:val="clear" w:color="auto" w:fill="FFFFFF"/>
          <w:lang w:val="en-US"/>
        </w:rPr>
        <w:t>.</w:t>
      </w:r>
      <w:proofErr w:type="gramEnd"/>
      <w:r w:rsidRPr="0079515C">
        <w:rPr>
          <w:rStyle w:val="Hyperlink"/>
          <w:rFonts w:cs="Arial"/>
          <w:color w:val="auto"/>
          <w:spacing w:val="-4"/>
          <w:sz w:val="16"/>
          <w:szCs w:val="16"/>
          <w:u w:val="none"/>
          <w:shd w:val="clear" w:color="auto" w:fill="FFFFFF"/>
          <w:lang w:val="en-US"/>
        </w:rPr>
        <w:t xml:space="preserve"> </w:t>
      </w:r>
      <w:proofErr w:type="gramStart"/>
      <w:r w:rsidRPr="0079515C">
        <w:rPr>
          <w:rStyle w:val="Hyperlink"/>
          <w:rFonts w:cs="Arial"/>
          <w:color w:val="auto"/>
          <w:spacing w:val="-4"/>
          <w:sz w:val="16"/>
          <w:szCs w:val="16"/>
          <w:u w:val="none"/>
          <w:shd w:val="clear" w:color="auto" w:fill="FFFFFF"/>
          <w:lang w:val="en-US"/>
        </w:rPr>
        <w:t>Judgment of February 4, 2005, para.</w:t>
      </w:r>
      <w:proofErr w:type="gramEnd"/>
      <w:r w:rsidRPr="0079515C">
        <w:rPr>
          <w:rStyle w:val="Hyperlink"/>
          <w:rFonts w:cs="Arial"/>
          <w:color w:val="auto"/>
          <w:spacing w:val="-4"/>
          <w:sz w:val="16"/>
          <w:szCs w:val="16"/>
          <w:u w:val="none"/>
          <w:shd w:val="clear" w:color="auto" w:fill="FFFFFF"/>
          <w:lang w:val="en-US"/>
        </w:rPr>
        <w:t xml:space="preserve"> </w:t>
      </w:r>
      <w:r w:rsidRPr="0079515C">
        <w:rPr>
          <w:rStyle w:val="sb8d990e2"/>
          <w:rFonts w:cs="Arial"/>
          <w:spacing w:val="-4"/>
          <w:sz w:val="16"/>
          <w:szCs w:val="16"/>
          <w:shd w:val="clear" w:color="auto" w:fill="FFFFFF"/>
          <w:lang w:val="en-US"/>
        </w:rPr>
        <w:t>69, which establishes that</w:t>
      </w:r>
      <w:r w:rsidRPr="0079515C">
        <w:rPr>
          <w:rStyle w:val="sb8d990e2"/>
          <w:rFonts w:cs="Arial"/>
          <w:color w:val="000000"/>
          <w:spacing w:val="-4"/>
          <w:sz w:val="16"/>
          <w:szCs w:val="16"/>
          <w:shd w:val="clear" w:color="auto" w:fill="FFFFFF"/>
          <w:lang w:val="en-US"/>
        </w:rPr>
        <w:t>: “</w:t>
      </w:r>
      <w:r w:rsidRPr="0079515C">
        <w:rPr>
          <w:rFonts w:cs="Arial"/>
          <w:spacing w:val="-4"/>
          <w:sz w:val="16"/>
          <w:szCs w:val="16"/>
          <w:shd w:val="clear" w:color="auto" w:fill="FFFFFF"/>
          <w:lang w:val="en-US"/>
        </w:rPr>
        <w:t xml:space="preserve">Since the nature of the Contracting States' responsibility under Article 3 in cases of this kind lies in the act of exposing an individual to the risk of ill-treatment, the existence of the risk must be assessed primarily with </w:t>
      </w:r>
      <w:r w:rsidRPr="0079515C">
        <w:rPr>
          <w:rFonts w:cs="Arial"/>
          <w:color w:val="000000"/>
          <w:spacing w:val="-4"/>
          <w:sz w:val="16"/>
          <w:szCs w:val="16"/>
          <w:shd w:val="clear" w:color="auto" w:fill="FFFFFF"/>
          <w:lang w:val="en-US"/>
        </w:rPr>
        <w:t>reference to those facts which were known or ought to have been known to the Contracting State at the time of the extradition […] However, if the applicant has not been extradited or deported when the Court examines the case, the relevant time will be that of the proceedings before the Court […].”</w:t>
      </w:r>
    </w:p>
  </w:footnote>
  <w:footnote w:id="197">
    <w:p w14:paraId="1C959788" w14:textId="77777777" w:rsidR="002306C1" w:rsidRPr="0079515C" w:rsidRDefault="002306C1" w:rsidP="00216773">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Similarly, see</w:t>
      </w:r>
      <w:r w:rsidRPr="0079515C">
        <w:rPr>
          <w:iCs/>
          <w:spacing w:val="-4"/>
          <w:lang w:val="en-US"/>
        </w:rPr>
        <w:t>:</w:t>
      </w:r>
      <w:r w:rsidRPr="0079515C">
        <w:rPr>
          <w:i/>
          <w:iCs/>
          <w:spacing w:val="-4"/>
          <w:lang w:val="en-US"/>
        </w:rPr>
        <w:t xml:space="preserve"> </w:t>
      </w:r>
      <w:r w:rsidRPr="0079515C">
        <w:rPr>
          <w:rStyle w:val="sb8d990e2"/>
          <w:color w:val="000000"/>
          <w:spacing w:val="-4"/>
          <w:shd w:val="clear" w:color="auto" w:fill="FFFFFF"/>
          <w:lang w:val="en-US"/>
        </w:rPr>
        <w:t xml:space="preserve">ECHR, </w:t>
      </w:r>
      <w:r w:rsidRPr="0079515C">
        <w:rPr>
          <w:rStyle w:val="sb8d990e2"/>
          <w:i/>
          <w:iCs/>
          <w:color w:val="000000"/>
          <w:spacing w:val="-4"/>
          <w:shd w:val="clear" w:color="auto" w:fill="FFFFFF"/>
          <w:lang w:val="en-US"/>
        </w:rPr>
        <w:t xml:space="preserve">Case of </w:t>
      </w:r>
      <w:proofErr w:type="spellStart"/>
      <w:r w:rsidRPr="0079515C">
        <w:rPr>
          <w:rStyle w:val="sb8d990e2"/>
          <w:i/>
          <w:iCs/>
          <w:color w:val="000000"/>
          <w:spacing w:val="-4"/>
          <w:shd w:val="clear" w:color="auto" w:fill="FFFFFF"/>
          <w:lang w:val="en-US"/>
        </w:rPr>
        <w:t>Soering</w:t>
      </w:r>
      <w:proofErr w:type="spellEnd"/>
      <w:r w:rsidRPr="0079515C">
        <w:rPr>
          <w:rStyle w:val="sb8d990e2"/>
          <w:i/>
          <w:iCs/>
          <w:color w:val="000000"/>
          <w:spacing w:val="-4"/>
          <w:shd w:val="clear" w:color="auto" w:fill="FFFFFF"/>
          <w:lang w:val="en-US"/>
        </w:rPr>
        <w:t xml:space="preserve"> v. </w:t>
      </w:r>
      <w:proofErr w:type="gramStart"/>
      <w:r w:rsidRPr="0079515C">
        <w:rPr>
          <w:rStyle w:val="sb8d990e2"/>
          <w:i/>
          <w:iCs/>
          <w:color w:val="000000"/>
          <w:spacing w:val="-4"/>
          <w:shd w:val="clear" w:color="auto" w:fill="FFFFFF"/>
          <w:lang w:val="en-US"/>
        </w:rPr>
        <w:t>The United Kingdom</w:t>
      </w:r>
      <w:r w:rsidRPr="0079515C">
        <w:rPr>
          <w:rStyle w:val="sb8d990e2"/>
          <w:color w:val="000000"/>
          <w:spacing w:val="-4"/>
          <w:shd w:val="clear" w:color="auto" w:fill="FFFFFF"/>
          <w:lang w:val="en-US"/>
        </w:rPr>
        <w:t>, No.</w:t>
      </w:r>
      <w:r w:rsidRPr="0079515C">
        <w:rPr>
          <w:rStyle w:val="apple-converted-space"/>
          <w:color w:val="000000"/>
          <w:spacing w:val="-4"/>
          <w:shd w:val="clear" w:color="auto" w:fill="FFFFFF"/>
          <w:lang w:val="en-US"/>
        </w:rPr>
        <w:t> </w:t>
      </w:r>
      <w:r w:rsidRPr="0079515C">
        <w:rPr>
          <w:spacing w:val="-4"/>
          <w:lang w:val="en-US"/>
        </w:rPr>
        <w:t>14038/88</w:t>
      </w:r>
      <w:r w:rsidRPr="0079515C">
        <w:rPr>
          <w:rStyle w:val="sb8d990e2"/>
          <w:color w:val="000000"/>
          <w:spacing w:val="-4"/>
          <w:shd w:val="clear" w:color="auto" w:fill="FFFFFF"/>
          <w:lang w:val="en-US"/>
        </w:rPr>
        <w:t>.</w:t>
      </w:r>
      <w:proofErr w:type="gramEnd"/>
      <w:r w:rsidRPr="0079515C">
        <w:rPr>
          <w:rStyle w:val="sb8d990e2"/>
          <w:color w:val="000000"/>
          <w:spacing w:val="-4"/>
          <w:shd w:val="clear" w:color="auto" w:fill="FFFFFF"/>
          <w:lang w:val="en-US"/>
        </w:rPr>
        <w:t xml:space="preserve"> </w:t>
      </w:r>
      <w:proofErr w:type="gramStart"/>
      <w:r w:rsidRPr="0079515C">
        <w:rPr>
          <w:rStyle w:val="sb8d990e2"/>
          <w:color w:val="000000"/>
          <w:spacing w:val="-4"/>
          <w:shd w:val="clear" w:color="auto" w:fill="FFFFFF"/>
          <w:lang w:val="en-US"/>
        </w:rPr>
        <w:t>Judgment of July 7, 1989, para.</w:t>
      </w:r>
      <w:proofErr w:type="gramEnd"/>
      <w:r w:rsidRPr="0079515C">
        <w:rPr>
          <w:rStyle w:val="sb8d990e2"/>
          <w:color w:val="000000"/>
          <w:spacing w:val="-4"/>
          <w:shd w:val="clear" w:color="auto" w:fill="FFFFFF"/>
          <w:lang w:val="en-US"/>
        </w:rPr>
        <w:t xml:space="preserve"> 90. In this case, the European Court established that: “</w:t>
      </w:r>
      <w:r w:rsidRPr="0079515C">
        <w:rPr>
          <w:rFonts w:cs="Arial"/>
          <w:color w:val="000000"/>
          <w:spacing w:val="-4"/>
          <w:shd w:val="clear" w:color="auto" w:fill="FFFFFF"/>
          <w:lang w:val="en-US"/>
        </w:rPr>
        <w:t xml:space="preserve">It is not normally for the Convention institutions to pronounce on the existence or otherwise of potential violations of the Convention. However, where an applicant claims that a decision to extradite him would, if implemented, be contrary to Article 3 by reason of its foreseeable consequences in the requesting country, a departure from this principle is necessary, in view of the serious and irreparable nature of the alleged suffering risked, in order to ensure the effectiveness of the safeguard provided by that Article 3.” </w:t>
      </w:r>
    </w:p>
  </w:footnote>
  <w:footnote w:id="198">
    <w:p w14:paraId="607F89CA" w14:textId="5D5B559F"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In this regard, see: the European Court, </w:t>
      </w:r>
      <w:r w:rsidRPr="0079515C">
        <w:rPr>
          <w:i/>
          <w:spacing w:val="-4"/>
          <w:lang w:val="en-US"/>
        </w:rPr>
        <w:t>inter alia</w:t>
      </w:r>
      <w:r w:rsidRPr="0079515C">
        <w:rPr>
          <w:spacing w:val="-4"/>
          <w:lang w:val="en-US"/>
        </w:rPr>
        <w:t xml:space="preserve">, ECHR,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xml:space="preserve">, No.8320/04.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 xml:space="preserve">115; </w:t>
      </w:r>
      <w:r w:rsidRPr="0079515C">
        <w:rPr>
          <w:i/>
          <w:spacing w:val="-4"/>
          <w:lang w:val="en-US"/>
        </w:rPr>
        <w:t xml:space="preserve">Case of </w:t>
      </w:r>
      <w:proofErr w:type="spellStart"/>
      <w:r w:rsidRPr="0079515C">
        <w:rPr>
          <w:i/>
          <w:spacing w:val="-4"/>
          <w:lang w:val="en-US"/>
        </w:rPr>
        <w:t>Hilal</w:t>
      </w:r>
      <w:proofErr w:type="spellEnd"/>
      <w:r w:rsidRPr="0079515C">
        <w:rPr>
          <w:i/>
          <w:spacing w:val="-4"/>
          <w:lang w:val="en-US"/>
        </w:rPr>
        <w:t xml:space="preserve"> v.</w:t>
      </w:r>
      <w:proofErr w:type="gramEnd"/>
      <w:r w:rsidRPr="0079515C">
        <w:rPr>
          <w:i/>
          <w:spacing w:val="-4"/>
          <w:lang w:val="en-US"/>
        </w:rPr>
        <w:t xml:space="preserve"> </w:t>
      </w:r>
      <w:proofErr w:type="gramStart"/>
      <w:r w:rsidRPr="0079515C">
        <w:rPr>
          <w:i/>
          <w:spacing w:val="-4"/>
          <w:lang w:val="en-US"/>
        </w:rPr>
        <w:t>The United Kingdom</w:t>
      </w:r>
      <w:r w:rsidRPr="0079515C">
        <w:rPr>
          <w:spacing w:val="-4"/>
          <w:lang w:val="en-US"/>
        </w:rPr>
        <w:t>, No.45276/99.</w:t>
      </w:r>
      <w:proofErr w:type="gramEnd"/>
      <w:r w:rsidRPr="0079515C">
        <w:rPr>
          <w:spacing w:val="-4"/>
          <w:lang w:val="en-US"/>
        </w:rPr>
        <w:t xml:space="preserve"> </w:t>
      </w:r>
      <w:proofErr w:type="gramStart"/>
      <w:r w:rsidRPr="0079515C">
        <w:rPr>
          <w:spacing w:val="-4"/>
          <w:lang w:val="en-US"/>
        </w:rPr>
        <w:t>Judgment of March 6, 2001, para.</w:t>
      </w:r>
      <w:proofErr w:type="gramEnd"/>
      <w:r w:rsidRPr="0079515C">
        <w:rPr>
          <w:spacing w:val="-4"/>
          <w:lang w:val="en-US"/>
        </w:rPr>
        <w:t xml:space="preserve"> </w:t>
      </w:r>
      <w:proofErr w:type="gramStart"/>
      <w:r w:rsidRPr="0079515C">
        <w:rPr>
          <w:spacing w:val="-4"/>
          <w:lang w:val="en-US"/>
        </w:rPr>
        <w:t xml:space="preserve">68; </w:t>
      </w:r>
      <w:r w:rsidRPr="0079515C">
        <w:rPr>
          <w:i/>
          <w:spacing w:val="-4"/>
          <w:lang w:val="en-US"/>
        </w:rPr>
        <w:t xml:space="preserve">Case of </w:t>
      </w:r>
      <w:proofErr w:type="spellStart"/>
      <w:r w:rsidRPr="0079515C">
        <w:rPr>
          <w:i/>
          <w:spacing w:val="-4"/>
          <w:lang w:val="en-US"/>
        </w:rPr>
        <w:t>Venkadajalasarma</w:t>
      </w:r>
      <w:proofErr w:type="spellEnd"/>
      <w:r w:rsidRPr="0079515C">
        <w:rPr>
          <w:i/>
          <w:spacing w:val="-4"/>
          <w:lang w:val="en-US"/>
        </w:rPr>
        <w:t xml:space="preserve"> v.</w:t>
      </w:r>
      <w:proofErr w:type="gramEnd"/>
      <w:r w:rsidRPr="0079515C">
        <w:rPr>
          <w:i/>
          <w:spacing w:val="-4"/>
          <w:lang w:val="en-US"/>
        </w:rPr>
        <w:t xml:space="preserve"> </w:t>
      </w:r>
      <w:proofErr w:type="gramStart"/>
      <w:r w:rsidRPr="0079515C">
        <w:rPr>
          <w:i/>
          <w:spacing w:val="-4"/>
          <w:lang w:val="en-US"/>
        </w:rPr>
        <w:t>The Netherlands,</w:t>
      </w:r>
      <w:r w:rsidRPr="0079515C">
        <w:rPr>
          <w:spacing w:val="-4"/>
          <w:lang w:val="en-US"/>
        </w:rPr>
        <w:t xml:space="preserve"> No. 58510/00, Judgment of February 17, 2004, para.</w:t>
      </w:r>
      <w:proofErr w:type="gramEnd"/>
      <w:r w:rsidRPr="0079515C">
        <w:rPr>
          <w:spacing w:val="-4"/>
          <w:lang w:val="en-US"/>
        </w:rPr>
        <w:t xml:space="preserve"> </w:t>
      </w:r>
      <w:proofErr w:type="gramStart"/>
      <w:r w:rsidRPr="0079515C">
        <w:rPr>
          <w:spacing w:val="-4"/>
          <w:lang w:val="en-US"/>
        </w:rPr>
        <w:t>69,</w:t>
      </w:r>
      <w:proofErr w:type="gramEnd"/>
      <w:r w:rsidRPr="0079515C">
        <w:rPr>
          <w:spacing w:val="-4"/>
          <w:lang w:val="en-US"/>
        </w:rPr>
        <w:t xml:space="preserve"> and </w:t>
      </w:r>
      <w:r w:rsidRPr="0079515C">
        <w:rPr>
          <w:i/>
          <w:spacing w:val="-4"/>
          <w:lang w:val="en-US"/>
        </w:rPr>
        <w:t>Case of Jabari v. Turkey</w:t>
      </w:r>
      <w:r w:rsidRPr="0079515C">
        <w:rPr>
          <w:spacing w:val="-4"/>
          <w:lang w:val="en-US"/>
        </w:rPr>
        <w:t xml:space="preserve">, No. 40035/98. </w:t>
      </w:r>
      <w:proofErr w:type="gramStart"/>
      <w:r w:rsidRPr="0079515C">
        <w:rPr>
          <w:spacing w:val="-4"/>
          <w:lang w:val="en-US"/>
        </w:rPr>
        <w:t>Judgment of July 11, 2000, para.</w:t>
      </w:r>
      <w:proofErr w:type="gramEnd"/>
      <w:r w:rsidRPr="0079515C">
        <w:rPr>
          <w:spacing w:val="-4"/>
          <w:lang w:val="en-US"/>
        </w:rPr>
        <w:t xml:space="preserve"> 42. The Human Rights Committee, </w:t>
      </w:r>
      <w:r w:rsidRPr="0079515C">
        <w:rPr>
          <w:i/>
          <w:spacing w:val="-4"/>
          <w:lang w:val="en-US"/>
        </w:rPr>
        <w:t>inter alia</w:t>
      </w:r>
      <w:r w:rsidRPr="0079515C">
        <w:rPr>
          <w:spacing w:val="-4"/>
          <w:lang w:val="en-US"/>
        </w:rPr>
        <w:t>,</w:t>
      </w:r>
      <w:r w:rsidRPr="0079515C">
        <w:rPr>
          <w:i/>
          <w:spacing w:val="-4"/>
          <w:lang w:val="en-US"/>
        </w:rPr>
        <w:t xml:space="preserve"> Case of </w:t>
      </w:r>
      <w:proofErr w:type="spellStart"/>
      <w:r w:rsidRPr="0079515C">
        <w:rPr>
          <w:i/>
          <w:spacing w:val="-4"/>
          <w:lang w:val="en-US"/>
        </w:rPr>
        <w:t>Mehrez</w:t>
      </w:r>
      <w:proofErr w:type="spellEnd"/>
      <w:r w:rsidRPr="0079515C">
        <w:rPr>
          <w:i/>
          <w:spacing w:val="-4"/>
          <w:lang w:val="en-US"/>
        </w:rPr>
        <w:t xml:space="preserve"> Ben </w:t>
      </w:r>
      <w:proofErr w:type="spellStart"/>
      <w:r w:rsidRPr="0079515C">
        <w:rPr>
          <w:i/>
          <w:spacing w:val="-4"/>
          <w:lang w:val="en-US"/>
        </w:rPr>
        <w:t>Abde</w:t>
      </w:r>
      <w:proofErr w:type="spellEnd"/>
      <w:r w:rsidRPr="0079515C">
        <w:rPr>
          <w:i/>
          <w:spacing w:val="-4"/>
          <w:lang w:val="en-US"/>
        </w:rPr>
        <w:t xml:space="preserve"> </w:t>
      </w:r>
      <w:proofErr w:type="spellStart"/>
      <w:r w:rsidRPr="0079515C">
        <w:rPr>
          <w:i/>
          <w:spacing w:val="-4"/>
          <w:lang w:val="en-US"/>
        </w:rPr>
        <w:t>Hamida</w:t>
      </w:r>
      <w:proofErr w:type="spellEnd"/>
      <w:r w:rsidRPr="0079515C">
        <w:rPr>
          <w:i/>
          <w:spacing w:val="-4"/>
          <w:lang w:val="en-US"/>
        </w:rPr>
        <w:t xml:space="preserve"> v. Canada</w:t>
      </w:r>
      <w:r w:rsidRPr="0079515C">
        <w:rPr>
          <w:spacing w:val="-4"/>
          <w:lang w:val="en-US"/>
        </w:rPr>
        <w:t xml:space="preserve">, Communication No.1544/2007, </w:t>
      </w:r>
      <w:r w:rsidRPr="0079515C">
        <w:rPr>
          <w:bCs w:val="0"/>
          <w:color w:val="000000"/>
          <w:spacing w:val="-4"/>
          <w:shd w:val="clear" w:color="auto" w:fill="FFFFFF"/>
          <w:lang w:val="en-US"/>
        </w:rPr>
        <w:t>U.N. Doc. CCPR/C/98/D/1544/2007,</w:t>
      </w:r>
      <w:r w:rsidRPr="0079515C">
        <w:rPr>
          <w:spacing w:val="-4"/>
          <w:lang w:val="en-US"/>
        </w:rPr>
        <w:t xml:space="preserve"> March 18, 2010, para. 8.6, 8.7 and 9; Case of </w:t>
      </w:r>
      <w:r w:rsidRPr="0079515C">
        <w:rPr>
          <w:i/>
          <w:spacing w:val="-4"/>
          <w:lang w:val="en-US"/>
        </w:rPr>
        <w:t>G.T. v. Australia</w:t>
      </w:r>
      <w:r w:rsidRPr="0079515C">
        <w:rPr>
          <w:spacing w:val="-4"/>
          <w:lang w:val="en-US"/>
        </w:rPr>
        <w:t>, Communication No.706/1996</w:t>
      </w:r>
      <w:proofErr w:type="gramStart"/>
      <w:r w:rsidRPr="0079515C">
        <w:rPr>
          <w:spacing w:val="-4"/>
          <w:lang w:val="en-US"/>
        </w:rPr>
        <w:t>,</w:t>
      </w:r>
      <w:proofErr w:type="gramEnd"/>
      <w:r w:rsidRPr="0079515C">
        <w:rPr>
          <w:rStyle w:val="FootnoteReference"/>
          <w:b/>
          <w:bCs w:val="0"/>
          <w:color w:val="000000"/>
          <w:spacing w:val="-4"/>
          <w:lang w:val="en-US"/>
        </w:rPr>
        <w:t xml:space="preserve"> </w:t>
      </w:r>
      <w:r w:rsidRPr="0079515C">
        <w:rPr>
          <w:rStyle w:val="Strong"/>
          <w:b w:val="0"/>
          <w:bCs/>
          <w:color w:val="000000"/>
          <w:spacing w:val="-4"/>
          <w:lang w:val="en-US"/>
        </w:rPr>
        <w:t>U.N. Doc.</w:t>
      </w:r>
      <w:r w:rsidRPr="0079515C">
        <w:rPr>
          <w:rStyle w:val="apple-converted-space"/>
          <w:color w:val="000000"/>
          <w:spacing w:val="-4"/>
          <w:lang w:val="en-US"/>
        </w:rPr>
        <w:t> </w:t>
      </w:r>
      <w:r w:rsidRPr="0079515C">
        <w:rPr>
          <w:color w:val="000000"/>
          <w:spacing w:val="-4"/>
          <w:lang w:val="en-US"/>
        </w:rPr>
        <w:t xml:space="preserve">CCPR/C/61/D/706/1996, </w:t>
      </w:r>
      <w:r w:rsidRPr="0079515C">
        <w:rPr>
          <w:spacing w:val="-4"/>
          <w:lang w:val="en-US"/>
        </w:rPr>
        <w:t>November 4, 1997, para. 8.2 and 8.3,</w:t>
      </w:r>
      <w:r w:rsidRPr="0079515C">
        <w:rPr>
          <w:b/>
          <w:spacing w:val="-4"/>
          <w:lang w:val="en-US"/>
        </w:rPr>
        <w:t xml:space="preserve"> </w:t>
      </w:r>
      <w:r w:rsidRPr="0079515C">
        <w:rPr>
          <w:spacing w:val="-4"/>
          <w:lang w:val="en-US"/>
        </w:rPr>
        <w:t xml:space="preserve">and </w:t>
      </w:r>
      <w:r w:rsidRPr="0079515C">
        <w:rPr>
          <w:bCs w:val="0"/>
          <w:spacing w:val="-4"/>
          <w:lang w:val="en-US"/>
        </w:rPr>
        <w:t xml:space="preserve">Case of </w:t>
      </w:r>
      <w:proofErr w:type="spellStart"/>
      <w:r w:rsidRPr="0079515C">
        <w:rPr>
          <w:i/>
          <w:spacing w:val="-4"/>
          <w:lang w:val="en-US"/>
        </w:rPr>
        <w:t>Thuraisamy</w:t>
      </w:r>
      <w:proofErr w:type="spellEnd"/>
      <w:r w:rsidRPr="0079515C">
        <w:rPr>
          <w:i/>
          <w:spacing w:val="-4"/>
          <w:lang w:val="en-US"/>
        </w:rPr>
        <w:t xml:space="preserve"> v. Canada,</w:t>
      </w:r>
      <w:r w:rsidRPr="0079515C">
        <w:rPr>
          <w:spacing w:val="-4"/>
          <w:lang w:val="en-US"/>
        </w:rPr>
        <w:t xml:space="preserve"> Communication N</w:t>
      </w:r>
      <w:r w:rsidRPr="0079515C">
        <w:rPr>
          <w:bCs w:val="0"/>
          <w:spacing w:val="-4"/>
          <w:lang w:val="en-US"/>
        </w:rPr>
        <w:t>o.</w:t>
      </w:r>
      <w:r w:rsidRPr="0079515C">
        <w:rPr>
          <w:spacing w:val="-4"/>
          <w:lang w:val="en-US"/>
        </w:rPr>
        <w:t xml:space="preserve"> 1912/2009, </w:t>
      </w:r>
      <w:r w:rsidRPr="0079515C">
        <w:rPr>
          <w:rStyle w:val="style31"/>
          <w:bCs w:val="0"/>
          <w:color w:val="000000"/>
          <w:spacing w:val="-4"/>
          <w:shd w:val="clear" w:color="auto" w:fill="FFFFFF"/>
          <w:lang w:val="en-US"/>
        </w:rPr>
        <w:t xml:space="preserve">U.N. Doc. CCPR/C/106/D/1912/2009, </w:t>
      </w:r>
      <w:r w:rsidRPr="0079515C">
        <w:rPr>
          <w:spacing w:val="-4"/>
          <w:lang w:val="en-US"/>
        </w:rPr>
        <w:t>October 31, 2012, para. 8</w:t>
      </w:r>
      <w:r w:rsidRPr="0079515C">
        <w:rPr>
          <w:bCs w:val="0"/>
          <w:spacing w:val="-4"/>
          <w:lang w:val="en-US"/>
        </w:rPr>
        <w:t xml:space="preserve">. </w:t>
      </w:r>
      <w:r w:rsidRPr="0079515C">
        <w:rPr>
          <w:spacing w:val="-4"/>
          <w:lang w:val="en-US"/>
        </w:rPr>
        <w:t xml:space="preserve">The Committee against Torture, </w:t>
      </w:r>
      <w:r w:rsidRPr="0079515C">
        <w:rPr>
          <w:i/>
          <w:spacing w:val="-4"/>
          <w:lang w:val="en-US"/>
        </w:rPr>
        <w:t>inter alia</w:t>
      </w:r>
      <w:r w:rsidRPr="0079515C">
        <w:rPr>
          <w:spacing w:val="-4"/>
          <w:lang w:val="en-US"/>
        </w:rPr>
        <w:t>,</w:t>
      </w:r>
      <w:r w:rsidRPr="0079515C">
        <w:rPr>
          <w:b/>
          <w:spacing w:val="-4"/>
          <w:lang w:val="en-US"/>
        </w:rPr>
        <w:t xml:space="preserve"> </w:t>
      </w:r>
      <w:r w:rsidRPr="0079515C">
        <w:rPr>
          <w:i/>
          <w:spacing w:val="-4"/>
          <w:lang w:val="en-US"/>
        </w:rPr>
        <w:t>Case of</w:t>
      </w:r>
      <w:r w:rsidRPr="0079515C">
        <w:rPr>
          <w:spacing w:val="-4"/>
          <w:lang w:val="en-US"/>
        </w:rPr>
        <w:t xml:space="preserve"> </w:t>
      </w:r>
      <w:r w:rsidRPr="0079515C">
        <w:rPr>
          <w:i/>
          <w:spacing w:val="-4"/>
          <w:lang w:val="en-US"/>
        </w:rPr>
        <w:t>v. N. I. M. v. Canada,</w:t>
      </w:r>
      <w:r w:rsidRPr="0079515C">
        <w:rPr>
          <w:spacing w:val="-4"/>
          <w:lang w:val="en-US"/>
        </w:rPr>
        <w:t xml:space="preserve"> Communication No.119/1998, </w:t>
      </w:r>
      <w:r w:rsidRPr="0079515C">
        <w:rPr>
          <w:color w:val="000000"/>
          <w:spacing w:val="-4"/>
          <w:shd w:val="clear" w:color="auto" w:fill="FFFFFF"/>
          <w:lang w:val="en-US"/>
        </w:rPr>
        <w:t>U.N. Doc. CAT/C/40/D/293/2006,</w:t>
      </w:r>
      <w:r w:rsidRPr="0079515C">
        <w:rPr>
          <w:spacing w:val="-4"/>
          <w:lang w:val="en-US"/>
        </w:rPr>
        <w:t xml:space="preserve"> November 12, 2002, para. </w:t>
      </w:r>
      <w:proofErr w:type="gramStart"/>
      <w:r w:rsidRPr="0079515C">
        <w:rPr>
          <w:spacing w:val="-4"/>
          <w:lang w:val="en-US"/>
        </w:rPr>
        <w:t xml:space="preserve">8; </w:t>
      </w:r>
      <w:r w:rsidRPr="0079515C">
        <w:rPr>
          <w:i/>
          <w:spacing w:val="-4"/>
          <w:lang w:val="en-US"/>
        </w:rPr>
        <w:t>Case of</w:t>
      </w:r>
      <w:r w:rsidRPr="0079515C">
        <w:rPr>
          <w:spacing w:val="-4"/>
          <w:lang w:val="en-US"/>
        </w:rPr>
        <w:t xml:space="preserve"> </w:t>
      </w:r>
      <w:proofErr w:type="spellStart"/>
      <w:r w:rsidRPr="0079515C">
        <w:rPr>
          <w:i/>
          <w:spacing w:val="-4"/>
          <w:lang w:val="en-US"/>
        </w:rPr>
        <w:t>Attia</w:t>
      </w:r>
      <w:proofErr w:type="spellEnd"/>
      <w:r w:rsidRPr="0079515C">
        <w:rPr>
          <w:i/>
          <w:spacing w:val="-4"/>
          <w:lang w:val="en-US"/>
        </w:rPr>
        <w:t xml:space="preserve"> v. Sweden</w:t>
      </w:r>
      <w:r w:rsidRPr="0079515C">
        <w:rPr>
          <w:spacing w:val="-4"/>
          <w:lang w:val="en-US"/>
        </w:rPr>
        <w:t xml:space="preserve">, Communication No. 199/2002, </w:t>
      </w:r>
      <w:r w:rsidRPr="0079515C">
        <w:rPr>
          <w:rStyle w:val="Strong"/>
          <w:b w:val="0"/>
          <w:color w:val="000000"/>
          <w:spacing w:val="-4"/>
          <w:shd w:val="clear" w:color="auto" w:fill="FFFFFF"/>
          <w:lang w:val="en-US"/>
        </w:rPr>
        <w:t>U.N. Doc. CAT/C/31/D/199/2002,</w:t>
      </w:r>
      <w:r w:rsidRPr="0079515C">
        <w:rPr>
          <w:b/>
          <w:spacing w:val="-4"/>
          <w:lang w:val="en-US"/>
        </w:rPr>
        <w:t xml:space="preserve"> </w:t>
      </w:r>
      <w:r w:rsidRPr="0079515C">
        <w:rPr>
          <w:spacing w:val="-4"/>
          <w:lang w:val="en-US"/>
        </w:rPr>
        <w:t>November 17, 2003, para.</w:t>
      </w:r>
      <w:proofErr w:type="gramEnd"/>
      <w:r w:rsidRPr="0079515C">
        <w:rPr>
          <w:spacing w:val="-4"/>
          <w:lang w:val="en-US"/>
        </w:rPr>
        <w:t xml:space="preserve"> </w:t>
      </w:r>
      <w:proofErr w:type="gramStart"/>
      <w:r w:rsidRPr="0079515C">
        <w:rPr>
          <w:spacing w:val="-4"/>
          <w:lang w:val="en-US"/>
        </w:rPr>
        <w:t xml:space="preserve">12.3; </w:t>
      </w:r>
      <w:r w:rsidRPr="0079515C">
        <w:rPr>
          <w:i/>
          <w:spacing w:val="-4"/>
          <w:lang w:val="en-US"/>
        </w:rPr>
        <w:t>Case of</w:t>
      </w:r>
      <w:r w:rsidRPr="0079515C">
        <w:rPr>
          <w:spacing w:val="-4"/>
          <w:lang w:val="en-US"/>
        </w:rPr>
        <w:t xml:space="preserve"> </w:t>
      </w:r>
      <w:proofErr w:type="spellStart"/>
      <w:r w:rsidRPr="0079515C">
        <w:rPr>
          <w:i/>
          <w:spacing w:val="-4"/>
          <w:lang w:val="en-US"/>
        </w:rPr>
        <w:t>Ke</w:t>
      </w:r>
      <w:proofErr w:type="spellEnd"/>
      <w:r w:rsidRPr="0079515C">
        <w:rPr>
          <w:i/>
          <w:spacing w:val="-4"/>
          <w:lang w:val="en-US"/>
        </w:rPr>
        <w:t xml:space="preserve"> Chung </w:t>
      </w:r>
      <w:proofErr w:type="spellStart"/>
      <w:r w:rsidRPr="0079515C">
        <w:rPr>
          <w:i/>
          <w:spacing w:val="-4"/>
          <w:lang w:val="en-US"/>
        </w:rPr>
        <w:t>Rong</w:t>
      </w:r>
      <w:proofErr w:type="spellEnd"/>
      <w:r w:rsidRPr="0079515C">
        <w:rPr>
          <w:i/>
          <w:spacing w:val="-4"/>
          <w:lang w:val="en-US"/>
        </w:rPr>
        <w:t xml:space="preserve"> v. Australia,</w:t>
      </w:r>
      <w:r w:rsidRPr="0079515C">
        <w:rPr>
          <w:spacing w:val="-4"/>
          <w:lang w:val="en-US"/>
        </w:rPr>
        <w:t xml:space="preserve"> Communication No.416/2010, CAT/C/49/D/416/2010, November 5, 2013, para.</w:t>
      </w:r>
      <w:proofErr w:type="gramEnd"/>
      <w:r w:rsidRPr="0079515C">
        <w:rPr>
          <w:spacing w:val="-4"/>
          <w:lang w:val="en-US"/>
        </w:rPr>
        <w:t xml:space="preserve"> 7.5.</w:t>
      </w:r>
    </w:p>
  </w:footnote>
  <w:footnote w:id="199">
    <w:p w14:paraId="3E14E398" w14:textId="0FFA5AF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Official translation of the Criminal Code of the People’s Republic of China (evidence file, folio 1628).</w:t>
      </w:r>
      <w:proofErr w:type="gramEnd"/>
    </w:p>
  </w:footnote>
  <w:footnote w:id="200">
    <w:p w14:paraId="426C1510" w14:textId="614E5F1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Official translation of the Criminal Code of the People’s Republic of China (evidence file, folio 1627).</w:t>
      </w:r>
      <w:proofErr w:type="gramEnd"/>
    </w:p>
  </w:footnote>
  <w:footnote w:id="201">
    <w:p w14:paraId="4770CE4B" w14:textId="446B5BFF" w:rsidR="002306C1" w:rsidRPr="0079515C" w:rsidRDefault="002306C1" w:rsidP="00853044">
      <w:pPr>
        <w:pStyle w:val="FootnoteText"/>
        <w:tabs>
          <w:tab w:val="clear" w:pos="567"/>
          <w:tab w:val="left" w:pos="426"/>
        </w:tabs>
        <w:spacing w:before="120" w:after="120"/>
        <w:rPr>
          <w:rFonts w:cs="Arial"/>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Statement made by </w:t>
      </w:r>
      <w:proofErr w:type="spellStart"/>
      <w:r w:rsidRPr="0079515C">
        <w:rPr>
          <w:spacing w:val="-4"/>
          <w:lang w:val="en-US"/>
        </w:rPr>
        <w:t>Bingzhi</w:t>
      </w:r>
      <w:proofErr w:type="spellEnd"/>
      <w:r w:rsidRPr="0079515C">
        <w:rPr>
          <w:spacing w:val="-4"/>
          <w:lang w:val="en-US"/>
        </w:rPr>
        <w:t xml:space="preserve"> Zhao during the public hearing held in this case. Similarly, a legal opinion prepared by the Max Planck Institute explains that the first paragraph of article 153 establishes the </w:t>
      </w:r>
      <w:r>
        <w:rPr>
          <w:spacing w:val="-4"/>
          <w:lang w:val="en-US"/>
        </w:rPr>
        <w:t>application</w:t>
      </w:r>
      <w:r w:rsidRPr="0079515C">
        <w:rPr>
          <w:spacing w:val="-4"/>
          <w:lang w:val="en-US"/>
        </w:rPr>
        <w:t xml:space="preserve"> of the death penalty “if the circumstances are especially serious.” This opinion</w:t>
      </w:r>
      <w:r>
        <w:rPr>
          <w:spacing w:val="-4"/>
          <w:lang w:val="en-US"/>
        </w:rPr>
        <w:t xml:space="preserve"> explains that “[a]</w:t>
      </w:r>
      <w:proofErr w:type="spellStart"/>
      <w:r>
        <w:rPr>
          <w:spacing w:val="-4"/>
          <w:lang w:val="en-US"/>
        </w:rPr>
        <w:t>ccording</w:t>
      </w:r>
      <w:proofErr w:type="spellEnd"/>
      <w:r>
        <w:rPr>
          <w:spacing w:val="-4"/>
          <w:lang w:val="en-US"/>
        </w:rPr>
        <w:t xml:space="preserve"> to a</w:t>
      </w:r>
      <w:r w:rsidRPr="0079515C">
        <w:rPr>
          <w:spacing w:val="-4"/>
          <w:lang w:val="en-US"/>
        </w:rPr>
        <w:t xml:space="preserve"> ‘judicial interpretation’ adopted by the People’s Supreme Court in 2008, ‘especially serious circumstances’ include the fact that the amount of the payable duty evaded or avoided is more than 2.5 million </w:t>
      </w:r>
      <w:proofErr w:type="spellStart"/>
      <w:r w:rsidRPr="0079515C">
        <w:rPr>
          <w:spacing w:val="-4"/>
          <w:lang w:val="en-US"/>
        </w:rPr>
        <w:t>yuans</w:t>
      </w:r>
      <w:proofErr w:type="spellEnd"/>
      <w:r w:rsidRPr="0079515C">
        <w:rPr>
          <w:spacing w:val="-4"/>
          <w:lang w:val="en-US"/>
        </w:rPr>
        <w:t xml:space="preserve">.” Opinion of Experts in Chinese Criminal Law with regard to money-laundering, bribery, smuggling and customs duty evasion in the case </w:t>
      </w:r>
      <w:r w:rsidRPr="0079515C">
        <w:rPr>
          <w:rFonts w:cs="Arial"/>
          <w:spacing w:val="-4"/>
          <w:lang w:val="en-US"/>
        </w:rPr>
        <w:t>of Wong Ho Wing (merits file, folio 815 and 816).</w:t>
      </w:r>
    </w:p>
  </w:footnote>
  <w:footnote w:id="202">
    <w:p w14:paraId="4DA6F806" w14:textId="1C3FF134" w:rsidR="002306C1" w:rsidRPr="0079515C" w:rsidRDefault="002306C1" w:rsidP="00853044">
      <w:pPr>
        <w:widowControl w:val="0"/>
        <w:tabs>
          <w:tab w:val="left" w:pos="426"/>
        </w:tabs>
        <w:autoSpaceDE w:val="0"/>
        <w:autoSpaceDN w:val="0"/>
        <w:adjustRightInd w:val="0"/>
        <w:spacing w:before="120" w:after="120"/>
        <w:rPr>
          <w:rFonts w:cs="Arial"/>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According to an opinion of the Max Planck Institute, the eighth amendment</w:t>
      </w:r>
      <w:r w:rsidRPr="0079515C">
        <w:rPr>
          <w:rFonts w:cs="Arial"/>
          <w:spacing w:val="-4"/>
          <w:sz w:val="16"/>
          <w:szCs w:val="16"/>
          <w:lang w:val="en-US"/>
        </w:rPr>
        <w:t xml:space="preserve"> eliminated 13 non-violent </w:t>
      </w:r>
      <w:r>
        <w:rPr>
          <w:rFonts w:cs="Arial"/>
          <w:spacing w:val="-4"/>
          <w:sz w:val="16"/>
          <w:szCs w:val="16"/>
          <w:lang w:val="en-US"/>
        </w:rPr>
        <w:t xml:space="preserve">economic </w:t>
      </w:r>
      <w:r w:rsidRPr="0079515C">
        <w:rPr>
          <w:rFonts w:cs="Arial"/>
          <w:spacing w:val="-4"/>
          <w:sz w:val="16"/>
          <w:szCs w:val="16"/>
          <w:lang w:val="en-US"/>
        </w:rPr>
        <w:t>offenses from the list of 68 offenses punishable with the death penalty under the Criminal Code of the People’s Republic of China. However, the death penalty continues to be applicable for sm</w:t>
      </w:r>
      <w:r>
        <w:rPr>
          <w:rFonts w:cs="Arial"/>
          <w:spacing w:val="-4"/>
          <w:sz w:val="16"/>
          <w:szCs w:val="16"/>
          <w:lang w:val="en-US"/>
        </w:rPr>
        <w:t xml:space="preserve">uggling ‘weapons and </w:t>
      </w:r>
      <w:proofErr w:type="spellStart"/>
      <w:r>
        <w:rPr>
          <w:rFonts w:cs="Arial"/>
          <w:spacing w:val="-4"/>
          <w:sz w:val="16"/>
          <w:szCs w:val="16"/>
          <w:lang w:val="en-US"/>
        </w:rPr>
        <w:t>ammunition</w:t>
      </w:r>
      <w:r w:rsidRPr="0079515C">
        <w:rPr>
          <w:rFonts w:cs="Arial"/>
          <w:spacing w:val="-4"/>
          <w:sz w:val="16"/>
          <w:szCs w:val="16"/>
          <w:lang w:val="en-US"/>
        </w:rPr>
        <w:t>”</w:t>
      </w:r>
      <w:r>
        <w:rPr>
          <w:rFonts w:cs="Arial"/>
          <w:spacing w:val="-4"/>
          <w:sz w:val="16"/>
          <w:szCs w:val="16"/>
          <w:lang w:val="en-US"/>
        </w:rPr>
        <w:t>or</w:t>
      </w:r>
      <w:proofErr w:type="spellEnd"/>
      <w:r>
        <w:rPr>
          <w:rFonts w:cs="Arial"/>
          <w:spacing w:val="-4"/>
          <w:sz w:val="16"/>
          <w:szCs w:val="16"/>
          <w:lang w:val="en-US"/>
        </w:rPr>
        <w:t xml:space="preserve"> </w:t>
      </w:r>
      <w:r w:rsidRPr="0079515C">
        <w:rPr>
          <w:rFonts w:cs="Arial"/>
          <w:spacing w:val="-4"/>
          <w:sz w:val="16"/>
          <w:szCs w:val="16"/>
          <w:lang w:val="en-US"/>
        </w:rPr>
        <w:t xml:space="preserve">“nuclear material,” or “counterfeiting currency” in especially serious circumstances. </w:t>
      </w:r>
      <w:r w:rsidRPr="0079515C">
        <w:rPr>
          <w:rFonts w:cs="Arial"/>
          <w:i/>
          <w:spacing w:val="-4"/>
          <w:sz w:val="16"/>
          <w:szCs w:val="16"/>
          <w:lang w:val="en-US"/>
        </w:rPr>
        <w:t>Cf.</w:t>
      </w:r>
      <w:r w:rsidRPr="0079515C">
        <w:rPr>
          <w:rFonts w:cs="Arial"/>
          <w:spacing w:val="-4"/>
          <w:sz w:val="16"/>
          <w:szCs w:val="16"/>
          <w:lang w:val="en-US"/>
        </w:rPr>
        <w:t xml:space="preserve"> Opinion of Experts in Chinese Criminal Law with regard to money-laundering, bribery, smuggling and customs duty evasion in the case of Wong Ho Wing (merits file, folios 813, 815 and 816). </w:t>
      </w:r>
    </w:p>
  </w:footnote>
  <w:footnote w:id="203">
    <w:p w14:paraId="1985E3C9" w14:textId="16F385F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Statement made by </w:t>
      </w:r>
      <w:proofErr w:type="spellStart"/>
      <w:r w:rsidRPr="0079515C">
        <w:rPr>
          <w:spacing w:val="-4"/>
          <w:lang w:val="en-US"/>
        </w:rPr>
        <w:t>Bingzhi</w:t>
      </w:r>
      <w:proofErr w:type="spellEnd"/>
      <w:r w:rsidRPr="0079515C">
        <w:rPr>
          <w:spacing w:val="-4"/>
          <w:lang w:val="en-US"/>
        </w:rPr>
        <w:t xml:space="preserve"> Zhao during the public hearing held in this case, and Report of Experts on Chinese Criminal Law on money-laundering, bribery, smuggling and customs duty evasion in the case </w:t>
      </w:r>
      <w:r w:rsidRPr="0079515C">
        <w:rPr>
          <w:rFonts w:cs="Arial"/>
          <w:spacing w:val="-4"/>
          <w:lang w:val="en-US"/>
        </w:rPr>
        <w:t xml:space="preserve">of Wong Ho Wing (merits file, folios 815 and 816). </w:t>
      </w:r>
    </w:p>
  </w:footnote>
  <w:footnote w:id="204">
    <w:p w14:paraId="4080552F" w14:textId="65A5864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Eighth amendment to the Chinese Criminal Code (evidence file, folio 7555).</w:t>
      </w:r>
      <w:proofErr w:type="gramEnd"/>
      <w:r w:rsidRPr="0079515C">
        <w:rPr>
          <w:spacing w:val="-4"/>
          <w:lang w:val="en-US"/>
        </w:rPr>
        <w:t xml:space="preserve"> Expert witness </w:t>
      </w:r>
      <w:proofErr w:type="spellStart"/>
      <w:r w:rsidRPr="0079515C">
        <w:rPr>
          <w:spacing w:val="-4"/>
          <w:lang w:val="en-US"/>
        </w:rPr>
        <w:t>Bingzhi</w:t>
      </w:r>
      <w:proofErr w:type="spellEnd"/>
      <w:r w:rsidRPr="0079515C">
        <w:rPr>
          <w:spacing w:val="-4"/>
          <w:lang w:val="en-US"/>
        </w:rPr>
        <w:t xml:space="preserve"> Zhao explained that, in the case of Wong Ho Win</w:t>
      </w:r>
      <w:r>
        <w:rPr>
          <w:spacing w:val="-4"/>
          <w:lang w:val="en-US"/>
        </w:rPr>
        <w:t>g</w:t>
      </w:r>
      <w:r w:rsidRPr="0079515C">
        <w:rPr>
          <w:spacing w:val="-4"/>
          <w:lang w:val="en-US"/>
        </w:rPr>
        <w:t>, “</w:t>
      </w:r>
      <w:r>
        <w:rPr>
          <w:spacing w:val="-4"/>
          <w:lang w:val="en-US"/>
        </w:rPr>
        <w:t xml:space="preserve">owing to the amount involved, it falls within the third category of </w:t>
      </w:r>
      <w:r w:rsidRPr="0079515C">
        <w:rPr>
          <w:spacing w:val="-4"/>
          <w:lang w:val="en-US"/>
        </w:rPr>
        <w:t>imprisonment under article 153, which is imprisonment ranging from 10 years to life”; however, “in the trial of his [presumed] accomplices […] they were sentenced to 13 years’ imprisonment, thus […] the court will take into consider</w:t>
      </w:r>
      <w:r>
        <w:rPr>
          <w:spacing w:val="-4"/>
          <w:lang w:val="en-US"/>
        </w:rPr>
        <w:t>ation</w:t>
      </w:r>
      <w:r w:rsidRPr="0079515C">
        <w:rPr>
          <w:spacing w:val="-4"/>
          <w:lang w:val="en-US"/>
        </w:rPr>
        <w:t xml:space="preserve"> the effects on his accomplices for the same offense and the same amount in order to decide his sentence.” Statement made by </w:t>
      </w:r>
      <w:proofErr w:type="spellStart"/>
      <w:r w:rsidRPr="0079515C">
        <w:rPr>
          <w:spacing w:val="-4"/>
          <w:lang w:val="en-US"/>
        </w:rPr>
        <w:t>Bingzhi</w:t>
      </w:r>
      <w:proofErr w:type="spellEnd"/>
      <w:r w:rsidRPr="0079515C">
        <w:rPr>
          <w:spacing w:val="-4"/>
          <w:lang w:val="en-US"/>
        </w:rPr>
        <w:t xml:space="preserve"> Zhao during the public hearing held in this case.</w:t>
      </w:r>
    </w:p>
  </w:footnote>
  <w:footnote w:id="205">
    <w:p w14:paraId="1650CAA3" w14:textId="163CA89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Statement made by </w:t>
      </w:r>
      <w:proofErr w:type="spellStart"/>
      <w:r w:rsidRPr="0079515C">
        <w:rPr>
          <w:spacing w:val="-4"/>
          <w:lang w:val="en-US"/>
        </w:rPr>
        <w:t>Bingzhi</w:t>
      </w:r>
      <w:proofErr w:type="spellEnd"/>
      <w:r w:rsidRPr="0079515C">
        <w:rPr>
          <w:spacing w:val="-4"/>
          <w:lang w:val="en-US"/>
        </w:rPr>
        <w:t xml:space="preserve"> Zhao during the public hearing held in this case. </w:t>
      </w:r>
    </w:p>
  </w:footnote>
  <w:footnote w:id="206">
    <w:p w14:paraId="347A8B88" w14:textId="0E284F8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According to this opinion, “[t]he principle of legality (</w:t>
      </w:r>
      <w:proofErr w:type="spellStart"/>
      <w:r w:rsidRPr="0079515C">
        <w:rPr>
          <w:i/>
          <w:iCs/>
          <w:spacing w:val="-4"/>
          <w:lang w:val="en-US"/>
        </w:rPr>
        <w:t>nullum</w:t>
      </w:r>
      <w:proofErr w:type="spellEnd"/>
      <w:r w:rsidRPr="0079515C">
        <w:rPr>
          <w:i/>
          <w:iCs/>
          <w:spacing w:val="-4"/>
          <w:lang w:val="en-US"/>
        </w:rPr>
        <w:t xml:space="preserve"> </w:t>
      </w:r>
      <w:proofErr w:type="spellStart"/>
      <w:r w:rsidRPr="0079515C">
        <w:rPr>
          <w:i/>
          <w:iCs/>
          <w:spacing w:val="-4"/>
          <w:lang w:val="en-US"/>
        </w:rPr>
        <w:t>crimen</w:t>
      </w:r>
      <w:proofErr w:type="spellEnd"/>
      <w:r w:rsidRPr="0079515C">
        <w:rPr>
          <w:i/>
          <w:iCs/>
          <w:spacing w:val="-4"/>
          <w:lang w:val="en-US"/>
        </w:rPr>
        <w:t xml:space="preserve"> sine </w:t>
      </w:r>
      <w:proofErr w:type="spellStart"/>
      <w:r w:rsidRPr="0079515C">
        <w:rPr>
          <w:i/>
          <w:iCs/>
          <w:spacing w:val="-4"/>
          <w:lang w:val="en-US"/>
        </w:rPr>
        <w:t>lege</w:t>
      </w:r>
      <w:proofErr w:type="spellEnd"/>
      <w:r w:rsidRPr="0079515C">
        <w:rPr>
          <w:i/>
          <w:iCs/>
          <w:spacing w:val="-4"/>
          <w:lang w:val="en-US"/>
        </w:rPr>
        <w:t xml:space="preserve">, </w:t>
      </w:r>
      <w:proofErr w:type="spellStart"/>
      <w:r w:rsidRPr="0079515C">
        <w:rPr>
          <w:i/>
          <w:iCs/>
          <w:spacing w:val="-4"/>
          <w:lang w:val="en-US"/>
        </w:rPr>
        <w:t>nulla</w:t>
      </w:r>
      <w:proofErr w:type="spellEnd"/>
      <w:r w:rsidRPr="0079515C">
        <w:rPr>
          <w:i/>
          <w:iCs/>
          <w:spacing w:val="-4"/>
          <w:lang w:val="en-US"/>
        </w:rPr>
        <w:t xml:space="preserve"> </w:t>
      </w:r>
      <w:proofErr w:type="spellStart"/>
      <w:r w:rsidRPr="0079515C">
        <w:rPr>
          <w:i/>
          <w:iCs/>
          <w:spacing w:val="-4"/>
          <w:lang w:val="en-US"/>
        </w:rPr>
        <w:t>poena</w:t>
      </w:r>
      <w:proofErr w:type="spellEnd"/>
      <w:r w:rsidRPr="0079515C">
        <w:rPr>
          <w:i/>
          <w:iCs/>
          <w:spacing w:val="-4"/>
          <w:lang w:val="en-US"/>
        </w:rPr>
        <w:t xml:space="preserve"> sine </w:t>
      </w:r>
      <w:proofErr w:type="spellStart"/>
      <w:r w:rsidRPr="0079515C">
        <w:rPr>
          <w:i/>
          <w:iCs/>
          <w:spacing w:val="-4"/>
          <w:lang w:val="en-US"/>
        </w:rPr>
        <w:t>lege</w:t>
      </w:r>
      <w:proofErr w:type="spellEnd"/>
      <w:r w:rsidRPr="0079515C">
        <w:rPr>
          <w:spacing w:val="-4"/>
          <w:lang w:val="en-US"/>
        </w:rPr>
        <w:t>) is recognized in Chinese criminal law: according to article 1</w:t>
      </w:r>
      <w:r>
        <w:rPr>
          <w:spacing w:val="-4"/>
          <w:lang w:val="en-US"/>
        </w:rPr>
        <w:t>2(1) of the Criminal Code, […] t</w:t>
      </w:r>
      <w:r w:rsidRPr="0079515C">
        <w:rPr>
          <w:spacing w:val="-4"/>
          <w:lang w:val="en-US"/>
        </w:rPr>
        <w:t xml:space="preserve">he retroactive application of a new criminal provision is prohibited by article 12(1), unless the punishment contained in the new provision is more favorable (the </w:t>
      </w:r>
      <w:proofErr w:type="spellStart"/>
      <w:r w:rsidRPr="0099630C">
        <w:rPr>
          <w:i/>
          <w:spacing w:val="-4"/>
          <w:lang w:val="en-US"/>
        </w:rPr>
        <w:t>lex</w:t>
      </w:r>
      <w:proofErr w:type="spellEnd"/>
      <w:r w:rsidRPr="0099630C">
        <w:rPr>
          <w:i/>
          <w:spacing w:val="-4"/>
          <w:lang w:val="en-US"/>
        </w:rPr>
        <w:t xml:space="preserve"> </w:t>
      </w:r>
      <w:proofErr w:type="spellStart"/>
      <w:r w:rsidRPr="0099630C">
        <w:rPr>
          <w:i/>
          <w:spacing w:val="-4"/>
          <w:lang w:val="en-US"/>
        </w:rPr>
        <w:t>mitior</w:t>
      </w:r>
      <w:proofErr w:type="spellEnd"/>
      <w:r w:rsidRPr="0079515C">
        <w:rPr>
          <w:spacing w:val="-4"/>
          <w:lang w:val="en-US"/>
        </w:rPr>
        <w:t xml:space="preserve"> principle). In other words, if the new provision is more favorable, its application is compulsory.” It also explained that, currently, “under Chinese criminal law, the death penalty is not applicable to the case of Wong Ho Wing for [any of the offenses for which his extradition is being requested].” </w:t>
      </w:r>
      <w:r w:rsidRPr="0079515C">
        <w:rPr>
          <w:rFonts w:cs="Arial"/>
          <w:spacing w:val="-4"/>
          <w:lang w:val="en-US"/>
        </w:rPr>
        <w:t xml:space="preserve">Opinion of Experts in Chinese Criminal Law with regard to money-laundering, bribery, smuggling and customs duty evasion in the case of </w:t>
      </w:r>
      <w:r w:rsidRPr="0079515C">
        <w:rPr>
          <w:spacing w:val="-4"/>
          <w:lang w:val="en-US"/>
        </w:rPr>
        <w:t xml:space="preserve">Wong Ho Wing (merits file, folio 820). </w:t>
      </w:r>
    </w:p>
  </w:footnote>
  <w:footnote w:id="207">
    <w:p w14:paraId="5C47C2B6" w14:textId="3D10D26B" w:rsidR="002306C1" w:rsidRPr="0079515C" w:rsidRDefault="002306C1" w:rsidP="00853044">
      <w:pPr>
        <w:pStyle w:val="FootnoteText"/>
        <w:tabs>
          <w:tab w:val="clear" w:pos="567"/>
          <w:tab w:val="left" w:pos="426"/>
        </w:tabs>
        <w:spacing w:before="120" w:after="120"/>
        <w:rPr>
          <w:rFonts w:cs="Helvetica"/>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rFonts w:cs="Helvetica"/>
          <w:bCs w:val="0"/>
          <w:spacing w:val="-4"/>
          <w:lang w:val="en-US"/>
        </w:rPr>
        <w:t>The said article 12 stipulates that: “For those acts committed after the founding</w:t>
      </w:r>
      <w:r w:rsidRPr="0079515C">
        <w:rPr>
          <w:rFonts w:cs="Helvetica"/>
          <w:spacing w:val="-4"/>
          <w:lang w:val="en-US"/>
        </w:rPr>
        <w:t xml:space="preserve"> of the People’s Republic of China and before the application of this Code, the laws in force at that date shall be applied if the laws at that date did not define such acts as offenses; if those laws defined such acts as offenses and </w:t>
      </w:r>
      <w:r>
        <w:rPr>
          <w:rFonts w:cs="Helvetica"/>
          <w:spacing w:val="-4"/>
          <w:lang w:val="en-US"/>
        </w:rPr>
        <w:t>there are reasons to continue the</w:t>
      </w:r>
      <w:r w:rsidRPr="0079515C">
        <w:rPr>
          <w:rFonts w:cs="Helvetica"/>
          <w:spacing w:val="-4"/>
          <w:lang w:val="en-US"/>
        </w:rPr>
        <w:t xml:space="preserve"> proceedings as stipulated in the eight se</w:t>
      </w:r>
      <w:r>
        <w:rPr>
          <w:rFonts w:cs="Helvetica"/>
          <w:spacing w:val="-4"/>
          <w:lang w:val="en-US"/>
        </w:rPr>
        <w:t>ction</w:t>
      </w:r>
      <w:r w:rsidRPr="0079515C">
        <w:rPr>
          <w:rFonts w:cs="Helvetica"/>
          <w:spacing w:val="-4"/>
          <w:lang w:val="en-US"/>
        </w:rPr>
        <w:t xml:space="preserve"> of Chapter IV (General Aspects) of this Code, the laws in force at that time shall be applied; howeve</w:t>
      </w:r>
      <w:r>
        <w:rPr>
          <w:rFonts w:cs="Helvetica"/>
          <w:spacing w:val="-4"/>
          <w:lang w:val="en-US"/>
        </w:rPr>
        <w:t>r, if this Code does not define</w:t>
      </w:r>
      <w:r w:rsidRPr="0079515C">
        <w:rPr>
          <w:rFonts w:cs="Helvetica"/>
          <w:spacing w:val="-4"/>
          <w:lang w:val="en-US"/>
        </w:rPr>
        <w:t xml:space="preserve"> such acts as offenses or defines them as acts that would involve a light punishment, this Code shall be applied. Sentences that have been </w:t>
      </w:r>
      <w:r>
        <w:rPr>
          <w:rFonts w:cs="Helvetica"/>
          <w:spacing w:val="-4"/>
          <w:lang w:val="en-US"/>
        </w:rPr>
        <w:t>handed down</w:t>
      </w:r>
      <w:r w:rsidRPr="0079515C">
        <w:rPr>
          <w:rFonts w:cs="Helvetica"/>
          <w:spacing w:val="-4"/>
          <w:lang w:val="en-US"/>
        </w:rPr>
        <w:t xml:space="preserve"> continue in </w:t>
      </w:r>
      <w:r>
        <w:rPr>
          <w:rFonts w:cs="Helvetica"/>
          <w:spacing w:val="-4"/>
          <w:lang w:val="en-US"/>
        </w:rPr>
        <w:t>effect</w:t>
      </w:r>
      <w:r w:rsidRPr="0079515C">
        <w:rPr>
          <w:rFonts w:cs="Helvetica"/>
          <w:spacing w:val="-4"/>
          <w:lang w:val="en-US"/>
        </w:rPr>
        <w:t xml:space="preserve"> according to the</w:t>
      </w:r>
      <w:r>
        <w:rPr>
          <w:rFonts w:cs="Helvetica"/>
          <w:spacing w:val="-4"/>
          <w:lang w:val="en-US"/>
        </w:rPr>
        <w:t xml:space="preserve"> laws in force on the date they </w:t>
      </w:r>
      <w:r w:rsidRPr="0079515C">
        <w:rPr>
          <w:rFonts w:cs="Helvetica"/>
          <w:spacing w:val="-4"/>
          <w:lang w:val="en-US"/>
        </w:rPr>
        <w:t xml:space="preserve">were delivered prior to the entry into force of this Code.” </w:t>
      </w:r>
      <w:proofErr w:type="gramStart"/>
      <w:r w:rsidRPr="0079515C">
        <w:rPr>
          <w:spacing w:val="-4"/>
          <w:lang w:val="en-US"/>
        </w:rPr>
        <w:t>Official translation of the Criminal Code of the People’s Republic of China (evidence file, folio 7504).</w:t>
      </w:r>
      <w:proofErr w:type="gramEnd"/>
    </w:p>
  </w:footnote>
  <w:footnote w:id="208">
    <w:p w14:paraId="4805A5F2" w14:textId="710E8D3A" w:rsidR="002306C1" w:rsidRPr="0079515C" w:rsidRDefault="002306C1" w:rsidP="00853044">
      <w:pPr>
        <w:tabs>
          <w:tab w:val="left" w:pos="426"/>
        </w:tabs>
        <w:autoSpaceDE w:val="0"/>
        <w:autoSpaceDN w:val="0"/>
        <w:adjustRightInd w:val="0"/>
        <w:spacing w:before="120" w:after="120"/>
        <w:rPr>
          <w:rFonts w:cs="Arial"/>
          <w:iCs/>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rFonts w:cs="Arial"/>
          <w:spacing w:val="-4"/>
          <w:sz w:val="16"/>
          <w:szCs w:val="16"/>
          <w:lang w:val="en-US"/>
        </w:rPr>
        <w:t xml:space="preserve">Article </w:t>
      </w:r>
      <w:r w:rsidRPr="0079515C">
        <w:rPr>
          <w:rFonts w:cs="Times New Roman"/>
          <w:spacing w:val="-4"/>
          <w:sz w:val="16"/>
          <w:szCs w:val="16"/>
          <w:lang w:val="en-US"/>
        </w:rPr>
        <w:t xml:space="preserve">140 </w:t>
      </w:r>
      <w:r w:rsidRPr="0079515C">
        <w:rPr>
          <w:rFonts w:cs="Arial"/>
          <w:spacing w:val="-4"/>
          <w:sz w:val="16"/>
          <w:szCs w:val="16"/>
          <w:lang w:val="en-US"/>
        </w:rPr>
        <w:t>of the Constitution</w:t>
      </w:r>
      <w:r w:rsidRPr="0079515C">
        <w:rPr>
          <w:rFonts w:cs="Arial"/>
          <w:b/>
          <w:bCs/>
          <w:spacing w:val="-4"/>
          <w:sz w:val="16"/>
          <w:szCs w:val="16"/>
          <w:lang w:val="en-US"/>
        </w:rPr>
        <w:t xml:space="preserve"> </w:t>
      </w:r>
      <w:r w:rsidRPr="0079515C">
        <w:rPr>
          <w:rFonts w:cs="Arial"/>
          <w:spacing w:val="-4"/>
          <w:sz w:val="16"/>
          <w:szCs w:val="16"/>
          <w:lang w:val="en-US"/>
        </w:rPr>
        <w:t xml:space="preserve">establishes that: </w:t>
      </w:r>
      <w:r w:rsidRPr="0079515C">
        <w:rPr>
          <w:rFonts w:cs="Arial"/>
          <w:iCs/>
          <w:spacing w:val="-4"/>
          <w:sz w:val="16"/>
          <w:szCs w:val="16"/>
          <w:lang w:val="en-US"/>
        </w:rPr>
        <w:t>“The death penalty may only be applied for the crime of treason in case of war, and of terrorism pursuant to the laws and treaties to which Peru is a party and by which it is bound.</w:t>
      </w:r>
      <w:r>
        <w:rPr>
          <w:rFonts w:cs="Arial"/>
          <w:iCs/>
          <w:spacing w:val="-4"/>
          <w:sz w:val="16"/>
          <w:szCs w:val="16"/>
          <w:lang w:val="en-US"/>
        </w:rPr>
        <w:t>”</w:t>
      </w:r>
      <w:r w:rsidRPr="0079515C">
        <w:rPr>
          <w:rFonts w:cs="Arial"/>
          <w:iCs/>
          <w:spacing w:val="-4"/>
          <w:sz w:val="16"/>
          <w:szCs w:val="16"/>
          <w:lang w:val="en-US"/>
        </w:rPr>
        <w:t xml:space="preserve"> </w:t>
      </w:r>
      <w:proofErr w:type="gramStart"/>
      <w:r w:rsidRPr="0079515C">
        <w:rPr>
          <w:rFonts w:cs="Arial"/>
          <w:iCs/>
          <w:spacing w:val="-4"/>
          <w:sz w:val="16"/>
          <w:szCs w:val="16"/>
          <w:lang w:val="en-US"/>
        </w:rPr>
        <w:t>1993 Constitution of Peru.</w:t>
      </w:r>
      <w:proofErr w:type="gramEnd"/>
      <w:r w:rsidRPr="0079515C">
        <w:rPr>
          <w:rFonts w:cs="Arial"/>
          <w:iCs/>
          <w:spacing w:val="-4"/>
          <w:sz w:val="16"/>
          <w:szCs w:val="16"/>
          <w:lang w:val="en-US"/>
        </w:rPr>
        <w:t xml:space="preserve"> Available at: </w:t>
      </w:r>
      <w:hyperlink r:id="rId24" w:history="1">
        <w:r w:rsidRPr="0079515C">
          <w:rPr>
            <w:rStyle w:val="Hyperlink"/>
            <w:rFonts w:cs="Arial"/>
            <w:iCs/>
            <w:spacing w:val="-4"/>
            <w:sz w:val="16"/>
            <w:szCs w:val="16"/>
            <w:lang w:val="en-US"/>
          </w:rPr>
          <w:t>www.congreso.gob.pe/ntley/ConstitucionP.htm</w:t>
        </w:r>
      </w:hyperlink>
      <w:r w:rsidRPr="0079515C">
        <w:rPr>
          <w:rFonts w:cs="Arial"/>
          <w:iCs/>
          <w:spacing w:val="-4"/>
          <w:sz w:val="16"/>
          <w:szCs w:val="16"/>
          <w:lang w:val="en-US"/>
        </w:rPr>
        <w:t>.</w:t>
      </w:r>
      <w:r w:rsidRPr="0079515C">
        <w:rPr>
          <w:rFonts w:cs="Arial"/>
          <w:b/>
          <w:iCs/>
          <w:color w:val="00B050"/>
          <w:spacing w:val="-4"/>
          <w:sz w:val="16"/>
          <w:szCs w:val="16"/>
          <w:lang w:val="en-US"/>
        </w:rPr>
        <w:t xml:space="preserve"> </w:t>
      </w:r>
      <w:r w:rsidRPr="0079515C">
        <w:rPr>
          <w:rFonts w:cs="Arial"/>
          <w:iCs/>
          <w:spacing w:val="-4"/>
          <w:sz w:val="16"/>
          <w:szCs w:val="16"/>
          <w:lang w:val="en-US"/>
        </w:rPr>
        <w:t xml:space="preserve">Despite this, the Commission and the representative indicated that such punishments are not applied in practice because the death penalty is not contemplated for the said crimes in the substantive criminal laws in force. </w:t>
      </w:r>
      <w:r w:rsidRPr="0079515C">
        <w:rPr>
          <w:rFonts w:cs="Arial"/>
          <w:i/>
          <w:iCs/>
          <w:spacing w:val="-4"/>
          <w:sz w:val="16"/>
          <w:szCs w:val="16"/>
          <w:lang w:val="en-US"/>
        </w:rPr>
        <w:t>Cf.</w:t>
      </w:r>
      <w:r w:rsidRPr="0079515C">
        <w:rPr>
          <w:rFonts w:cs="Arial"/>
          <w:iCs/>
          <w:spacing w:val="-4"/>
          <w:sz w:val="16"/>
          <w:szCs w:val="16"/>
          <w:lang w:val="en-US"/>
        </w:rPr>
        <w:t xml:space="preserve"> Merits Report of the Commission (merits file, folio </w:t>
      </w:r>
      <w:r w:rsidRPr="0079515C">
        <w:rPr>
          <w:spacing w:val="-4"/>
          <w:sz w:val="16"/>
          <w:szCs w:val="16"/>
          <w:lang w:val="en-US"/>
        </w:rPr>
        <w:t xml:space="preserve">79), </w:t>
      </w:r>
      <w:r>
        <w:rPr>
          <w:spacing w:val="-4"/>
          <w:sz w:val="16"/>
          <w:szCs w:val="16"/>
          <w:lang w:val="en-US"/>
        </w:rPr>
        <w:t>motions</w:t>
      </w:r>
      <w:r w:rsidRPr="0079515C">
        <w:rPr>
          <w:spacing w:val="-4"/>
          <w:sz w:val="16"/>
          <w:szCs w:val="16"/>
          <w:lang w:val="en-US"/>
        </w:rPr>
        <w:t xml:space="preserve"> and arguments</w:t>
      </w:r>
      <w:r>
        <w:rPr>
          <w:spacing w:val="-4"/>
          <w:sz w:val="16"/>
          <w:szCs w:val="16"/>
          <w:lang w:val="en-US"/>
        </w:rPr>
        <w:t xml:space="preserve"> brief</w:t>
      </w:r>
      <w:r w:rsidRPr="0079515C">
        <w:rPr>
          <w:spacing w:val="-4"/>
          <w:sz w:val="16"/>
          <w:szCs w:val="16"/>
          <w:lang w:val="en-US"/>
        </w:rPr>
        <w:t xml:space="preserve"> of the representative (merits file, folio 305). The Permanent Criminal Chamber</w:t>
      </w:r>
      <w:r w:rsidRPr="0079515C">
        <w:rPr>
          <w:rFonts w:cs="Arial"/>
          <w:iCs/>
          <w:spacing w:val="-4"/>
          <w:sz w:val="16"/>
          <w:szCs w:val="16"/>
          <w:lang w:val="en-US"/>
        </w:rPr>
        <w:t xml:space="preserve"> of the Supreme Court of Justice, in its second advisory decision, indicated that “the punitive probability [of the death penalty] is contrary to Peru’s extradition laws, because our domestic laws expressly prohibit the application </w:t>
      </w:r>
      <w:r w:rsidRPr="0079515C">
        <w:rPr>
          <w:rFonts w:cs="Arial"/>
          <w:spacing w:val="-4"/>
          <w:sz w:val="16"/>
          <w:szCs w:val="16"/>
          <w:lang w:val="en-US"/>
        </w:rPr>
        <w:t>of the death penalty. Indeed: (</w:t>
      </w:r>
      <w:proofErr w:type="spellStart"/>
      <w:r w:rsidRPr="0079515C">
        <w:rPr>
          <w:rFonts w:cs="Arial"/>
          <w:spacing w:val="-4"/>
          <w:sz w:val="16"/>
          <w:szCs w:val="16"/>
          <w:lang w:val="en-US"/>
        </w:rPr>
        <w:t>i</w:t>
      </w:r>
      <w:proofErr w:type="spellEnd"/>
      <w:r w:rsidRPr="0079515C">
        <w:rPr>
          <w:rFonts w:cs="Arial"/>
          <w:spacing w:val="-4"/>
          <w:sz w:val="16"/>
          <w:szCs w:val="16"/>
          <w:lang w:val="en-US"/>
        </w:rPr>
        <w:t xml:space="preserve">) article 140 of the Constitution establishes that the death penalty is only applicable to the crimes of treason in case of war, and terrorism; (ii) article 517(3)(d) of the Code of Criminal Procedure indicates that extradition shall be </w:t>
      </w:r>
      <w:r>
        <w:rPr>
          <w:rFonts w:cs="Arial"/>
          <w:spacing w:val="-4"/>
          <w:sz w:val="16"/>
          <w:szCs w:val="16"/>
          <w:lang w:val="en-US"/>
        </w:rPr>
        <w:t>denied</w:t>
      </w:r>
      <w:r w:rsidRPr="0079515C">
        <w:rPr>
          <w:rFonts w:cs="Arial"/>
          <w:spacing w:val="-4"/>
          <w:sz w:val="16"/>
          <w:szCs w:val="16"/>
          <w:lang w:val="en-US"/>
        </w:rPr>
        <w:t xml:space="preserve"> when the offense for which extradition is requested contemplates the death penalty in the requesting State and the latter has not provided </w:t>
      </w:r>
      <w:r>
        <w:rPr>
          <w:rFonts w:cs="Arial"/>
          <w:spacing w:val="-4"/>
          <w:sz w:val="16"/>
          <w:szCs w:val="16"/>
          <w:lang w:val="en-US"/>
        </w:rPr>
        <w:t>assurances</w:t>
      </w:r>
      <w:r w:rsidRPr="0079515C">
        <w:rPr>
          <w:rFonts w:cs="Arial"/>
          <w:spacing w:val="-4"/>
          <w:sz w:val="16"/>
          <w:szCs w:val="16"/>
          <w:lang w:val="en-US"/>
        </w:rPr>
        <w:t xml:space="preserve"> that it will not be applied; (</w:t>
      </w:r>
      <w:r w:rsidRPr="0079515C">
        <w:rPr>
          <w:rFonts w:cs="Arial"/>
          <w:bCs/>
          <w:spacing w:val="-4"/>
          <w:sz w:val="16"/>
          <w:szCs w:val="16"/>
          <w:lang w:val="en-US"/>
        </w:rPr>
        <w:t xml:space="preserve">iii) </w:t>
      </w:r>
      <w:r w:rsidRPr="0079515C">
        <w:rPr>
          <w:rFonts w:cs="Arial"/>
          <w:spacing w:val="-4"/>
          <w:sz w:val="16"/>
          <w:szCs w:val="16"/>
          <w:lang w:val="en-US"/>
        </w:rPr>
        <w:t>article 55 of the Constitution establishes the supremacy and obser</w:t>
      </w:r>
      <w:r>
        <w:rPr>
          <w:rFonts w:cs="Arial"/>
          <w:spacing w:val="-4"/>
          <w:sz w:val="16"/>
          <w:szCs w:val="16"/>
          <w:lang w:val="en-US"/>
        </w:rPr>
        <w:t xml:space="preserve">vance of the provisions of the </w:t>
      </w:r>
      <w:r w:rsidRPr="0079515C">
        <w:rPr>
          <w:rFonts w:cs="Arial"/>
          <w:spacing w:val="-4"/>
          <w:sz w:val="16"/>
          <w:szCs w:val="16"/>
          <w:lang w:val="en-US"/>
        </w:rPr>
        <w:t xml:space="preserve">human rights treaties, such as the American Convention on Human Rights, the Inter-American Convention against Torture, and the International Covenant on Civil and Political Rights and its Second Optional Protocol aiming at the abolition of the death penalty.” </w:t>
      </w:r>
      <w:proofErr w:type="gramStart"/>
      <w:r w:rsidRPr="0079515C">
        <w:rPr>
          <w:rFonts w:cs="Arial"/>
          <w:spacing w:val="-4"/>
          <w:sz w:val="16"/>
          <w:szCs w:val="16"/>
          <w:lang w:val="en-US"/>
        </w:rPr>
        <w:t>Advisory decision of the Permanent Criminal Chamber of January 27, 2010 (evidence file, folio 170).</w:t>
      </w:r>
      <w:proofErr w:type="gramEnd"/>
      <w:r w:rsidRPr="0079515C">
        <w:rPr>
          <w:rFonts w:cs="Arial"/>
          <w:spacing w:val="-4"/>
          <w:sz w:val="16"/>
          <w:szCs w:val="16"/>
          <w:lang w:val="en-US"/>
        </w:rPr>
        <w:t xml:space="preserve"> </w:t>
      </w:r>
    </w:p>
  </w:footnote>
  <w:footnote w:id="209">
    <w:p w14:paraId="17B17DBF" w14:textId="3931E266" w:rsidR="002306C1" w:rsidRPr="0079515C" w:rsidRDefault="002306C1" w:rsidP="00127339">
      <w:pPr>
        <w:widowControl w:val="0"/>
        <w:tabs>
          <w:tab w:val="left" w:pos="426"/>
          <w:tab w:val="left" w:pos="1980"/>
        </w:tabs>
        <w:autoSpaceDE w:val="0"/>
        <w:autoSpaceDN w:val="0"/>
        <w:adjustRightInd w:val="0"/>
        <w:spacing w:before="120" w:after="120"/>
        <w:rPr>
          <w:rFonts w:cs="Arial"/>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Expert witness </w:t>
      </w:r>
      <w:proofErr w:type="spellStart"/>
      <w:r w:rsidRPr="0079515C">
        <w:rPr>
          <w:spacing w:val="-4"/>
          <w:sz w:val="16"/>
          <w:szCs w:val="16"/>
          <w:lang w:val="en-US"/>
        </w:rPr>
        <w:t>Bingzhi</w:t>
      </w:r>
      <w:proofErr w:type="spellEnd"/>
      <w:r w:rsidRPr="0079515C">
        <w:rPr>
          <w:spacing w:val="-4"/>
          <w:sz w:val="16"/>
          <w:szCs w:val="16"/>
          <w:lang w:val="en-US"/>
        </w:rPr>
        <w:t xml:space="preserve"> Zhao emphasized that “</w:t>
      </w:r>
      <w:r w:rsidRPr="0079515C">
        <w:rPr>
          <w:rFonts w:cs="Arial"/>
          <w:spacing w:val="-4"/>
          <w:sz w:val="16"/>
          <w:szCs w:val="16"/>
          <w:lang w:val="en-US"/>
        </w:rPr>
        <w:t>following the eighth amendment of the Criminal Code,</w:t>
      </w:r>
      <w:r>
        <w:rPr>
          <w:rFonts w:cs="Arial"/>
          <w:spacing w:val="-4"/>
          <w:sz w:val="16"/>
          <w:szCs w:val="16"/>
          <w:lang w:val="en-US"/>
        </w:rPr>
        <w:t xml:space="preserve"> even when diplomatic assurances are given that the death penalty will not be imposed, the death penalty would not be imposed </w:t>
      </w:r>
      <w:r w:rsidRPr="0079515C">
        <w:rPr>
          <w:rFonts w:cs="Arial"/>
          <w:spacing w:val="-4"/>
          <w:sz w:val="16"/>
          <w:szCs w:val="16"/>
          <w:lang w:val="en-US"/>
        </w:rPr>
        <w:t>for smuggling ordinary merchandise</w:t>
      </w:r>
      <w:r>
        <w:rPr>
          <w:rFonts w:cs="Arial"/>
          <w:spacing w:val="-4"/>
          <w:sz w:val="16"/>
          <w:szCs w:val="16"/>
          <w:lang w:val="en-US"/>
        </w:rPr>
        <w:t>.”</w:t>
      </w:r>
      <w:r w:rsidRPr="0079515C">
        <w:rPr>
          <w:rFonts w:cs="Arial"/>
          <w:spacing w:val="-4"/>
          <w:sz w:val="16"/>
          <w:szCs w:val="16"/>
          <w:lang w:val="en-US"/>
        </w:rPr>
        <w:t xml:space="preserve"> </w:t>
      </w:r>
      <w:r w:rsidRPr="0079515C">
        <w:rPr>
          <w:spacing w:val="-4"/>
          <w:sz w:val="16"/>
          <w:szCs w:val="16"/>
          <w:lang w:val="en-US"/>
        </w:rPr>
        <w:t xml:space="preserve">Statement made by </w:t>
      </w:r>
      <w:proofErr w:type="spellStart"/>
      <w:r w:rsidRPr="0079515C">
        <w:rPr>
          <w:spacing w:val="-4"/>
          <w:sz w:val="16"/>
          <w:szCs w:val="16"/>
          <w:lang w:val="en-US"/>
        </w:rPr>
        <w:t>Bingzhi</w:t>
      </w:r>
      <w:proofErr w:type="spellEnd"/>
      <w:r w:rsidRPr="0079515C">
        <w:rPr>
          <w:spacing w:val="-4"/>
          <w:sz w:val="16"/>
          <w:szCs w:val="16"/>
          <w:lang w:val="en-US"/>
        </w:rPr>
        <w:t xml:space="preserve"> Zhao during the public hearing held in this case.</w:t>
      </w:r>
    </w:p>
  </w:footnote>
  <w:footnote w:id="210">
    <w:p w14:paraId="0F31C5D5" w14:textId="1AB7EDED" w:rsidR="002306C1" w:rsidRPr="00A7171B" w:rsidRDefault="002306C1" w:rsidP="00853044">
      <w:pPr>
        <w:pStyle w:val="FootnoteText"/>
        <w:tabs>
          <w:tab w:val="clear" w:pos="567"/>
          <w:tab w:val="left" w:pos="426"/>
        </w:tabs>
        <w:spacing w:before="120" w:after="120"/>
        <w:rPr>
          <w:color w:val="0000FF"/>
          <w:spacing w:val="-4"/>
          <w:u w:val="single"/>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i/>
          <w:spacing w:val="-4"/>
          <w:lang w:val="en-US"/>
        </w:rPr>
        <w:tab/>
      </w:r>
      <w:r w:rsidRPr="0079515C">
        <w:rPr>
          <w:rFonts w:cs="Callibri"/>
          <w:spacing w:val="-4"/>
          <w:lang w:val="en-US"/>
        </w:rPr>
        <w:t>In this regard, the case file contains reports of t</w:t>
      </w:r>
      <w:r>
        <w:rPr>
          <w:rFonts w:cs="Callibri"/>
          <w:spacing w:val="-4"/>
          <w:lang w:val="en-US"/>
        </w:rPr>
        <w:t>he Committee against Torture (</w:t>
      </w:r>
      <w:r w:rsidRPr="0079515C">
        <w:rPr>
          <w:rFonts w:cs="Callibri"/>
          <w:spacing w:val="-4"/>
          <w:lang w:val="en-US"/>
        </w:rPr>
        <w:t>2008</w:t>
      </w:r>
      <w:r>
        <w:rPr>
          <w:rFonts w:cs="Callibri"/>
          <w:spacing w:val="-4"/>
          <w:lang w:val="en-US"/>
        </w:rPr>
        <w:t>)</w:t>
      </w:r>
      <w:r w:rsidRPr="0079515C">
        <w:rPr>
          <w:rFonts w:cs="Callibri"/>
          <w:spacing w:val="-4"/>
          <w:lang w:val="en-US"/>
        </w:rPr>
        <w:t>; the Office of the United Nations High C</w:t>
      </w:r>
      <w:r>
        <w:rPr>
          <w:rFonts w:cs="Callibri"/>
          <w:spacing w:val="-4"/>
          <w:lang w:val="en-US"/>
        </w:rPr>
        <w:t>ommissioner for Human Rights (</w:t>
      </w:r>
      <w:r w:rsidRPr="0079515C">
        <w:rPr>
          <w:rFonts w:cs="Callibri"/>
          <w:spacing w:val="-4"/>
          <w:lang w:val="en-US"/>
        </w:rPr>
        <w:t>2009</w:t>
      </w:r>
      <w:r>
        <w:rPr>
          <w:rFonts w:cs="Callibri"/>
          <w:spacing w:val="-4"/>
          <w:lang w:val="en-US"/>
        </w:rPr>
        <w:t>)</w:t>
      </w:r>
      <w:r w:rsidRPr="0079515C">
        <w:rPr>
          <w:rFonts w:cs="Callibri"/>
          <w:spacing w:val="-4"/>
          <w:lang w:val="en-US"/>
        </w:rPr>
        <w:t>; the former United Nations Special Rapporteu</w:t>
      </w:r>
      <w:r>
        <w:rPr>
          <w:rFonts w:cs="Callibri"/>
          <w:spacing w:val="-4"/>
          <w:lang w:val="en-US"/>
        </w:rPr>
        <w:t>r on Torture, Manfred Nowak (</w:t>
      </w:r>
      <w:r w:rsidRPr="0079515C">
        <w:rPr>
          <w:rFonts w:cs="Callibri"/>
          <w:spacing w:val="-4"/>
          <w:lang w:val="en-US"/>
        </w:rPr>
        <w:t>2010</w:t>
      </w:r>
      <w:r>
        <w:rPr>
          <w:rFonts w:cs="Callibri"/>
          <w:spacing w:val="-4"/>
          <w:lang w:val="en-US"/>
        </w:rPr>
        <w:t>)</w:t>
      </w:r>
      <w:r w:rsidRPr="0079515C">
        <w:rPr>
          <w:rFonts w:cs="Callibri"/>
          <w:spacing w:val="-4"/>
          <w:lang w:val="en-US"/>
        </w:rPr>
        <w:t>, and the Periodic Universal Review Working G</w:t>
      </w:r>
      <w:r>
        <w:rPr>
          <w:rFonts w:cs="Callibri"/>
          <w:spacing w:val="-4"/>
          <w:lang w:val="en-US"/>
        </w:rPr>
        <w:t>roup (</w:t>
      </w:r>
      <w:r w:rsidRPr="0079515C">
        <w:rPr>
          <w:spacing w:val="-4"/>
          <w:lang w:val="en-US"/>
        </w:rPr>
        <w:t>2013</w:t>
      </w:r>
      <w:r>
        <w:rPr>
          <w:spacing w:val="-4"/>
          <w:lang w:val="en-US"/>
        </w:rPr>
        <w:t>)</w:t>
      </w:r>
      <w:r w:rsidRPr="0079515C">
        <w:rPr>
          <w:spacing w:val="-4"/>
          <w:lang w:val="en-US"/>
        </w:rPr>
        <w:t xml:space="preserve">. </w:t>
      </w:r>
      <w:r w:rsidRPr="0079515C">
        <w:rPr>
          <w:i/>
          <w:spacing w:val="-4"/>
          <w:lang w:val="en-US"/>
        </w:rPr>
        <w:t xml:space="preserve">Cf. </w:t>
      </w:r>
      <w:r w:rsidRPr="0079515C">
        <w:rPr>
          <w:spacing w:val="-4"/>
          <w:lang w:val="en-US"/>
        </w:rPr>
        <w:t xml:space="preserve">UN, Committee against Torture, Concluding Observations on China, December 12, 2008, CAT/C/CHN/CO/4, paras. </w:t>
      </w:r>
      <w:proofErr w:type="gramStart"/>
      <w:r w:rsidRPr="0079515C">
        <w:rPr>
          <w:spacing w:val="-4"/>
          <w:lang w:val="en-US"/>
        </w:rPr>
        <w:t xml:space="preserve">17 </w:t>
      </w:r>
      <w:r w:rsidRPr="00561394">
        <w:rPr>
          <w:spacing w:val="-4"/>
          <w:lang w:val="en-US"/>
        </w:rPr>
        <w:t>and 34.</w:t>
      </w:r>
      <w:proofErr w:type="gramEnd"/>
      <w:r w:rsidRPr="00561394">
        <w:rPr>
          <w:spacing w:val="-4"/>
          <w:lang w:val="en-US"/>
        </w:rPr>
        <w:t xml:space="preserve"> Available at: </w:t>
      </w:r>
      <w:hyperlink r:id="rId25" w:history="1">
        <w:r w:rsidRPr="0079515C">
          <w:rPr>
            <w:rStyle w:val="Hyperlink"/>
            <w:spacing w:val="-4"/>
            <w:lang w:val="en-US"/>
          </w:rPr>
          <w:t>http://www2.ohchr.org/english/bodies/cat/docs/CAT.C.CHN.CO.4.pdf</w:t>
        </w:r>
      </w:hyperlink>
      <w:r w:rsidRPr="00561394">
        <w:rPr>
          <w:spacing w:val="-4"/>
          <w:lang w:val="en-US"/>
        </w:rPr>
        <w:t xml:space="preserve">; Human Rights Council, </w:t>
      </w:r>
      <w:r w:rsidRPr="00561394">
        <w:rPr>
          <w:lang w:val="en-US"/>
        </w:rPr>
        <w:t>Compilation prepared by the Office of the High Commissioner for Human Rights, in accordance with paragraph 15(b) of the annex to Human Rights Council resolution 5/1</w:t>
      </w:r>
      <w:r w:rsidRPr="00561394">
        <w:rPr>
          <w:spacing w:val="-4"/>
          <w:lang w:val="en-US"/>
        </w:rPr>
        <w:t>.</w:t>
      </w:r>
      <w:r w:rsidRPr="0079515C">
        <w:rPr>
          <w:spacing w:val="-4"/>
          <w:lang w:val="en-US"/>
        </w:rPr>
        <w:t xml:space="preserve"> </w:t>
      </w:r>
      <w:r>
        <w:rPr>
          <w:spacing w:val="-4"/>
          <w:lang w:val="en-US"/>
        </w:rPr>
        <w:t xml:space="preserve">People’s Republic of </w:t>
      </w:r>
      <w:r w:rsidRPr="0079515C">
        <w:rPr>
          <w:spacing w:val="-4"/>
          <w:lang w:val="en-US"/>
        </w:rPr>
        <w:t>China (including Hong Kong and Macao Sp</w:t>
      </w:r>
      <w:r>
        <w:rPr>
          <w:spacing w:val="-4"/>
          <w:lang w:val="en-US"/>
        </w:rPr>
        <w:t xml:space="preserve">ecial Administrative Regions </w:t>
      </w:r>
      <w:r w:rsidRPr="0079515C">
        <w:rPr>
          <w:spacing w:val="-4"/>
          <w:lang w:val="en-US"/>
        </w:rPr>
        <w:t>(</w:t>
      </w:r>
      <w:r>
        <w:rPr>
          <w:spacing w:val="-4"/>
          <w:lang w:val="en-US"/>
        </w:rPr>
        <w:t>HKSAR</w:t>
      </w:r>
      <w:r w:rsidRPr="0079515C">
        <w:rPr>
          <w:spacing w:val="-4"/>
          <w:lang w:val="en-US"/>
        </w:rPr>
        <w:t xml:space="preserve"> and </w:t>
      </w:r>
      <w:r>
        <w:rPr>
          <w:spacing w:val="-4"/>
          <w:lang w:val="en-US"/>
        </w:rPr>
        <w:t>MSAR</w:t>
      </w:r>
      <w:r w:rsidRPr="0079515C">
        <w:rPr>
          <w:spacing w:val="-4"/>
          <w:lang w:val="en-US"/>
        </w:rPr>
        <w:t xml:space="preserve">)), January 6, 2009, A/HRC/WG.6/4/CHN/2, para. 16. Available at: </w:t>
      </w:r>
      <w:hyperlink r:id="rId26" w:history="1">
        <w:r w:rsidRPr="00561394">
          <w:rPr>
            <w:rStyle w:val="Hyperlink"/>
            <w:color w:val="auto"/>
            <w:spacing w:val="-4"/>
            <w:u w:val="none"/>
            <w:lang w:val="en-US"/>
          </w:rPr>
          <w:t>http://lib.ohchr.org/HRBodies/UPR/Documents/Session4/CN/A_HRC_WG6_4_CHN_2_S.pdf</w:t>
        </w:r>
      </w:hyperlink>
      <w:r w:rsidRPr="00561394">
        <w:rPr>
          <w:spacing w:val="-4"/>
          <w:lang w:val="en-US"/>
        </w:rPr>
        <w:t xml:space="preserve">; Special Rapporteur on torture and other cruel, inhuman or degrading treatment or punishment. </w:t>
      </w:r>
      <w:proofErr w:type="gramStart"/>
      <w:r w:rsidRPr="00561394">
        <w:rPr>
          <w:spacing w:val="-4"/>
          <w:lang w:val="en-US"/>
        </w:rPr>
        <w:t>Follow-up to the recommendations.</w:t>
      </w:r>
      <w:proofErr w:type="gramEnd"/>
      <w:r w:rsidRPr="00561394">
        <w:rPr>
          <w:spacing w:val="-4"/>
          <w:lang w:val="en-US"/>
        </w:rPr>
        <w:t xml:space="preserve"> China, Febr</w:t>
      </w:r>
      <w:r w:rsidRPr="0079515C">
        <w:rPr>
          <w:spacing w:val="-4"/>
          <w:lang w:val="en-US"/>
        </w:rPr>
        <w:t xml:space="preserve">uary 26, 2010, A/HRC/13/39/Add.6, p. 45, Available at: </w:t>
      </w:r>
      <w:hyperlink r:id="rId27" w:history="1">
        <w:r w:rsidRPr="0079515C">
          <w:rPr>
            <w:rStyle w:val="Hyperlink"/>
            <w:spacing w:val="-4"/>
            <w:lang w:val="en-US"/>
          </w:rPr>
          <w:t>http://www2.ohchr.org/english/bodies/hrcouncil/docs/13session/ A.HRC.13.39.Add%206_EFS.pdf</w:t>
        </w:r>
      </w:hyperlink>
      <w:r w:rsidRPr="0079515C">
        <w:rPr>
          <w:spacing w:val="-4"/>
          <w:lang w:val="en-US"/>
        </w:rPr>
        <w:t xml:space="preserve">, and Human Rights Council, Report of the </w:t>
      </w:r>
      <w:r w:rsidRPr="0079515C">
        <w:rPr>
          <w:rFonts w:cs="Callibri"/>
          <w:spacing w:val="-4"/>
          <w:lang w:val="en-US"/>
        </w:rPr>
        <w:t>Periodic Universal Review Working Group</w:t>
      </w:r>
      <w:r w:rsidRPr="0079515C">
        <w:rPr>
          <w:spacing w:val="-4"/>
          <w:lang w:val="en-US"/>
        </w:rPr>
        <w:t xml:space="preserve">. </w:t>
      </w:r>
      <w:proofErr w:type="gramStart"/>
      <w:r w:rsidRPr="0079515C">
        <w:rPr>
          <w:spacing w:val="-4"/>
          <w:lang w:val="en-US"/>
        </w:rPr>
        <w:t>China (including Hong Kong (China) and Macao (China)), December 4, 2013, A/HRC/25/5, p. 22.</w:t>
      </w:r>
      <w:proofErr w:type="gramEnd"/>
      <w:r w:rsidRPr="0079515C">
        <w:rPr>
          <w:spacing w:val="-4"/>
          <w:lang w:val="en-US"/>
        </w:rPr>
        <w:t xml:space="preserve"> Available at: </w:t>
      </w:r>
      <w:hyperlink r:id="rId28" w:history="1">
        <w:r w:rsidRPr="0079515C">
          <w:rPr>
            <w:rStyle w:val="Hyperlink"/>
            <w:color w:val="auto"/>
            <w:spacing w:val="-4"/>
            <w:u w:val="none"/>
            <w:lang w:val="en-US"/>
          </w:rPr>
          <w:t>http://daccess-dds-ny.un.org/doc/UNDOC/GEN/G13/188/58/PDF/G1318858.pdf?OpenElement</w:t>
        </w:r>
      </w:hyperlink>
      <w:r w:rsidRPr="0079515C">
        <w:rPr>
          <w:spacing w:val="-4"/>
          <w:lang w:val="en-US"/>
        </w:rPr>
        <w:t xml:space="preserve">.  </w:t>
      </w:r>
    </w:p>
  </w:footnote>
  <w:footnote w:id="211">
    <w:p w14:paraId="449E6203" w14:textId="63C3CDC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In answer to the conclusions and recommendations of the Committee against Torture, the People’s Republic of China </w:t>
      </w:r>
      <w:r>
        <w:rPr>
          <w:spacing w:val="-4"/>
          <w:lang w:val="en-US"/>
        </w:rPr>
        <w:t>indicated that the statistics for</w:t>
      </w:r>
      <w:r w:rsidRPr="0079515C">
        <w:rPr>
          <w:spacing w:val="-4"/>
          <w:lang w:val="en-US"/>
        </w:rPr>
        <w:t xml:space="preserve"> cases </w:t>
      </w:r>
      <w:r w:rsidRPr="001B16AA">
        <w:rPr>
          <w:spacing w:val="-4"/>
          <w:lang w:val="en-US"/>
        </w:rPr>
        <w:t xml:space="preserve">involving the death penalty were consolidated with those involving life imprisonment and imprisonment for more than five years. </w:t>
      </w:r>
      <w:proofErr w:type="gramStart"/>
      <w:r w:rsidRPr="001B16AA">
        <w:rPr>
          <w:i/>
          <w:spacing w:val="-4"/>
          <w:lang w:val="en-US"/>
        </w:rPr>
        <w:t xml:space="preserve">Cf. </w:t>
      </w:r>
      <w:r w:rsidRPr="001B16AA">
        <w:rPr>
          <w:spacing w:val="-4"/>
          <w:lang w:val="en-US"/>
        </w:rPr>
        <w:t>Committee against Torture, Comments by the Government of the People’s Republic of China concerning the conclusions and recommendations of the Committee against Torture</w:t>
      </w:r>
      <w:r w:rsidRPr="0079515C">
        <w:rPr>
          <w:spacing w:val="-4"/>
          <w:lang w:val="en-US"/>
        </w:rPr>
        <w:t>, December 18, 2009, CAT/C/CHN/CO/4/Add.2, p. 20.</w:t>
      </w:r>
      <w:proofErr w:type="gramEnd"/>
      <w:r w:rsidRPr="0079515C">
        <w:rPr>
          <w:spacing w:val="-4"/>
          <w:lang w:val="en-US"/>
        </w:rPr>
        <w:t xml:space="preserve"> Available at: </w:t>
      </w:r>
      <w:hyperlink r:id="rId29" w:history="1">
        <w:r w:rsidRPr="0079515C">
          <w:rPr>
            <w:rStyle w:val="Hyperlink"/>
            <w:spacing w:val="-4"/>
            <w:lang w:val="en-US"/>
          </w:rPr>
          <w:t>http://www2.ohchr.org/english/bodies/cat/docs/followup/CAT.C.CHN.CO.4</w:t>
        </w:r>
      </w:hyperlink>
      <w:r w:rsidRPr="0079515C">
        <w:rPr>
          <w:spacing w:val="-4"/>
          <w:lang w:val="en-US"/>
        </w:rPr>
        <w:t>. Add2.pdf</w:t>
      </w:r>
    </w:p>
  </w:footnote>
  <w:footnote w:id="212">
    <w:p w14:paraId="410B39DA" w14:textId="78E6284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Rights and guarantees of children in the context of migration and/or </w:t>
      </w:r>
      <w:r>
        <w:rPr>
          <w:i/>
          <w:spacing w:val="-4"/>
          <w:lang w:val="en-US"/>
        </w:rPr>
        <w:t xml:space="preserve">in need of </w:t>
      </w:r>
      <w:r w:rsidRPr="0079515C">
        <w:rPr>
          <w:i/>
          <w:spacing w:val="-4"/>
          <w:lang w:val="en-US"/>
        </w:rPr>
        <w:t>international protection, supra</w:t>
      </w:r>
      <w:r w:rsidRPr="0079515C">
        <w:rPr>
          <w:spacing w:val="-4"/>
          <w:lang w:val="en-US"/>
        </w:rPr>
        <w:t>, para. 221.</w:t>
      </w:r>
    </w:p>
  </w:footnote>
  <w:footnote w:id="213">
    <w:p w14:paraId="1E347D34" w14:textId="1E95B79F" w:rsidR="002306C1" w:rsidRPr="0079515C" w:rsidRDefault="002306C1" w:rsidP="00853044">
      <w:pPr>
        <w:pStyle w:val="Heading3"/>
        <w:tabs>
          <w:tab w:val="left" w:pos="426"/>
        </w:tabs>
        <w:spacing w:before="120" w:after="120"/>
        <w:ind w:left="0" w:firstLine="0"/>
        <w:rPr>
          <w:spacing w:val="-4"/>
          <w:sz w:val="16"/>
          <w:szCs w:val="16"/>
          <w:u w:val="none"/>
          <w:lang w:val="en-US"/>
        </w:rPr>
      </w:pPr>
      <w:r w:rsidRPr="0079515C">
        <w:rPr>
          <w:rStyle w:val="FootnoteReference"/>
          <w:spacing w:val="-4"/>
          <w:sz w:val="16"/>
          <w:szCs w:val="16"/>
          <w:u w:val="none"/>
          <w:lang w:val="en-US"/>
        </w:rPr>
        <w:footnoteRef/>
      </w:r>
      <w:r w:rsidRPr="0079515C">
        <w:rPr>
          <w:spacing w:val="-4"/>
          <w:sz w:val="16"/>
          <w:szCs w:val="16"/>
          <w:u w:val="none"/>
          <w:lang w:val="en-US"/>
        </w:rPr>
        <w:t xml:space="preserve"> </w:t>
      </w:r>
      <w:r w:rsidRPr="0079515C">
        <w:rPr>
          <w:spacing w:val="-4"/>
          <w:sz w:val="16"/>
          <w:szCs w:val="16"/>
          <w:u w:val="none"/>
          <w:lang w:val="en-US"/>
        </w:rPr>
        <w:tab/>
      </w:r>
      <w:r w:rsidRPr="0079515C">
        <w:rPr>
          <w:i/>
          <w:spacing w:val="-4"/>
          <w:sz w:val="16"/>
          <w:szCs w:val="16"/>
          <w:u w:val="none"/>
          <w:lang w:val="en-US"/>
        </w:rPr>
        <w:t>Cf.</w:t>
      </w:r>
      <w:r w:rsidRPr="0079515C">
        <w:rPr>
          <w:spacing w:val="-4"/>
          <w:sz w:val="16"/>
          <w:szCs w:val="16"/>
          <w:u w:val="none"/>
          <w:lang w:val="en-US"/>
        </w:rPr>
        <w:t xml:space="preserve"> UN, Human Rights Committee, </w:t>
      </w:r>
      <w:r w:rsidRPr="0079515C">
        <w:rPr>
          <w:i/>
          <w:spacing w:val="-4"/>
          <w:sz w:val="16"/>
          <w:szCs w:val="16"/>
          <w:u w:val="none"/>
          <w:lang w:val="en-US"/>
        </w:rPr>
        <w:t>Case of G.T. v. Australia,</w:t>
      </w:r>
      <w:r w:rsidRPr="0079515C">
        <w:rPr>
          <w:spacing w:val="-4"/>
          <w:sz w:val="16"/>
          <w:szCs w:val="16"/>
          <w:u w:val="none"/>
          <w:lang w:val="en-US"/>
        </w:rPr>
        <w:t xml:space="preserve"> Communication No.706/1996, </w:t>
      </w:r>
      <w:r w:rsidRPr="0079515C">
        <w:rPr>
          <w:rStyle w:val="Strong"/>
          <w:b w:val="0"/>
          <w:bCs w:val="0"/>
          <w:color w:val="000000"/>
          <w:spacing w:val="-4"/>
          <w:sz w:val="16"/>
          <w:szCs w:val="16"/>
          <w:u w:val="none"/>
          <w:lang w:val="en-US"/>
        </w:rPr>
        <w:t>U.N. Doc.</w:t>
      </w:r>
      <w:r w:rsidRPr="0079515C">
        <w:rPr>
          <w:rStyle w:val="apple-converted-space"/>
          <w:color w:val="000000"/>
          <w:spacing w:val="-4"/>
          <w:sz w:val="16"/>
          <w:szCs w:val="16"/>
          <w:u w:val="none"/>
          <w:lang w:val="en-US"/>
        </w:rPr>
        <w:t> </w:t>
      </w:r>
      <w:r w:rsidRPr="0079515C">
        <w:rPr>
          <w:color w:val="000000"/>
          <w:spacing w:val="-4"/>
          <w:sz w:val="16"/>
          <w:szCs w:val="16"/>
          <w:u w:val="none"/>
          <w:lang w:val="en-US"/>
        </w:rPr>
        <w:t>CCPR/C/61/D/706/1996,</w:t>
      </w:r>
      <w:r w:rsidRPr="0079515C">
        <w:rPr>
          <w:rStyle w:val="apple-converted-space"/>
          <w:color w:val="000000"/>
          <w:spacing w:val="-4"/>
          <w:sz w:val="16"/>
          <w:szCs w:val="16"/>
          <w:u w:val="none"/>
          <w:lang w:val="en-US"/>
        </w:rPr>
        <w:t> </w:t>
      </w:r>
      <w:r>
        <w:rPr>
          <w:spacing w:val="-4"/>
          <w:sz w:val="16"/>
          <w:szCs w:val="16"/>
          <w:u w:val="none"/>
          <w:lang w:val="en-US"/>
        </w:rPr>
        <w:t xml:space="preserve">November 4, 1997, </w:t>
      </w:r>
      <w:proofErr w:type="gramStart"/>
      <w:r>
        <w:rPr>
          <w:spacing w:val="-4"/>
          <w:sz w:val="16"/>
          <w:szCs w:val="16"/>
          <w:u w:val="none"/>
          <w:lang w:val="en-US"/>
        </w:rPr>
        <w:t>para</w:t>
      </w:r>
      <w:proofErr w:type="gramEnd"/>
      <w:r>
        <w:rPr>
          <w:spacing w:val="-4"/>
          <w:sz w:val="16"/>
          <w:szCs w:val="16"/>
          <w:u w:val="none"/>
          <w:lang w:val="en-US"/>
        </w:rPr>
        <w:t>. 8.1</w:t>
      </w:r>
      <w:r w:rsidRPr="0079515C">
        <w:rPr>
          <w:spacing w:val="-4"/>
          <w:sz w:val="16"/>
          <w:szCs w:val="16"/>
          <w:u w:val="none"/>
          <w:lang w:val="en-US"/>
        </w:rPr>
        <w:t xml:space="preserve">, and </w:t>
      </w:r>
      <w:r w:rsidRPr="0079515C">
        <w:rPr>
          <w:i/>
          <w:spacing w:val="-4"/>
          <w:sz w:val="16"/>
          <w:szCs w:val="16"/>
          <w:u w:val="none"/>
          <w:lang w:val="en-US"/>
        </w:rPr>
        <w:t>Case of</w:t>
      </w:r>
      <w:r w:rsidRPr="0079515C">
        <w:rPr>
          <w:spacing w:val="-4"/>
          <w:sz w:val="16"/>
          <w:szCs w:val="16"/>
          <w:u w:val="none"/>
          <w:lang w:val="en-US"/>
        </w:rPr>
        <w:t xml:space="preserve"> </w:t>
      </w:r>
      <w:r w:rsidRPr="0079515C">
        <w:rPr>
          <w:i/>
          <w:spacing w:val="-4"/>
          <w:sz w:val="16"/>
          <w:szCs w:val="16"/>
          <w:u w:val="none"/>
          <w:lang w:val="en-US"/>
        </w:rPr>
        <w:t xml:space="preserve">Mahmoud </w:t>
      </w:r>
      <w:proofErr w:type="spellStart"/>
      <w:r w:rsidRPr="0079515C">
        <w:rPr>
          <w:i/>
          <w:spacing w:val="-4"/>
          <w:sz w:val="16"/>
          <w:szCs w:val="16"/>
          <w:u w:val="none"/>
          <w:lang w:val="en-US"/>
        </w:rPr>
        <w:t>Walid</w:t>
      </w:r>
      <w:proofErr w:type="spellEnd"/>
      <w:r w:rsidRPr="0079515C">
        <w:rPr>
          <w:i/>
          <w:spacing w:val="-4"/>
          <w:sz w:val="16"/>
          <w:szCs w:val="16"/>
          <w:u w:val="none"/>
          <w:lang w:val="en-US"/>
        </w:rPr>
        <w:t xml:space="preserve"> </w:t>
      </w:r>
      <w:proofErr w:type="spellStart"/>
      <w:r w:rsidRPr="0079515C">
        <w:rPr>
          <w:i/>
          <w:spacing w:val="-4"/>
          <w:sz w:val="16"/>
          <w:szCs w:val="16"/>
          <w:u w:val="none"/>
          <w:lang w:val="en-US"/>
        </w:rPr>
        <w:t>Nakrash</w:t>
      </w:r>
      <w:proofErr w:type="spellEnd"/>
      <w:r w:rsidRPr="0079515C">
        <w:rPr>
          <w:i/>
          <w:spacing w:val="-4"/>
          <w:sz w:val="16"/>
          <w:szCs w:val="16"/>
          <w:u w:val="none"/>
          <w:lang w:val="en-US"/>
        </w:rPr>
        <w:t xml:space="preserve"> and Liu </w:t>
      </w:r>
      <w:proofErr w:type="spellStart"/>
      <w:r w:rsidRPr="0079515C">
        <w:rPr>
          <w:i/>
          <w:spacing w:val="-4"/>
          <w:sz w:val="16"/>
          <w:szCs w:val="16"/>
          <w:u w:val="none"/>
          <w:lang w:val="en-US"/>
        </w:rPr>
        <w:t>Qifen</w:t>
      </w:r>
      <w:proofErr w:type="spellEnd"/>
      <w:r w:rsidRPr="0079515C">
        <w:rPr>
          <w:i/>
          <w:spacing w:val="-4"/>
          <w:sz w:val="16"/>
          <w:szCs w:val="16"/>
          <w:u w:val="none"/>
          <w:lang w:val="en-US"/>
        </w:rPr>
        <w:t xml:space="preserve"> v. Sweden,</w:t>
      </w:r>
      <w:r w:rsidRPr="0079515C">
        <w:rPr>
          <w:spacing w:val="-4"/>
          <w:sz w:val="16"/>
          <w:szCs w:val="16"/>
          <w:u w:val="none"/>
          <w:lang w:val="en-US"/>
        </w:rPr>
        <w:t xml:space="preserve"> Communication No. 1540/2007, </w:t>
      </w:r>
      <w:r w:rsidRPr="0079515C">
        <w:rPr>
          <w:rStyle w:val="Strong"/>
          <w:b w:val="0"/>
          <w:bCs w:val="0"/>
          <w:spacing w:val="-4"/>
          <w:sz w:val="16"/>
          <w:szCs w:val="16"/>
          <w:u w:val="none"/>
          <w:lang w:val="en-US"/>
        </w:rPr>
        <w:t>U.N. Doc.</w:t>
      </w:r>
      <w:r w:rsidRPr="0079515C">
        <w:rPr>
          <w:spacing w:val="-4"/>
          <w:sz w:val="16"/>
          <w:szCs w:val="16"/>
          <w:u w:val="none"/>
          <w:lang w:val="en-US"/>
        </w:rPr>
        <w:t xml:space="preserve"> </w:t>
      </w:r>
      <w:r w:rsidRPr="0079515C">
        <w:rPr>
          <w:spacing w:val="-4"/>
          <w:sz w:val="16"/>
          <w:szCs w:val="16"/>
          <w:u w:val="none"/>
          <w:shd w:val="clear" w:color="auto" w:fill="FFFFFF"/>
          <w:lang w:val="en-US"/>
        </w:rPr>
        <w:t xml:space="preserve">CCPR/C/94/D/1540/2007, </w:t>
      </w:r>
      <w:r w:rsidRPr="0079515C">
        <w:rPr>
          <w:spacing w:val="-4"/>
          <w:sz w:val="16"/>
          <w:szCs w:val="16"/>
          <w:u w:val="none"/>
          <w:lang w:val="en-US"/>
        </w:rPr>
        <w:t>October 30, 2008, para. 7.3.</w:t>
      </w:r>
    </w:p>
  </w:footnote>
  <w:footnote w:id="214">
    <w:p w14:paraId="5EB3EF28" w14:textId="2EEE47D9"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See, </w:t>
      </w:r>
      <w:r w:rsidRPr="0079515C">
        <w:rPr>
          <w:i/>
          <w:spacing w:val="-4"/>
          <w:lang w:val="en-US"/>
        </w:rPr>
        <w:t>inter alia</w:t>
      </w:r>
      <w:r w:rsidRPr="0079515C">
        <w:rPr>
          <w:spacing w:val="-4"/>
          <w:lang w:val="en-US"/>
        </w:rPr>
        <w:t xml:space="preserve">, UN, Committee against Torture, </w:t>
      </w:r>
      <w:r w:rsidRPr="0079515C">
        <w:rPr>
          <w:i/>
          <w:spacing w:val="-4"/>
          <w:lang w:val="en-US"/>
        </w:rPr>
        <w:t>Case of E</w:t>
      </w:r>
      <w:r>
        <w:rPr>
          <w:i/>
          <w:spacing w:val="-4"/>
          <w:lang w:val="en-US"/>
        </w:rPr>
        <w:t>.</w:t>
      </w:r>
      <w:r w:rsidRPr="0079515C">
        <w:rPr>
          <w:i/>
          <w:spacing w:val="-4"/>
          <w:lang w:val="en-US"/>
        </w:rPr>
        <w:t>A</w:t>
      </w:r>
      <w:r>
        <w:rPr>
          <w:i/>
          <w:spacing w:val="-4"/>
          <w:lang w:val="en-US"/>
        </w:rPr>
        <w:t>.</w:t>
      </w:r>
      <w:r w:rsidRPr="0079515C">
        <w:rPr>
          <w:i/>
          <w:spacing w:val="-4"/>
          <w:lang w:val="en-US"/>
        </w:rPr>
        <w:t xml:space="preserve"> v. Switzerland</w:t>
      </w:r>
      <w:r w:rsidRPr="0079515C">
        <w:rPr>
          <w:spacing w:val="-4"/>
          <w:lang w:val="en-US"/>
        </w:rPr>
        <w:t>, Communication No.</w:t>
      </w:r>
      <w:r>
        <w:rPr>
          <w:spacing w:val="-4"/>
          <w:lang w:val="en-US"/>
        </w:rPr>
        <w:t xml:space="preserve"> </w:t>
      </w:r>
      <w:r w:rsidRPr="0079515C">
        <w:rPr>
          <w:spacing w:val="-4"/>
          <w:lang w:val="en-US"/>
        </w:rPr>
        <w:t>28/1995,</w:t>
      </w:r>
      <w:r w:rsidRPr="0079515C">
        <w:rPr>
          <w:rStyle w:val="Strong"/>
          <w:b w:val="0"/>
          <w:bCs/>
          <w:color w:val="000000"/>
          <w:spacing w:val="-4"/>
          <w:lang w:val="en-US"/>
        </w:rPr>
        <w:t xml:space="preserve"> U.N. Doc.</w:t>
      </w:r>
      <w:r w:rsidRPr="0079515C">
        <w:rPr>
          <w:spacing w:val="-4"/>
          <w:lang w:val="en-US"/>
        </w:rPr>
        <w:t xml:space="preserve"> </w:t>
      </w:r>
      <w:r w:rsidRPr="0079515C">
        <w:rPr>
          <w:bCs w:val="0"/>
          <w:color w:val="000000"/>
          <w:spacing w:val="-4"/>
          <w:shd w:val="clear" w:color="auto" w:fill="FFFFFF"/>
          <w:lang w:val="en-US"/>
        </w:rPr>
        <w:t>CAT/C/19/D/28/1995</w:t>
      </w:r>
      <w:r w:rsidRPr="0079515C">
        <w:rPr>
          <w:spacing w:val="-4"/>
          <w:lang w:val="en-US"/>
        </w:rPr>
        <w:t xml:space="preserve">, November 10, 1997, para. </w:t>
      </w:r>
      <w:proofErr w:type="gramStart"/>
      <w:r w:rsidRPr="0079515C">
        <w:rPr>
          <w:spacing w:val="-4"/>
          <w:lang w:val="en-US"/>
        </w:rPr>
        <w:t xml:space="preserve">11.5; </w:t>
      </w:r>
      <w:r w:rsidRPr="0079515C">
        <w:rPr>
          <w:i/>
          <w:spacing w:val="-4"/>
          <w:lang w:val="en-US"/>
        </w:rPr>
        <w:t>Case of U</w:t>
      </w:r>
      <w:r>
        <w:rPr>
          <w:i/>
          <w:spacing w:val="-4"/>
          <w:lang w:val="en-US"/>
        </w:rPr>
        <w:t>.</w:t>
      </w:r>
      <w:r w:rsidRPr="0079515C">
        <w:rPr>
          <w:i/>
          <w:spacing w:val="-4"/>
          <w:lang w:val="en-US"/>
        </w:rPr>
        <w:t>S</w:t>
      </w:r>
      <w:r>
        <w:rPr>
          <w:i/>
          <w:spacing w:val="-4"/>
          <w:lang w:val="en-US"/>
        </w:rPr>
        <w:t>.</w:t>
      </w:r>
      <w:r w:rsidRPr="0079515C">
        <w:rPr>
          <w:i/>
          <w:spacing w:val="-4"/>
          <w:lang w:val="en-US"/>
        </w:rPr>
        <w:t xml:space="preserve"> v. Finland</w:t>
      </w:r>
      <w:r w:rsidRPr="0079515C">
        <w:rPr>
          <w:spacing w:val="-4"/>
          <w:lang w:val="en-US"/>
        </w:rPr>
        <w:t>, Communication No.</w:t>
      </w:r>
      <w:r>
        <w:rPr>
          <w:spacing w:val="-4"/>
          <w:lang w:val="en-US"/>
        </w:rPr>
        <w:t xml:space="preserve"> </w:t>
      </w:r>
      <w:r w:rsidRPr="0079515C">
        <w:rPr>
          <w:spacing w:val="-4"/>
          <w:lang w:val="en-US"/>
        </w:rPr>
        <w:t xml:space="preserve">197/2002, </w:t>
      </w:r>
      <w:r w:rsidRPr="0079515C">
        <w:rPr>
          <w:rStyle w:val="Strong"/>
          <w:b w:val="0"/>
          <w:color w:val="000000"/>
          <w:spacing w:val="-4"/>
          <w:shd w:val="clear" w:color="auto" w:fill="FFFFFF"/>
          <w:lang w:val="en-US"/>
        </w:rPr>
        <w:t>U.N. Doc. CAT/C/30/D/197/2002</w:t>
      </w:r>
      <w:r w:rsidRPr="0079515C">
        <w:rPr>
          <w:rStyle w:val="apple-converted-space"/>
          <w:bCs w:val="0"/>
          <w:color w:val="000000"/>
          <w:spacing w:val="-4"/>
          <w:shd w:val="clear" w:color="auto" w:fill="FFFFFF"/>
          <w:lang w:val="en-US"/>
        </w:rPr>
        <w:t>,</w:t>
      </w:r>
      <w:r w:rsidRPr="0079515C">
        <w:rPr>
          <w:rStyle w:val="apple-converted-space"/>
          <w:b/>
          <w:bCs w:val="0"/>
          <w:color w:val="000000"/>
          <w:spacing w:val="-4"/>
          <w:shd w:val="clear" w:color="auto" w:fill="FFFFFF"/>
          <w:lang w:val="en-US"/>
        </w:rPr>
        <w:t xml:space="preserve"> </w:t>
      </w:r>
      <w:r w:rsidRPr="0079515C">
        <w:rPr>
          <w:spacing w:val="-4"/>
          <w:lang w:val="en-US"/>
        </w:rPr>
        <w:t>May 1, 2003, para.</w:t>
      </w:r>
      <w:proofErr w:type="gramEnd"/>
      <w:r w:rsidRPr="0079515C">
        <w:rPr>
          <w:spacing w:val="-4"/>
          <w:lang w:val="en-US"/>
        </w:rPr>
        <w:t xml:space="preserve"> </w:t>
      </w:r>
      <w:proofErr w:type="gramStart"/>
      <w:r w:rsidRPr="0079515C">
        <w:rPr>
          <w:spacing w:val="-4"/>
          <w:lang w:val="en-US"/>
        </w:rPr>
        <w:t xml:space="preserve">7.8; </w:t>
      </w:r>
      <w:r w:rsidRPr="0079515C">
        <w:rPr>
          <w:i/>
          <w:spacing w:val="-4"/>
          <w:lang w:val="en-US"/>
        </w:rPr>
        <w:t xml:space="preserve">Case of </w:t>
      </w:r>
      <w:proofErr w:type="spellStart"/>
      <w:r w:rsidRPr="0079515C">
        <w:rPr>
          <w:i/>
          <w:spacing w:val="-4"/>
          <w:lang w:val="en-US"/>
        </w:rPr>
        <w:t>Zare</w:t>
      </w:r>
      <w:proofErr w:type="spellEnd"/>
      <w:r w:rsidRPr="0079515C">
        <w:rPr>
          <w:i/>
          <w:spacing w:val="-4"/>
          <w:lang w:val="en-US"/>
        </w:rPr>
        <w:t xml:space="preserve"> v. Sweden</w:t>
      </w:r>
      <w:r w:rsidRPr="0079515C">
        <w:rPr>
          <w:spacing w:val="-4"/>
          <w:lang w:val="en-US"/>
        </w:rPr>
        <w:t>, Communication No.</w:t>
      </w:r>
      <w:r>
        <w:rPr>
          <w:spacing w:val="-4"/>
          <w:lang w:val="en-US"/>
        </w:rPr>
        <w:t xml:space="preserve"> </w:t>
      </w:r>
      <w:r w:rsidRPr="0079515C">
        <w:rPr>
          <w:spacing w:val="-4"/>
          <w:lang w:val="en-US"/>
        </w:rPr>
        <w:t>256/2004,</w:t>
      </w:r>
      <w:r w:rsidRPr="0079515C">
        <w:rPr>
          <w:b/>
          <w:spacing w:val="-4"/>
          <w:lang w:val="en-US"/>
        </w:rPr>
        <w:t xml:space="preserve"> </w:t>
      </w:r>
      <w:r w:rsidRPr="0079515C">
        <w:rPr>
          <w:rStyle w:val="Strong"/>
          <w:b w:val="0"/>
          <w:color w:val="000000"/>
          <w:spacing w:val="-4"/>
          <w:shd w:val="clear" w:color="auto" w:fill="FFFFFF"/>
          <w:lang w:val="en-US"/>
        </w:rPr>
        <w:t>U.N. Doc. CAT/C/36/D/256/2004,</w:t>
      </w:r>
      <w:r w:rsidRPr="0079515C">
        <w:rPr>
          <w:spacing w:val="-4"/>
          <w:lang w:val="en-US"/>
        </w:rPr>
        <w:t xml:space="preserve"> May 12, 2006, para.</w:t>
      </w:r>
      <w:proofErr w:type="gramEnd"/>
      <w:r w:rsidRPr="0079515C">
        <w:rPr>
          <w:spacing w:val="-4"/>
          <w:lang w:val="en-US"/>
        </w:rPr>
        <w:t xml:space="preserve"> 9.3; </w:t>
      </w:r>
      <w:r w:rsidRPr="0079515C">
        <w:rPr>
          <w:i/>
          <w:spacing w:val="-4"/>
          <w:lang w:val="en-US"/>
        </w:rPr>
        <w:t>Case of</w:t>
      </w:r>
      <w:r w:rsidRPr="0079515C">
        <w:rPr>
          <w:spacing w:val="-4"/>
          <w:lang w:val="en-US"/>
        </w:rPr>
        <w:t xml:space="preserve"> </w:t>
      </w:r>
      <w:proofErr w:type="spellStart"/>
      <w:r w:rsidRPr="0079515C">
        <w:rPr>
          <w:i/>
          <w:spacing w:val="-4"/>
          <w:lang w:val="en-US"/>
        </w:rPr>
        <w:t>Ke</w:t>
      </w:r>
      <w:proofErr w:type="spellEnd"/>
      <w:r w:rsidRPr="0079515C">
        <w:rPr>
          <w:i/>
          <w:spacing w:val="-4"/>
          <w:lang w:val="en-US"/>
        </w:rPr>
        <w:t xml:space="preserve"> Chun </w:t>
      </w:r>
      <w:proofErr w:type="spellStart"/>
      <w:r w:rsidRPr="0079515C">
        <w:rPr>
          <w:i/>
          <w:spacing w:val="-4"/>
          <w:lang w:val="en-US"/>
        </w:rPr>
        <w:t>Rong</w:t>
      </w:r>
      <w:proofErr w:type="spellEnd"/>
      <w:r w:rsidRPr="0079515C">
        <w:rPr>
          <w:i/>
          <w:spacing w:val="-4"/>
          <w:lang w:val="en-US"/>
        </w:rPr>
        <w:t xml:space="preserve"> v. Australia,</w:t>
      </w:r>
      <w:r w:rsidRPr="0079515C">
        <w:rPr>
          <w:spacing w:val="-4"/>
          <w:lang w:val="en-US"/>
        </w:rPr>
        <w:t xml:space="preserve"> Communication No. 416/2010, </w:t>
      </w:r>
      <w:r w:rsidRPr="0079515C">
        <w:rPr>
          <w:rStyle w:val="Strong"/>
          <w:b w:val="0"/>
          <w:color w:val="000000"/>
          <w:spacing w:val="-4"/>
          <w:shd w:val="clear" w:color="auto" w:fill="FFFFFF"/>
          <w:lang w:val="en-US"/>
        </w:rPr>
        <w:t xml:space="preserve">U.N. Doc. </w:t>
      </w:r>
      <w:r w:rsidRPr="0079515C">
        <w:rPr>
          <w:spacing w:val="-4"/>
          <w:lang w:val="en-US"/>
        </w:rPr>
        <w:t xml:space="preserve">CAT/C/49/D/416/2010, November 5, 2012, para. 7.4, and </w:t>
      </w:r>
      <w:r w:rsidRPr="0079515C">
        <w:rPr>
          <w:i/>
          <w:spacing w:val="-4"/>
          <w:lang w:val="en-US"/>
        </w:rPr>
        <w:t xml:space="preserve">Case of Y.G.H. </w:t>
      </w:r>
      <w:r>
        <w:rPr>
          <w:i/>
          <w:spacing w:val="-4"/>
          <w:lang w:val="en-US"/>
        </w:rPr>
        <w:t>et al.</w:t>
      </w:r>
      <w:r w:rsidRPr="0079515C">
        <w:rPr>
          <w:i/>
          <w:spacing w:val="-4"/>
          <w:lang w:val="en-US"/>
        </w:rPr>
        <w:t xml:space="preserve"> v. Australia,</w:t>
      </w:r>
      <w:r w:rsidRPr="0079515C">
        <w:rPr>
          <w:spacing w:val="-4"/>
          <w:lang w:val="en-US"/>
        </w:rPr>
        <w:t xml:space="preserve"> Communication No.</w:t>
      </w:r>
      <w:r>
        <w:rPr>
          <w:spacing w:val="-4"/>
          <w:lang w:val="en-US"/>
        </w:rPr>
        <w:t xml:space="preserve"> </w:t>
      </w:r>
      <w:r w:rsidRPr="0079515C">
        <w:rPr>
          <w:spacing w:val="-4"/>
          <w:lang w:val="en-US"/>
        </w:rPr>
        <w:t xml:space="preserve">434/2010, </w:t>
      </w:r>
      <w:r w:rsidRPr="0079515C">
        <w:rPr>
          <w:rStyle w:val="Strong"/>
          <w:b w:val="0"/>
          <w:color w:val="000000"/>
          <w:spacing w:val="-4"/>
          <w:shd w:val="clear" w:color="auto" w:fill="FFFFFF"/>
          <w:lang w:val="en-US"/>
        </w:rPr>
        <w:t xml:space="preserve">U.N. Doc. </w:t>
      </w:r>
      <w:r w:rsidRPr="0079515C">
        <w:rPr>
          <w:spacing w:val="-4"/>
          <w:lang w:val="en-US"/>
        </w:rPr>
        <w:t>CAT/C/51/D/434/2010, November 14, 2013, para. 8.3.</w:t>
      </w:r>
      <w:r w:rsidRPr="0079515C">
        <w:rPr>
          <w:i/>
          <w:spacing w:val="-4"/>
          <w:lang w:val="en-US"/>
        </w:rPr>
        <w:t xml:space="preserve"> </w:t>
      </w:r>
      <w:r w:rsidRPr="0079515C">
        <w:rPr>
          <w:spacing w:val="-4"/>
          <w:lang w:val="en-US"/>
        </w:rPr>
        <w:t>See also,</w:t>
      </w:r>
      <w:r w:rsidRPr="0079515C">
        <w:rPr>
          <w:i/>
          <w:spacing w:val="-4"/>
          <w:lang w:val="en-US"/>
        </w:rPr>
        <w:t xml:space="preserve"> </w:t>
      </w:r>
      <w:r w:rsidRPr="0079515C">
        <w:rPr>
          <w:spacing w:val="-4"/>
          <w:lang w:val="en-US"/>
        </w:rPr>
        <w:t>Affidavit made by Ben Saul on August 18, 2014 (evidence file, folio 6960).</w:t>
      </w:r>
    </w:p>
  </w:footnote>
  <w:footnote w:id="215">
    <w:p w14:paraId="37EAC55F" w14:textId="7132540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Case of</w:t>
      </w:r>
      <w:r w:rsidRPr="0079515C">
        <w:rPr>
          <w:spacing w:val="-4"/>
          <w:lang w:val="en-US"/>
        </w:rPr>
        <w:t xml:space="preserve"> </w:t>
      </w:r>
      <w:proofErr w:type="spellStart"/>
      <w:r w:rsidRPr="0079515C">
        <w:rPr>
          <w:rFonts w:cs="Arial"/>
          <w:bCs w:val="0"/>
          <w:i/>
          <w:color w:val="000000"/>
          <w:spacing w:val="-4"/>
          <w:shd w:val="clear" w:color="auto" w:fill="FFFFFF"/>
          <w:lang w:val="en-US"/>
        </w:rPr>
        <w:t>Ryabikin</w:t>
      </w:r>
      <w:proofErr w:type="spellEnd"/>
      <w:r w:rsidRPr="0079515C">
        <w:rPr>
          <w:rFonts w:cs="Arial"/>
          <w:bCs w:val="0"/>
          <w:i/>
          <w:color w:val="000000"/>
          <w:spacing w:val="-4"/>
          <w:shd w:val="clear" w:color="auto" w:fill="FFFFFF"/>
          <w:lang w:val="en-US"/>
        </w:rPr>
        <w:t xml:space="preserve"> v. Russia, </w:t>
      </w:r>
      <w:r w:rsidRPr="0079515C">
        <w:rPr>
          <w:rFonts w:cs="Arial"/>
          <w:bCs w:val="0"/>
          <w:color w:val="000000"/>
          <w:spacing w:val="-4"/>
          <w:shd w:val="clear" w:color="auto" w:fill="FFFFFF"/>
          <w:lang w:val="en-US"/>
        </w:rPr>
        <w:t>No. 8320/04</w:t>
      </w:r>
      <w:r w:rsidRPr="0079515C">
        <w:rPr>
          <w:rFonts w:cs="Arial"/>
          <w:bCs w:val="0"/>
          <w:i/>
          <w:color w:val="000000"/>
          <w:spacing w:val="-4"/>
          <w:shd w:val="clear" w:color="auto" w:fill="FFFFFF"/>
          <w:lang w:val="en-US"/>
        </w:rPr>
        <w:t xml:space="preserve">.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 xml:space="preserve">112, and </w:t>
      </w:r>
      <w:r w:rsidRPr="0079515C">
        <w:rPr>
          <w:i/>
          <w:spacing w:val="-4"/>
          <w:lang w:val="en-US"/>
        </w:rPr>
        <w:t>Case of</w:t>
      </w:r>
      <w:r w:rsidRPr="0079515C">
        <w:rPr>
          <w:spacing w:val="-4"/>
          <w:lang w:val="en-US"/>
        </w:rPr>
        <w:t xml:space="preserve"> </w:t>
      </w:r>
      <w:proofErr w:type="spellStart"/>
      <w:r w:rsidRPr="0079515C">
        <w:rPr>
          <w:rStyle w:val="s6b621b36"/>
          <w:rFonts w:cs="Arial"/>
          <w:i/>
          <w:iCs/>
          <w:color w:val="000000"/>
          <w:spacing w:val="-4"/>
          <w:shd w:val="clear" w:color="auto" w:fill="FFFFFF"/>
          <w:lang w:val="en-US"/>
        </w:rPr>
        <w:t>Vilvarajah</w:t>
      </w:r>
      <w:proofErr w:type="spellEnd"/>
      <w:r w:rsidRPr="0079515C">
        <w:rPr>
          <w:rStyle w:val="s6b621b36"/>
          <w:rFonts w:cs="Arial"/>
          <w:i/>
          <w:iCs/>
          <w:color w:val="000000"/>
          <w:spacing w:val="-4"/>
          <w:shd w:val="clear" w:color="auto" w:fill="FFFFFF"/>
          <w:lang w:val="en-US"/>
        </w:rPr>
        <w:t xml:space="preserve"> and Others v.</w:t>
      </w:r>
      <w:proofErr w:type="gramEnd"/>
      <w:r w:rsidRPr="0079515C">
        <w:rPr>
          <w:i/>
          <w:spacing w:val="-4"/>
          <w:lang w:val="en-US"/>
        </w:rPr>
        <w:t xml:space="preserve"> The United Kingdom</w:t>
      </w:r>
      <w:r w:rsidRPr="0079515C">
        <w:rPr>
          <w:spacing w:val="-4"/>
          <w:lang w:val="en-US"/>
        </w:rPr>
        <w:t xml:space="preserve">, Nos. </w:t>
      </w:r>
      <w:hyperlink r:id="rId30" w:anchor="{&quot;appno&quot;:[&quot;13163/87&quot;]}" w:tgtFrame="_blank" w:history="1">
        <w:proofErr w:type="gramStart"/>
        <w:r w:rsidRPr="0079515C">
          <w:rPr>
            <w:rStyle w:val="Hyperlink"/>
            <w:rFonts w:cs="Arial"/>
            <w:iCs/>
            <w:color w:val="auto"/>
            <w:spacing w:val="-4"/>
            <w:u w:val="none"/>
            <w:shd w:val="clear" w:color="auto" w:fill="FFFFFF"/>
            <w:lang w:val="en-US"/>
          </w:rPr>
          <w:t>13163/87</w:t>
        </w:r>
      </w:hyperlink>
      <w:r w:rsidRPr="0079515C">
        <w:rPr>
          <w:rStyle w:val="s6b621b36"/>
          <w:rFonts w:cs="Arial"/>
          <w:iCs/>
          <w:spacing w:val="-4"/>
          <w:shd w:val="clear" w:color="auto" w:fill="FFFFFF"/>
          <w:lang w:val="en-US"/>
        </w:rPr>
        <w:t xml:space="preserve">, 13164/87, 13165/87 13447/87, and </w:t>
      </w:r>
      <w:hyperlink r:id="rId31" w:anchor="{&quot;appno&quot;:[&quot;13448/87&quot;]}" w:tgtFrame="_blank" w:history="1">
        <w:r w:rsidRPr="0079515C">
          <w:rPr>
            <w:rStyle w:val="Hyperlink"/>
            <w:rFonts w:cs="Arial"/>
            <w:iCs/>
            <w:color w:val="auto"/>
            <w:spacing w:val="-4"/>
            <w:u w:val="none"/>
            <w:shd w:val="clear" w:color="auto" w:fill="FFFFFF"/>
            <w:lang w:val="en-US"/>
          </w:rPr>
          <w:t>13448/87</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October 30, 1991, para.</w:t>
      </w:r>
      <w:proofErr w:type="gramEnd"/>
      <w:r w:rsidRPr="0079515C">
        <w:rPr>
          <w:spacing w:val="-4"/>
          <w:lang w:val="en-US"/>
        </w:rPr>
        <w:t xml:space="preserve"> 108.</w:t>
      </w:r>
    </w:p>
  </w:footnote>
  <w:footnote w:id="216">
    <w:p w14:paraId="44A2A04F" w14:textId="650E94BE" w:rsidR="002306C1" w:rsidRPr="0079515C" w:rsidRDefault="002306C1" w:rsidP="00853044">
      <w:pPr>
        <w:widowControl w:val="0"/>
        <w:tabs>
          <w:tab w:val="left" w:pos="426"/>
        </w:tabs>
        <w:autoSpaceDE w:val="0"/>
        <w:autoSpaceDN w:val="0"/>
        <w:adjustRightInd w:val="0"/>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UN, Committee against Torture, General Comment</w:t>
      </w:r>
      <w:r w:rsidRPr="0079515C">
        <w:rPr>
          <w:rFonts w:eastAsia="Times New Roman" w:cs="Verdana"/>
          <w:bCs/>
          <w:spacing w:val="-4"/>
          <w:sz w:val="16"/>
          <w:szCs w:val="16"/>
          <w:lang w:val="en-US" w:eastAsia="es-CR"/>
        </w:rPr>
        <w:t xml:space="preserve"> No. 1: Implementation of Article 3 of the Convention in the Context of Article 22</w:t>
      </w:r>
      <w:r w:rsidRPr="0079515C">
        <w:rPr>
          <w:spacing w:val="-4"/>
          <w:sz w:val="16"/>
          <w:szCs w:val="16"/>
          <w:lang w:val="en-US"/>
        </w:rPr>
        <w:t xml:space="preserve">, U.N. Doc. </w:t>
      </w:r>
      <w:r w:rsidRPr="0079515C">
        <w:rPr>
          <w:rFonts w:cs="Times"/>
          <w:bCs/>
          <w:spacing w:val="-4"/>
          <w:sz w:val="16"/>
          <w:szCs w:val="16"/>
          <w:lang w:val="en-US"/>
        </w:rPr>
        <w:t xml:space="preserve">CAT, A/53/44, November 21, </w:t>
      </w:r>
      <w:r w:rsidRPr="001B16AA">
        <w:rPr>
          <w:rFonts w:cs="Times"/>
          <w:bCs/>
          <w:spacing w:val="-4"/>
          <w:sz w:val="16"/>
          <w:szCs w:val="16"/>
          <w:lang w:val="en-US"/>
        </w:rPr>
        <w:t xml:space="preserve">1997, </w:t>
      </w:r>
      <w:r w:rsidRPr="001B16AA">
        <w:rPr>
          <w:spacing w:val="-4"/>
          <w:sz w:val="16"/>
          <w:szCs w:val="16"/>
          <w:lang w:val="en-US"/>
        </w:rPr>
        <w:t xml:space="preserve">paras. </w:t>
      </w:r>
      <w:proofErr w:type="gramStart"/>
      <w:r w:rsidRPr="001B16AA">
        <w:rPr>
          <w:spacing w:val="-4"/>
          <w:sz w:val="16"/>
          <w:szCs w:val="16"/>
          <w:lang w:val="en-US"/>
        </w:rPr>
        <w:t>6 and 7.</w:t>
      </w:r>
      <w:proofErr w:type="gramEnd"/>
      <w:r w:rsidRPr="001B16AA">
        <w:rPr>
          <w:rFonts w:eastAsia="Times New Roman" w:cs="Verdana"/>
          <w:b/>
          <w:bCs/>
          <w:spacing w:val="-4"/>
          <w:sz w:val="16"/>
          <w:szCs w:val="16"/>
          <w:lang w:val="en-US" w:eastAsia="es-CR"/>
        </w:rPr>
        <w:t xml:space="preserve"> </w:t>
      </w:r>
      <w:r>
        <w:rPr>
          <w:spacing w:val="-4"/>
          <w:sz w:val="16"/>
          <w:szCs w:val="16"/>
          <w:lang w:val="en-US"/>
        </w:rPr>
        <w:t>To</w:t>
      </w:r>
      <w:r w:rsidRPr="001B16AA">
        <w:rPr>
          <w:spacing w:val="-4"/>
          <w:sz w:val="16"/>
          <w:szCs w:val="16"/>
          <w:lang w:val="en-US"/>
        </w:rPr>
        <w:t xml:space="preserve"> verify a substantial, personal and present danger of torture, the Committee against Torture has provided the following, non-exhaustive, guidelines, on some of the pertinent considerations to </w:t>
      </w:r>
      <w:r>
        <w:rPr>
          <w:spacing w:val="-4"/>
          <w:sz w:val="16"/>
          <w:szCs w:val="16"/>
          <w:lang w:val="en-US"/>
        </w:rPr>
        <w:t>assess</w:t>
      </w:r>
      <w:r w:rsidRPr="001B16AA">
        <w:rPr>
          <w:spacing w:val="-4"/>
          <w:sz w:val="16"/>
          <w:szCs w:val="16"/>
          <w:lang w:val="en-US"/>
        </w:rPr>
        <w:t xml:space="preserve"> whether expulsion entails a real risk of torture: (a) </w:t>
      </w:r>
      <w:proofErr w:type="gramStart"/>
      <w:r w:rsidRPr="001B16AA">
        <w:rPr>
          <w:sz w:val="16"/>
          <w:szCs w:val="16"/>
          <w:lang w:val="en-US"/>
        </w:rPr>
        <w:t>Is</w:t>
      </w:r>
      <w:proofErr w:type="gramEnd"/>
      <w:r w:rsidRPr="001B16AA">
        <w:rPr>
          <w:sz w:val="16"/>
          <w:szCs w:val="16"/>
          <w:lang w:val="en-US"/>
        </w:rPr>
        <w:t xml:space="preserve"> the State concerned one in which there is evidence of a consistent pattern of gross, flagrant or mass violations of human rights? (b) Has the author been tortured or maltreated by or at the instigation of or with the consent or acquiescence of a public official or other person acting in an official capacity in the past? If so, was this the recent past? (c) Is there medical or other independent evidence to support a claim by the author that he/she has been tortured or maltreated in the past? Has the torture had aftereffects? (d) Has the situation referred to in (a) above changed? Has the internal situation in respect of human rights altered? (e) Has the author engaged in political or other activity within or outside the State concerned which would appear to make him/her particularly vulnerable to the risk of being placed in danger of torture were he/she to be expelled, returned or extradited to the State in question? (f) Is there any evidence as to the credibility of the author? (g) Are there factual inconsistencies in the claim of the author? If so, are they relevant?</w:t>
      </w:r>
      <w:r w:rsidRPr="001B16AA">
        <w:rPr>
          <w:spacing w:val="-4"/>
          <w:sz w:val="16"/>
          <w:szCs w:val="16"/>
          <w:lang w:val="en-US"/>
        </w:rPr>
        <w:t xml:space="preserve"> </w:t>
      </w:r>
      <w:r w:rsidRPr="001B16AA">
        <w:rPr>
          <w:rFonts w:cs="Times"/>
          <w:i/>
          <w:spacing w:val="-4"/>
          <w:sz w:val="16"/>
          <w:szCs w:val="16"/>
          <w:lang w:val="en-US"/>
        </w:rPr>
        <w:t xml:space="preserve">Cf. </w:t>
      </w:r>
      <w:r w:rsidRPr="001B16AA">
        <w:rPr>
          <w:spacing w:val="-4"/>
          <w:sz w:val="16"/>
          <w:szCs w:val="16"/>
          <w:lang w:val="en-US"/>
        </w:rPr>
        <w:t>UN, Committee against Torture, General Comment</w:t>
      </w:r>
      <w:r w:rsidRPr="001B16AA">
        <w:rPr>
          <w:rFonts w:eastAsia="Times New Roman" w:cs="Verdana"/>
          <w:bCs/>
          <w:spacing w:val="-4"/>
          <w:sz w:val="16"/>
          <w:szCs w:val="16"/>
          <w:lang w:val="en-US" w:eastAsia="es-CR"/>
        </w:rPr>
        <w:t xml:space="preserve"> No. 1: Implementation of Article 3 of the Convention in the Context of Article 22</w:t>
      </w:r>
      <w:r w:rsidRPr="0079515C">
        <w:rPr>
          <w:spacing w:val="-4"/>
          <w:sz w:val="16"/>
          <w:szCs w:val="16"/>
          <w:lang w:val="en-US"/>
        </w:rPr>
        <w:t xml:space="preserve">, U.N. Doc. </w:t>
      </w:r>
      <w:r w:rsidRPr="0079515C">
        <w:rPr>
          <w:rFonts w:cs="Times"/>
          <w:bCs/>
          <w:spacing w:val="-4"/>
          <w:sz w:val="16"/>
          <w:szCs w:val="16"/>
          <w:lang w:val="en-US"/>
        </w:rPr>
        <w:t xml:space="preserve">CAT, A/53/44, November 21, 1997, </w:t>
      </w:r>
      <w:r w:rsidRPr="0079515C">
        <w:rPr>
          <w:rFonts w:cs="Times"/>
          <w:spacing w:val="-4"/>
          <w:sz w:val="16"/>
          <w:szCs w:val="16"/>
          <w:lang w:val="en-US"/>
        </w:rPr>
        <w:t>para. 8.</w:t>
      </w:r>
    </w:p>
  </w:footnote>
  <w:footnote w:id="217">
    <w:p w14:paraId="2DECC586" w14:textId="511FB71B" w:rsidR="002306C1" w:rsidRPr="0079515C" w:rsidRDefault="002306C1" w:rsidP="00853044">
      <w:pPr>
        <w:tabs>
          <w:tab w:val="left" w:pos="426"/>
          <w:tab w:val="left" w:pos="567"/>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In this regard: (</w:t>
      </w:r>
      <w:proofErr w:type="spellStart"/>
      <w:r w:rsidRPr="0079515C">
        <w:rPr>
          <w:spacing w:val="-4"/>
          <w:sz w:val="16"/>
          <w:szCs w:val="16"/>
          <w:lang w:val="en-US"/>
        </w:rPr>
        <w:t>i</w:t>
      </w:r>
      <w:proofErr w:type="spellEnd"/>
      <w:r w:rsidRPr="0079515C">
        <w:rPr>
          <w:spacing w:val="-4"/>
          <w:sz w:val="16"/>
          <w:szCs w:val="16"/>
          <w:lang w:val="en-US"/>
        </w:rPr>
        <w:t xml:space="preserve">) in the second application for </w:t>
      </w:r>
      <w:r w:rsidRPr="0079515C">
        <w:rPr>
          <w:i/>
          <w:spacing w:val="-4"/>
          <w:sz w:val="16"/>
          <w:szCs w:val="16"/>
          <w:lang w:val="en-US"/>
        </w:rPr>
        <w:t>habeas corpus</w:t>
      </w:r>
      <w:r w:rsidRPr="0079515C">
        <w:rPr>
          <w:spacing w:val="-4"/>
          <w:sz w:val="16"/>
          <w:szCs w:val="16"/>
          <w:lang w:val="en-US"/>
        </w:rPr>
        <w:t xml:space="preserve">, of October 2009, the representative mentioned “the certain and imminent risk of violation of the rights to life and personal integrity that subsists against […] Wong Ho Wing.” He asserted that “[t]here is a </w:t>
      </w:r>
      <w:r>
        <w:rPr>
          <w:spacing w:val="-4"/>
          <w:sz w:val="16"/>
          <w:szCs w:val="16"/>
          <w:lang w:val="en-US"/>
        </w:rPr>
        <w:t>certain</w:t>
      </w:r>
      <w:r w:rsidRPr="0079515C">
        <w:rPr>
          <w:spacing w:val="-4"/>
          <w:sz w:val="16"/>
          <w:szCs w:val="16"/>
          <w:lang w:val="en-US"/>
        </w:rPr>
        <w:t xml:space="preserve"> and imminent risk to personal liberty and rights related to this, among which the rights to life and personal integrity are particularly significant; because, if he is extradited to the People’s Republic of China, there are no guarantees that he will be subject to a fair trial and, consequently, he may be sentenced to death.” Application for </w:t>
      </w:r>
      <w:r w:rsidRPr="0079515C">
        <w:rPr>
          <w:i/>
          <w:spacing w:val="-4"/>
          <w:sz w:val="16"/>
          <w:szCs w:val="16"/>
          <w:lang w:val="en-US"/>
        </w:rPr>
        <w:t>habeas corpus</w:t>
      </w:r>
      <w:r w:rsidRPr="0079515C">
        <w:rPr>
          <w:spacing w:val="-4"/>
          <w:sz w:val="16"/>
          <w:szCs w:val="16"/>
          <w:lang w:val="en-US"/>
        </w:rPr>
        <w:t xml:space="preserve"> of October 12, 2009 (evidence file, folios 105 and 106); (ii) in the third application for </w:t>
      </w:r>
      <w:r w:rsidRPr="0079515C">
        <w:rPr>
          <w:i/>
          <w:spacing w:val="-4"/>
          <w:sz w:val="16"/>
          <w:szCs w:val="16"/>
          <w:lang w:val="en-US"/>
        </w:rPr>
        <w:t>habeas corpus</w:t>
      </w:r>
      <w:r w:rsidRPr="0079515C">
        <w:rPr>
          <w:spacing w:val="-4"/>
          <w:sz w:val="16"/>
          <w:szCs w:val="16"/>
          <w:lang w:val="en-US"/>
        </w:rPr>
        <w:t xml:space="preserve"> of February 9, 2010, even though he made no specific allegations in this regard, the representative based himself on the principle of non-</w:t>
      </w:r>
      <w:proofErr w:type="spellStart"/>
      <w:r w:rsidRPr="0079515C">
        <w:rPr>
          <w:spacing w:val="-4"/>
          <w:sz w:val="16"/>
          <w:szCs w:val="16"/>
          <w:lang w:val="en-US"/>
        </w:rPr>
        <w:t>refoulement</w:t>
      </w:r>
      <w:proofErr w:type="spellEnd"/>
      <w:r w:rsidRPr="0079515C">
        <w:rPr>
          <w:spacing w:val="-4"/>
          <w:sz w:val="16"/>
          <w:szCs w:val="16"/>
          <w:lang w:val="en-US"/>
        </w:rPr>
        <w:t xml:space="preserve"> established in Article 13(4) of the ICPPT. Thus, he indicated that </w:t>
      </w:r>
      <w:r w:rsidRPr="0079515C">
        <w:rPr>
          <w:rFonts w:cs="Times New Roman"/>
          <w:spacing w:val="-4"/>
          <w:sz w:val="16"/>
          <w:szCs w:val="16"/>
          <w:lang w:val="en-US"/>
        </w:rPr>
        <w:t>“Article 13(4) of the Inter-American Convention</w:t>
      </w:r>
      <w:r w:rsidRPr="0079515C">
        <w:rPr>
          <w:rFonts w:cs="Times New Roman"/>
          <w:bCs/>
          <w:spacing w:val="-4"/>
          <w:sz w:val="16"/>
          <w:szCs w:val="16"/>
          <w:lang w:val="en-US"/>
        </w:rPr>
        <w:t xml:space="preserve"> against Torture, to which Peru is a party, includes an article on </w:t>
      </w:r>
      <w:r w:rsidRPr="0079515C">
        <w:rPr>
          <w:rFonts w:cs="Times New Roman"/>
          <w:iCs/>
          <w:spacing w:val="-4"/>
          <w:sz w:val="16"/>
          <w:szCs w:val="16"/>
          <w:lang w:val="en-US"/>
        </w:rPr>
        <w:t>non-</w:t>
      </w:r>
      <w:proofErr w:type="spellStart"/>
      <w:r w:rsidRPr="0079515C">
        <w:rPr>
          <w:rFonts w:cs="Times New Roman"/>
          <w:iCs/>
          <w:spacing w:val="-4"/>
          <w:sz w:val="16"/>
          <w:szCs w:val="16"/>
          <w:lang w:val="en-US"/>
        </w:rPr>
        <w:t>refoul</w:t>
      </w:r>
      <w:r w:rsidRPr="0079515C">
        <w:rPr>
          <w:spacing w:val="-4"/>
          <w:sz w:val="16"/>
          <w:szCs w:val="16"/>
          <w:lang w:val="en-US"/>
        </w:rPr>
        <w:t>e</w:t>
      </w:r>
      <w:r w:rsidRPr="0079515C">
        <w:rPr>
          <w:rFonts w:cs="Times New Roman"/>
          <w:iCs/>
          <w:spacing w:val="-4"/>
          <w:sz w:val="16"/>
          <w:szCs w:val="16"/>
          <w:lang w:val="en-US"/>
        </w:rPr>
        <w:t>ment</w:t>
      </w:r>
      <w:proofErr w:type="spellEnd"/>
      <w:r w:rsidRPr="0079515C">
        <w:rPr>
          <w:rFonts w:cs="Times New Roman"/>
          <w:spacing w:val="-4"/>
          <w:sz w:val="16"/>
          <w:szCs w:val="16"/>
          <w:lang w:val="en-US"/>
        </w:rPr>
        <w:t xml:space="preserve"> that expressly prohibits extradition in cases in which the life of a person whose extradition is requested is in danger, and establishes that: </w:t>
      </w:r>
      <w:r w:rsidRPr="0079515C">
        <w:rPr>
          <w:rFonts w:cs="Times New Roman"/>
          <w:i/>
          <w:spacing w:val="-4"/>
          <w:sz w:val="16"/>
          <w:szCs w:val="16"/>
          <w:lang w:val="en-US"/>
        </w:rPr>
        <w:t>Extradition shall not be granted nor shall the person sought be returned when there are grounds to believe that his life is in danger, that he will be subjected to torture or to</w:t>
      </w:r>
      <w:r w:rsidRPr="0079515C">
        <w:rPr>
          <w:rFonts w:cs="Times New Roman"/>
          <w:i/>
          <w:iCs/>
          <w:spacing w:val="-4"/>
          <w:sz w:val="16"/>
          <w:szCs w:val="16"/>
          <w:lang w:val="en-US"/>
        </w:rPr>
        <w:t xml:space="preserve"> cruel, inhuman or degrading treatment.”</w:t>
      </w:r>
      <w:r w:rsidRPr="0079515C">
        <w:rPr>
          <w:spacing w:val="-4"/>
          <w:sz w:val="16"/>
          <w:szCs w:val="16"/>
          <w:lang w:val="en-US"/>
        </w:rPr>
        <w:t xml:space="preserve"> He also indicated that “[t]he rights affected include the rights to </w:t>
      </w:r>
      <w:r w:rsidRPr="0079515C">
        <w:rPr>
          <w:rFonts w:cs="Times New Roman"/>
          <w:spacing w:val="-4"/>
          <w:sz w:val="16"/>
          <w:szCs w:val="16"/>
          <w:lang w:val="en-US"/>
        </w:rPr>
        <w:t>right to life and personal integrity, […] because</w:t>
      </w:r>
      <w:r>
        <w:rPr>
          <w:rFonts w:cs="Times New Roman"/>
          <w:spacing w:val="-4"/>
          <w:sz w:val="16"/>
          <w:szCs w:val="16"/>
          <w:lang w:val="en-US"/>
        </w:rPr>
        <w:t xml:space="preserve"> if</w:t>
      </w:r>
      <w:r w:rsidRPr="0079515C">
        <w:rPr>
          <w:rFonts w:cs="Times New Roman"/>
          <w:spacing w:val="-4"/>
          <w:sz w:val="16"/>
          <w:szCs w:val="16"/>
          <w:lang w:val="en-US"/>
        </w:rPr>
        <w:t xml:space="preserve"> passive extradition is granted and the Chinese citizen [Wong Ho Wing] is returned to the People’s Republic of China, his life and physical integrity would be </w:t>
      </w:r>
      <w:r>
        <w:rPr>
          <w:rFonts w:cs="Times New Roman"/>
          <w:spacing w:val="-4"/>
          <w:sz w:val="16"/>
          <w:szCs w:val="16"/>
          <w:lang w:val="en-US"/>
        </w:rPr>
        <w:t>jeopardized</w:t>
      </w:r>
      <w:r w:rsidRPr="0079515C">
        <w:rPr>
          <w:rFonts w:cs="Times New Roman"/>
          <w:spacing w:val="-4"/>
          <w:sz w:val="16"/>
          <w:szCs w:val="16"/>
          <w:lang w:val="en-US"/>
        </w:rPr>
        <w:t xml:space="preserve">, because there is no material possibility that the Peruvian authorities could monitor the execution of the sentence, owing, among other reasons, to the fact that not even international authorities can obtain access to the Chinese prison system, which is completely unreliable and discredited.” He added that the presumed </w:t>
      </w:r>
      <w:proofErr w:type="gramStart"/>
      <w:r w:rsidRPr="0079515C">
        <w:rPr>
          <w:rFonts w:cs="Times New Roman"/>
          <w:spacing w:val="-4"/>
          <w:sz w:val="16"/>
          <w:szCs w:val="16"/>
          <w:lang w:val="en-US"/>
        </w:rPr>
        <w:t>victim,</w:t>
      </w:r>
      <w:proofErr w:type="gramEnd"/>
      <w:r w:rsidRPr="0079515C">
        <w:rPr>
          <w:rFonts w:cs="Times New Roman"/>
          <w:spacing w:val="-4"/>
          <w:sz w:val="16"/>
          <w:szCs w:val="16"/>
          <w:lang w:val="en-US"/>
        </w:rPr>
        <w:t xml:space="preserve"> “would be executed or kept in physical conditions that would entail a grave and progressive deterioration of his health in order to shorten his life.” </w:t>
      </w:r>
      <w:r w:rsidRPr="0079515C">
        <w:rPr>
          <w:spacing w:val="-4"/>
          <w:sz w:val="16"/>
          <w:szCs w:val="16"/>
          <w:lang w:val="en-US"/>
        </w:rPr>
        <w:t xml:space="preserve">Application for </w:t>
      </w:r>
      <w:r w:rsidRPr="0079515C">
        <w:rPr>
          <w:i/>
          <w:spacing w:val="-4"/>
          <w:sz w:val="16"/>
          <w:szCs w:val="16"/>
          <w:lang w:val="en-US"/>
        </w:rPr>
        <w:t>habeas corpus</w:t>
      </w:r>
      <w:r w:rsidRPr="0079515C">
        <w:rPr>
          <w:spacing w:val="-4"/>
          <w:sz w:val="16"/>
          <w:szCs w:val="16"/>
          <w:lang w:val="en-US"/>
        </w:rPr>
        <w:t xml:space="preserve"> of February 9, 2010 (evidence file, folios 189 and 192); (iii) in a statement made before </w:t>
      </w:r>
      <w:r w:rsidRPr="0079515C">
        <w:rPr>
          <w:rFonts w:cs="Times New Roman"/>
          <w:spacing w:val="-4"/>
          <w:sz w:val="16"/>
          <w:szCs w:val="16"/>
          <w:lang w:val="en-US"/>
        </w:rPr>
        <w:t>the 42nd Special Criminal Court of Lima on February 11, 2010, the repr</w:t>
      </w:r>
      <w:r>
        <w:rPr>
          <w:rFonts w:cs="Times New Roman"/>
          <w:spacing w:val="-4"/>
          <w:sz w:val="16"/>
          <w:szCs w:val="16"/>
          <w:lang w:val="en-US"/>
        </w:rPr>
        <w:t>esentative indicated that: “The</w:t>
      </w:r>
      <w:r w:rsidRPr="0079515C">
        <w:rPr>
          <w:rFonts w:cs="Times New Roman"/>
          <w:spacing w:val="-4"/>
          <w:sz w:val="16"/>
          <w:szCs w:val="16"/>
          <w:lang w:val="en-US"/>
        </w:rPr>
        <w:t xml:space="preserve"> possibility </w:t>
      </w:r>
      <w:r>
        <w:rPr>
          <w:rFonts w:cs="Times New Roman"/>
          <w:spacing w:val="-4"/>
          <w:sz w:val="16"/>
          <w:szCs w:val="16"/>
          <w:lang w:val="en-US"/>
        </w:rPr>
        <w:t xml:space="preserve">exists </w:t>
      </w:r>
      <w:r w:rsidRPr="0079515C">
        <w:rPr>
          <w:rFonts w:cs="Times New Roman"/>
          <w:spacing w:val="-4"/>
          <w:sz w:val="16"/>
          <w:szCs w:val="16"/>
          <w:lang w:val="en-US"/>
        </w:rPr>
        <w:t xml:space="preserve">that […] it is decided </w:t>
      </w:r>
      <w:r>
        <w:rPr>
          <w:rFonts w:cs="Times New Roman"/>
          <w:spacing w:val="-4"/>
          <w:sz w:val="16"/>
          <w:szCs w:val="16"/>
          <w:lang w:val="en-US"/>
        </w:rPr>
        <w:t xml:space="preserve">to extradite </w:t>
      </w:r>
      <w:r w:rsidRPr="0079515C">
        <w:rPr>
          <w:rFonts w:cs="Times New Roman"/>
          <w:spacing w:val="-4"/>
          <w:sz w:val="16"/>
          <w:szCs w:val="16"/>
          <w:lang w:val="en-US"/>
        </w:rPr>
        <w:t>the said person, subject of the extradition request, to the People’s Republic of China and, once he ha</w:t>
      </w:r>
      <w:r>
        <w:rPr>
          <w:rFonts w:cs="Times New Roman"/>
          <w:spacing w:val="-4"/>
          <w:sz w:val="16"/>
          <w:szCs w:val="16"/>
          <w:lang w:val="en-US"/>
        </w:rPr>
        <w:t>s been returned to that country,</w:t>
      </w:r>
      <w:r w:rsidRPr="0079515C">
        <w:rPr>
          <w:rFonts w:cs="Times New Roman"/>
          <w:spacing w:val="-4"/>
          <w:sz w:val="16"/>
          <w:szCs w:val="16"/>
          <w:lang w:val="en-US"/>
        </w:rPr>
        <w:t xml:space="preserve"> </w:t>
      </w:r>
      <w:r>
        <w:rPr>
          <w:rFonts w:cs="Times New Roman"/>
          <w:spacing w:val="-4"/>
          <w:sz w:val="16"/>
          <w:szCs w:val="16"/>
          <w:lang w:val="en-US"/>
        </w:rPr>
        <w:t>he will be</w:t>
      </w:r>
      <w:r w:rsidRPr="0079515C">
        <w:rPr>
          <w:rFonts w:cs="Times New Roman"/>
          <w:spacing w:val="-4"/>
          <w:sz w:val="16"/>
          <w:szCs w:val="16"/>
          <w:lang w:val="en-US"/>
        </w:rPr>
        <w:t xml:space="preserve"> sentenced </w:t>
      </w:r>
      <w:r>
        <w:rPr>
          <w:rFonts w:cs="Times New Roman"/>
          <w:spacing w:val="-4"/>
          <w:sz w:val="16"/>
          <w:szCs w:val="16"/>
          <w:lang w:val="en-US"/>
        </w:rPr>
        <w:t>to death in summary proceedings</w:t>
      </w:r>
      <w:r w:rsidRPr="0079515C">
        <w:rPr>
          <w:rFonts w:cs="Times New Roman"/>
          <w:spacing w:val="-4"/>
          <w:sz w:val="16"/>
          <w:szCs w:val="16"/>
          <w:lang w:val="en-US"/>
        </w:rPr>
        <w:t xml:space="preserve"> or </w:t>
      </w:r>
      <w:r>
        <w:rPr>
          <w:rFonts w:cs="Times New Roman"/>
          <w:spacing w:val="-4"/>
          <w:sz w:val="16"/>
          <w:szCs w:val="16"/>
          <w:lang w:val="en-US"/>
        </w:rPr>
        <w:t xml:space="preserve">else </w:t>
      </w:r>
      <w:r w:rsidRPr="0079515C">
        <w:rPr>
          <w:rFonts w:cs="Times New Roman"/>
          <w:spacing w:val="-4"/>
          <w:sz w:val="16"/>
          <w:szCs w:val="16"/>
          <w:lang w:val="en-US"/>
        </w:rPr>
        <w:t>subjected to inhuman prison conditions that place his health and life in grave danger, as has happened on numerous occasions w</w:t>
      </w:r>
      <w:r>
        <w:rPr>
          <w:rFonts w:cs="Times New Roman"/>
          <w:spacing w:val="-4"/>
          <w:sz w:val="16"/>
          <w:szCs w:val="16"/>
          <w:lang w:val="en-US"/>
        </w:rPr>
        <w:t>ith thousands of people who are</w:t>
      </w:r>
      <w:r w:rsidRPr="0079515C">
        <w:rPr>
          <w:rFonts w:cs="Times New Roman"/>
          <w:spacing w:val="-4"/>
          <w:sz w:val="16"/>
          <w:szCs w:val="16"/>
          <w:lang w:val="en-US"/>
        </w:rPr>
        <w:t xml:space="preserve"> either executed or subjected to cruel and infrahuman treatment. What I have described has been reiterated in different reports of Amnesty International and other international agencies that indicate, among other matters, that last year more than 10,000 people were executed in China following summary proceedings during which their procedural guarantees were not respected, and in which the execution was carried out on the same day as the sentence.” Preliminary statement by </w:t>
      </w:r>
      <w:r w:rsidRPr="0079515C">
        <w:rPr>
          <w:spacing w:val="-4"/>
          <w:sz w:val="16"/>
          <w:szCs w:val="16"/>
          <w:lang w:val="en-US"/>
        </w:rPr>
        <w:t xml:space="preserve">Luis Alberto Lamas </w:t>
      </w:r>
      <w:proofErr w:type="spellStart"/>
      <w:r w:rsidRPr="0079515C">
        <w:rPr>
          <w:spacing w:val="-4"/>
          <w:sz w:val="16"/>
          <w:szCs w:val="16"/>
          <w:lang w:val="en-US"/>
        </w:rPr>
        <w:t>Puccio</w:t>
      </w:r>
      <w:proofErr w:type="spellEnd"/>
      <w:r w:rsidRPr="0079515C">
        <w:rPr>
          <w:spacing w:val="-4"/>
          <w:sz w:val="16"/>
          <w:szCs w:val="16"/>
          <w:lang w:val="en-US"/>
        </w:rPr>
        <w:t xml:space="preserve"> on February 11, 2010</w:t>
      </w:r>
      <w:r>
        <w:rPr>
          <w:spacing w:val="-4"/>
          <w:sz w:val="16"/>
          <w:szCs w:val="16"/>
          <w:lang w:val="en-US"/>
        </w:rPr>
        <w:t>,</w:t>
      </w:r>
      <w:r w:rsidRPr="0079515C">
        <w:rPr>
          <w:spacing w:val="-4"/>
          <w:sz w:val="16"/>
          <w:szCs w:val="16"/>
          <w:lang w:val="en-US"/>
        </w:rPr>
        <w:t xml:space="preserve"> before the 42nd Special Criminal Court of Lima (evidence file, folios 8485 and 8486), and (iv) also, following the second advisory decision of the Supreme Court, during the hearing before the Constitutional Court of November 17, 2010, the representative indicated that “vast information can be found on the Internet about the precarious conditions of those deprived of their liberty in that country [China] and, in many cases, they are cut off, in a totally inhuman manner, from basic nutrition so that they weaken and can die sooner.” He also indicated that he would be “unable to control whether or not this person </w:t>
      </w:r>
      <w:r w:rsidRPr="0079515C">
        <w:rPr>
          <w:spacing w:val="-4"/>
          <w:sz w:val="16"/>
          <w:szCs w:val="16"/>
          <w:shd w:val="clear" w:color="auto" w:fill="FFFFFF"/>
          <w:lang w:val="en-US"/>
        </w:rPr>
        <w:t>[Wong Ho Wing] has been executed or subjected to inhuman treatment, which was also mentioned in the Inter-American Commission</w:t>
      </w:r>
      <w:r>
        <w:rPr>
          <w:spacing w:val="-4"/>
          <w:sz w:val="16"/>
          <w:szCs w:val="16"/>
          <w:shd w:val="clear" w:color="auto" w:fill="FFFFFF"/>
          <w:lang w:val="en-US"/>
        </w:rPr>
        <w:t>’s report</w:t>
      </w:r>
      <w:r w:rsidRPr="0079515C">
        <w:rPr>
          <w:spacing w:val="-4"/>
          <w:sz w:val="16"/>
          <w:szCs w:val="16"/>
          <w:shd w:val="clear" w:color="auto" w:fill="FFFFFF"/>
          <w:lang w:val="en-US"/>
        </w:rPr>
        <w:t xml:space="preserve">.” </w:t>
      </w:r>
      <w:proofErr w:type="gramStart"/>
      <w:r w:rsidRPr="0079515C">
        <w:rPr>
          <w:spacing w:val="-4"/>
          <w:sz w:val="16"/>
          <w:szCs w:val="16"/>
          <w:lang w:val="en-US"/>
        </w:rPr>
        <w:t>Video of the hearing before the Constitutional Court of November 17, 2010 (evidence file, folio 7375).</w:t>
      </w:r>
      <w:proofErr w:type="gramEnd"/>
    </w:p>
  </w:footnote>
  <w:footnote w:id="218">
    <w:p w14:paraId="6F6282D0" w14:textId="6A252AF5"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National Human Rights Coordinator, a coalition of Peruvian non-governmental organizations presented </w:t>
      </w:r>
      <w:proofErr w:type="gramStart"/>
      <w:r w:rsidRPr="0079515C">
        <w:rPr>
          <w:spacing w:val="-4"/>
          <w:lang w:val="en-US"/>
        </w:rPr>
        <w:t xml:space="preserve">an </w:t>
      </w:r>
      <w:r w:rsidRPr="0079515C">
        <w:rPr>
          <w:i/>
          <w:spacing w:val="-4"/>
          <w:lang w:val="en-US"/>
        </w:rPr>
        <w:t>amicus</w:t>
      </w:r>
      <w:proofErr w:type="gramEnd"/>
      <w:r w:rsidRPr="0079515C">
        <w:rPr>
          <w:i/>
          <w:spacing w:val="-4"/>
          <w:lang w:val="en-US"/>
        </w:rPr>
        <w:t xml:space="preserve"> curiae </w:t>
      </w:r>
      <w:r w:rsidRPr="0079515C">
        <w:rPr>
          <w:spacing w:val="-4"/>
          <w:lang w:val="en-US"/>
        </w:rPr>
        <w:t xml:space="preserve">brief to the Permanent Criminal Chamber of the Supreme Court noting some irregularities concerning the risk of the death penalty, as well as the way it was implemented, and about the alleged risk of torture and other forms of cruel, inhuman or degrading treatment. </w:t>
      </w:r>
      <w:r w:rsidRPr="0079515C">
        <w:rPr>
          <w:i/>
          <w:spacing w:val="-4"/>
          <w:lang w:val="en-US"/>
        </w:rPr>
        <w:t xml:space="preserve">Cf. </w:t>
      </w:r>
      <w:r w:rsidRPr="00780693">
        <w:rPr>
          <w:i/>
          <w:spacing w:val="-4"/>
          <w:lang w:val="en-US"/>
        </w:rPr>
        <w:t>Amicus curiae</w:t>
      </w:r>
      <w:r w:rsidRPr="0079515C">
        <w:rPr>
          <w:spacing w:val="-4"/>
          <w:lang w:val="en-US"/>
        </w:rPr>
        <w:t xml:space="preserve"> of the National Human Rights Coordinator of Peru presented on October 2, 2009 (evidence file, folios 2095 to 2114). In addition, the representative provided relevant parts of 2007 and 2008 reports of Amnesty International in the domestic proceedings, which reveal information on the alleged risk of torture (evidence file, folios 8420 and 8422).</w:t>
      </w:r>
    </w:p>
  </w:footnote>
  <w:footnote w:id="219">
    <w:p w14:paraId="31415D4D" w14:textId="7C3FF30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Case of N. v. Finland,</w:t>
      </w:r>
      <w:r w:rsidRPr="0079515C">
        <w:rPr>
          <w:rFonts w:cs="Arial"/>
          <w:i/>
          <w:iCs/>
          <w:spacing w:val="-4"/>
          <w:shd w:val="clear" w:color="auto" w:fill="FFFFFF"/>
          <w:lang w:val="en-US"/>
        </w:rPr>
        <w:t xml:space="preserve"> </w:t>
      </w:r>
      <w:r w:rsidRPr="0079515C">
        <w:rPr>
          <w:rFonts w:cs="Arial"/>
          <w:iCs/>
          <w:spacing w:val="-4"/>
          <w:shd w:val="clear" w:color="auto" w:fill="FFFFFF"/>
          <w:lang w:val="en-US"/>
        </w:rPr>
        <w:t>No.</w:t>
      </w:r>
      <w:r w:rsidRPr="0079515C">
        <w:rPr>
          <w:rStyle w:val="apple-converted-space"/>
          <w:rFonts w:cs="Arial"/>
          <w:iCs/>
          <w:spacing w:val="-4"/>
          <w:shd w:val="clear" w:color="auto" w:fill="FFFFFF"/>
          <w:lang w:val="en-US"/>
        </w:rPr>
        <w:t> </w:t>
      </w:r>
      <w:hyperlink r:id="rId32" w:anchor="{&quot;appno&quot;:[&quot;38885/02&quot;]}" w:tgtFrame="_blank" w:history="1">
        <w:r w:rsidRPr="0079515C">
          <w:rPr>
            <w:rStyle w:val="Hyperlink"/>
            <w:rFonts w:cs="Arial"/>
            <w:iCs/>
            <w:color w:val="auto"/>
            <w:spacing w:val="-4"/>
            <w:u w:val="none"/>
            <w:shd w:val="clear" w:color="auto" w:fill="FFFFFF"/>
            <w:lang w:val="en-US"/>
          </w:rPr>
          <w:t>38885/02</w:t>
        </w:r>
      </w:hyperlink>
      <w:r w:rsidRPr="0079515C">
        <w:rPr>
          <w:spacing w:val="-4"/>
          <w:lang w:val="en-US"/>
        </w:rPr>
        <w:t xml:space="preserve">. </w:t>
      </w:r>
      <w:proofErr w:type="gramStart"/>
      <w:r w:rsidRPr="0079515C">
        <w:rPr>
          <w:spacing w:val="-4"/>
          <w:lang w:val="en-US"/>
        </w:rPr>
        <w:t>Judgment of July 26, 2005, para.</w:t>
      </w:r>
      <w:proofErr w:type="gramEnd"/>
      <w:r w:rsidRPr="0079515C">
        <w:rPr>
          <w:spacing w:val="-4"/>
          <w:lang w:val="en-US"/>
        </w:rPr>
        <w:t xml:space="preserve"> </w:t>
      </w:r>
      <w:proofErr w:type="gramStart"/>
      <w:r w:rsidRPr="0079515C">
        <w:rPr>
          <w:spacing w:val="-4"/>
          <w:lang w:val="en-US"/>
        </w:rPr>
        <w:t xml:space="preserve">167;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 </w:t>
      </w:r>
      <w:r w:rsidRPr="0079515C">
        <w:rPr>
          <w:rStyle w:val="apple-converted-space"/>
          <w:rFonts w:cs="Arial"/>
          <w:iCs/>
          <w:spacing w:val="-4"/>
          <w:shd w:val="clear" w:color="auto" w:fill="FFFFFF"/>
          <w:lang w:val="en-US"/>
        </w:rPr>
        <w:t>No.</w:t>
      </w:r>
      <w:proofErr w:type="gramEnd"/>
      <w:r w:rsidRPr="0079515C">
        <w:rPr>
          <w:rStyle w:val="apple-converted-space"/>
          <w:rFonts w:cs="Arial"/>
          <w:iCs/>
          <w:spacing w:val="-4"/>
          <w:shd w:val="clear" w:color="auto" w:fill="FFFFFF"/>
          <w:lang w:val="en-US"/>
        </w:rPr>
        <w:t xml:space="preserve"> </w:t>
      </w:r>
      <w:hyperlink r:id="rId33" w:anchor="{&quot;appno&quot;:[&quot;8320/04&quot;]}" w:tgtFrame="_blank" w:history="1">
        <w:proofErr w:type="gramStart"/>
        <w:r w:rsidRPr="0079515C">
          <w:rPr>
            <w:rStyle w:val="Hyperlink"/>
            <w:rFonts w:cs="Arial"/>
            <w:iCs/>
            <w:color w:val="auto"/>
            <w:spacing w:val="-4"/>
            <w:u w:val="none"/>
            <w:shd w:val="clear" w:color="auto" w:fill="FFFFFF"/>
            <w:lang w:val="en-US"/>
          </w:rPr>
          <w:t>8320/04</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 xml:space="preserve">112; </w:t>
      </w:r>
      <w:r w:rsidRPr="0079515C">
        <w:rPr>
          <w:i/>
          <w:spacing w:val="-4"/>
          <w:lang w:val="en-US"/>
        </w:rPr>
        <w:t xml:space="preserve">Case of </w:t>
      </w:r>
      <w:proofErr w:type="spellStart"/>
      <w:r w:rsidRPr="0079515C">
        <w:rPr>
          <w:i/>
          <w:spacing w:val="-4"/>
          <w:lang w:val="en-US"/>
        </w:rPr>
        <w:t>Nizomkhon</w:t>
      </w:r>
      <w:proofErr w:type="spellEnd"/>
      <w:r w:rsidRPr="0079515C">
        <w:rPr>
          <w:i/>
          <w:spacing w:val="-4"/>
          <w:lang w:val="en-US"/>
        </w:rPr>
        <w:t xml:space="preserve"> </w:t>
      </w:r>
      <w:proofErr w:type="spellStart"/>
      <w:r w:rsidRPr="0079515C">
        <w:rPr>
          <w:i/>
          <w:spacing w:val="-4"/>
          <w:lang w:val="en-US"/>
        </w:rPr>
        <w:t>Dzhurayev</w:t>
      </w:r>
      <w:proofErr w:type="spellEnd"/>
      <w:r w:rsidRPr="0079515C">
        <w:rPr>
          <w:i/>
          <w:spacing w:val="-4"/>
          <w:lang w:val="en-US"/>
        </w:rPr>
        <w:t xml:space="preserve"> v. Russia,</w:t>
      </w:r>
      <w:r w:rsidRPr="0079515C">
        <w:rPr>
          <w:rFonts w:cs="Arial"/>
          <w:i/>
          <w:iCs/>
          <w:spacing w:val="-4"/>
          <w:shd w:val="clear" w:color="auto" w:fill="FFFFFF"/>
          <w:lang w:val="en-US"/>
        </w:rPr>
        <w:t xml:space="preserve"> </w:t>
      </w:r>
      <w:r w:rsidRPr="0079515C">
        <w:rPr>
          <w:rFonts w:cs="Arial"/>
          <w:iCs/>
          <w:spacing w:val="-4"/>
          <w:shd w:val="clear" w:color="auto" w:fill="FFFFFF"/>
          <w:lang w:val="en-US"/>
        </w:rPr>
        <w:t>No.</w:t>
      </w:r>
      <w:proofErr w:type="gramEnd"/>
      <w:r w:rsidRPr="0079515C">
        <w:rPr>
          <w:rStyle w:val="apple-converted-space"/>
          <w:rFonts w:cs="Arial"/>
          <w:iCs/>
          <w:spacing w:val="-4"/>
          <w:shd w:val="clear" w:color="auto" w:fill="FFFFFF"/>
          <w:lang w:val="en-US"/>
        </w:rPr>
        <w:t> </w:t>
      </w:r>
      <w:hyperlink r:id="rId34" w:anchor="{&quot;appno&quot;:[&quot;31890/11&quot;]}" w:tgtFrame="_blank" w:history="1">
        <w:proofErr w:type="gramStart"/>
        <w:r w:rsidRPr="0079515C">
          <w:rPr>
            <w:rStyle w:val="Hyperlink"/>
            <w:rFonts w:cs="Arial"/>
            <w:iCs/>
            <w:color w:val="auto"/>
            <w:spacing w:val="-4"/>
            <w:u w:val="none"/>
            <w:shd w:val="clear" w:color="auto" w:fill="FFFFFF"/>
            <w:lang w:val="en-US"/>
          </w:rPr>
          <w:t>31890/11</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October 3, 2013, para.</w:t>
      </w:r>
      <w:proofErr w:type="gramEnd"/>
      <w:r w:rsidRPr="0079515C">
        <w:rPr>
          <w:spacing w:val="-4"/>
          <w:lang w:val="en-US"/>
        </w:rPr>
        <w:t xml:space="preserve"> </w:t>
      </w:r>
      <w:proofErr w:type="gramStart"/>
      <w:r w:rsidRPr="0079515C">
        <w:rPr>
          <w:spacing w:val="-4"/>
          <w:lang w:val="en-US"/>
        </w:rPr>
        <w:t xml:space="preserve">108; </w:t>
      </w:r>
      <w:r w:rsidRPr="0079515C">
        <w:rPr>
          <w:i/>
          <w:spacing w:val="-4"/>
          <w:lang w:val="en-US"/>
        </w:rPr>
        <w:t>Case of</w:t>
      </w:r>
      <w:r w:rsidRPr="0079515C">
        <w:rPr>
          <w:spacing w:val="-4"/>
          <w:lang w:val="en-US"/>
        </w:rPr>
        <w:t xml:space="preserve"> </w:t>
      </w:r>
      <w:proofErr w:type="spellStart"/>
      <w:r w:rsidRPr="0079515C">
        <w:rPr>
          <w:i/>
          <w:spacing w:val="-4"/>
          <w:lang w:val="en-US"/>
        </w:rPr>
        <w:t>Saadi</w:t>
      </w:r>
      <w:proofErr w:type="spellEnd"/>
      <w:r w:rsidRPr="0079515C">
        <w:rPr>
          <w:i/>
          <w:spacing w:val="-4"/>
          <w:lang w:val="en-US"/>
        </w:rPr>
        <w:t xml:space="preserve"> v. Italy </w:t>
      </w:r>
      <w:r w:rsidRPr="0079515C">
        <w:rPr>
          <w:spacing w:val="-4"/>
          <w:lang w:val="en-US"/>
        </w:rPr>
        <w:t>[GS]</w:t>
      </w:r>
      <w:r w:rsidRPr="0079515C">
        <w:rPr>
          <w:i/>
          <w:spacing w:val="-4"/>
          <w:lang w:val="en-US"/>
        </w:rPr>
        <w:t xml:space="preserve">, </w:t>
      </w:r>
      <w:r w:rsidRPr="0079515C">
        <w:rPr>
          <w:rFonts w:cs="Arial"/>
          <w:iCs/>
          <w:spacing w:val="-4"/>
          <w:shd w:val="clear" w:color="auto" w:fill="FFFFFF"/>
          <w:lang w:val="en-US"/>
        </w:rPr>
        <w:t>No.</w:t>
      </w:r>
      <w:proofErr w:type="gramEnd"/>
      <w:r w:rsidRPr="0079515C">
        <w:rPr>
          <w:rStyle w:val="apple-converted-space"/>
          <w:rFonts w:cs="Arial"/>
          <w:iCs/>
          <w:spacing w:val="-4"/>
          <w:shd w:val="clear" w:color="auto" w:fill="FFFFFF"/>
          <w:lang w:val="en-US"/>
        </w:rPr>
        <w:t> </w:t>
      </w:r>
      <w:hyperlink r:id="rId35" w:anchor="{&quot;appno&quot;:[&quot;37201/06&quot;]}" w:tgtFrame="_blank" w:history="1">
        <w:r w:rsidRPr="0079515C">
          <w:rPr>
            <w:rStyle w:val="Hyperlink"/>
            <w:rFonts w:cs="Arial"/>
            <w:iCs/>
            <w:color w:val="auto"/>
            <w:spacing w:val="-4"/>
            <w:u w:val="none"/>
            <w:shd w:val="clear" w:color="auto" w:fill="FFFFFF"/>
            <w:lang w:val="en-US"/>
          </w:rPr>
          <w:t>37201/06</w:t>
        </w:r>
      </w:hyperlink>
      <w:r w:rsidRPr="0079515C">
        <w:rPr>
          <w:spacing w:val="-4"/>
          <w:lang w:val="en-US"/>
        </w:rPr>
        <w:t xml:space="preserve">. </w:t>
      </w:r>
      <w:proofErr w:type="gramStart"/>
      <w:r w:rsidRPr="0079515C">
        <w:rPr>
          <w:spacing w:val="-4"/>
          <w:lang w:val="en-US"/>
        </w:rPr>
        <w:t>Judgment of February 28, 2008, para.</w:t>
      </w:r>
      <w:proofErr w:type="gramEnd"/>
      <w:r w:rsidRPr="0079515C">
        <w:rPr>
          <w:spacing w:val="-4"/>
          <w:lang w:val="en-US"/>
        </w:rPr>
        <w:t xml:space="preserve"> </w:t>
      </w:r>
      <w:proofErr w:type="gramStart"/>
      <w:r w:rsidRPr="0079515C">
        <w:rPr>
          <w:spacing w:val="-4"/>
          <w:lang w:val="en-US"/>
        </w:rPr>
        <w:t>128;</w:t>
      </w:r>
      <w:r w:rsidRPr="0079515C">
        <w:rPr>
          <w:i/>
          <w:spacing w:val="-4"/>
          <w:lang w:val="en-US"/>
        </w:rPr>
        <w:t xml:space="preserve"> Case of Cruz </w:t>
      </w:r>
      <w:proofErr w:type="spellStart"/>
      <w:r w:rsidRPr="0079515C">
        <w:rPr>
          <w:i/>
          <w:spacing w:val="-4"/>
          <w:lang w:val="en-US"/>
        </w:rPr>
        <w:t>Varas</w:t>
      </w:r>
      <w:proofErr w:type="spellEnd"/>
      <w:r w:rsidRPr="0079515C">
        <w:rPr>
          <w:i/>
          <w:spacing w:val="-4"/>
          <w:lang w:val="en-US"/>
        </w:rPr>
        <w:t xml:space="preserve"> </w:t>
      </w:r>
      <w:r>
        <w:rPr>
          <w:i/>
          <w:spacing w:val="-4"/>
          <w:lang w:val="en-US"/>
        </w:rPr>
        <w:t>and Others</w:t>
      </w:r>
      <w:r w:rsidRPr="0079515C">
        <w:rPr>
          <w:i/>
          <w:spacing w:val="-4"/>
          <w:lang w:val="en-US"/>
        </w:rPr>
        <w:t xml:space="preserve"> v. Sweden</w:t>
      </w:r>
      <w:r w:rsidRPr="0079515C">
        <w:rPr>
          <w:spacing w:val="-4"/>
          <w:lang w:val="en-US"/>
        </w:rPr>
        <w:t>, No.</w:t>
      </w:r>
      <w:proofErr w:type="gramEnd"/>
      <w:r w:rsidRPr="0079515C">
        <w:rPr>
          <w:spacing w:val="-4"/>
          <w:lang w:val="en-US"/>
        </w:rPr>
        <w:t xml:space="preserve"> </w:t>
      </w:r>
      <w:hyperlink r:id="rId36" w:anchor="{&quot;appno&quot;:[&quot;15576/89&quot;]}" w:tgtFrame="_blank" w:history="1">
        <w:proofErr w:type="gramStart"/>
        <w:r w:rsidRPr="0079515C">
          <w:rPr>
            <w:spacing w:val="-4"/>
            <w:lang w:val="en-US"/>
          </w:rPr>
          <w:t>15576/89</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March 20, 1991, paras.</w:t>
      </w:r>
      <w:proofErr w:type="gramEnd"/>
      <w:r w:rsidRPr="0079515C">
        <w:rPr>
          <w:spacing w:val="-4"/>
          <w:lang w:val="en-US"/>
        </w:rPr>
        <w:t xml:space="preserve"> </w:t>
      </w:r>
      <w:proofErr w:type="gramStart"/>
      <w:r w:rsidRPr="0079515C">
        <w:rPr>
          <w:spacing w:val="-4"/>
          <w:lang w:val="en-US"/>
        </w:rPr>
        <w:t>75 and 76;</w:t>
      </w:r>
      <w:r w:rsidRPr="0079515C">
        <w:rPr>
          <w:i/>
          <w:spacing w:val="-4"/>
          <w:lang w:val="en-US"/>
        </w:rPr>
        <w:t xml:space="preserve"> Case of</w:t>
      </w:r>
      <w:r w:rsidRPr="0079515C">
        <w:rPr>
          <w:spacing w:val="-4"/>
          <w:lang w:val="en-US"/>
        </w:rPr>
        <w:t xml:space="preserve"> </w:t>
      </w:r>
      <w:proofErr w:type="spellStart"/>
      <w:r w:rsidRPr="0079515C">
        <w:rPr>
          <w:rStyle w:val="s6b621b36"/>
          <w:rFonts w:cs="Arial"/>
          <w:i/>
          <w:iCs/>
          <w:spacing w:val="-4"/>
          <w:shd w:val="clear" w:color="auto" w:fill="FFFFFF"/>
          <w:lang w:val="en-US"/>
        </w:rPr>
        <w:t>Vilvarajah</w:t>
      </w:r>
      <w:proofErr w:type="spellEnd"/>
      <w:r w:rsidRPr="0079515C">
        <w:rPr>
          <w:rStyle w:val="s6b621b36"/>
          <w:rFonts w:cs="Arial"/>
          <w:i/>
          <w:iCs/>
          <w:spacing w:val="-4"/>
          <w:shd w:val="clear" w:color="auto" w:fill="FFFFFF"/>
          <w:lang w:val="en-US"/>
        </w:rPr>
        <w:t xml:space="preserve"> and Others v.</w:t>
      </w:r>
      <w:proofErr w:type="gramEnd"/>
      <w:r w:rsidRPr="0079515C">
        <w:rPr>
          <w:i/>
          <w:spacing w:val="-4"/>
          <w:lang w:val="en-US"/>
        </w:rPr>
        <w:t xml:space="preserve"> The United Kingdom</w:t>
      </w:r>
      <w:r w:rsidRPr="0079515C">
        <w:rPr>
          <w:spacing w:val="-4"/>
          <w:lang w:val="en-US"/>
        </w:rPr>
        <w:t xml:space="preserve">, Nos. </w:t>
      </w:r>
      <w:hyperlink r:id="rId37" w:anchor="{&quot;appno&quot;:[&quot;13163/87&quot;]}" w:tgtFrame="_blank" w:history="1">
        <w:proofErr w:type="gramStart"/>
        <w:r w:rsidRPr="0079515C">
          <w:rPr>
            <w:rStyle w:val="Hyperlink"/>
            <w:rFonts w:cs="Arial"/>
            <w:iCs/>
            <w:color w:val="auto"/>
            <w:spacing w:val="-4"/>
            <w:u w:val="none"/>
            <w:shd w:val="clear" w:color="auto" w:fill="FFFFFF"/>
            <w:lang w:val="en-US"/>
          </w:rPr>
          <w:t>13163/87</w:t>
        </w:r>
      </w:hyperlink>
      <w:r w:rsidRPr="0079515C">
        <w:rPr>
          <w:rStyle w:val="s6b621b36"/>
          <w:rFonts w:cs="Arial"/>
          <w:iCs/>
          <w:spacing w:val="-4"/>
          <w:shd w:val="clear" w:color="auto" w:fill="FFFFFF"/>
          <w:lang w:val="en-US"/>
        </w:rPr>
        <w:t xml:space="preserve">, 13164/87, 13165/87 13447/87, and </w:t>
      </w:r>
      <w:hyperlink r:id="rId38" w:anchor="{&quot;appno&quot;:[&quot;13448/87&quot;]}" w:tgtFrame="_blank" w:history="1">
        <w:r w:rsidRPr="0079515C">
          <w:rPr>
            <w:rStyle w:val="Hyperlink"/>
            <w:rFonts w:cs="Arial"/>
            <w:iCs/>
            <w:color w:val="auto"/>
            <w:spacing w:val="-4"/>
            <w:u w:val="none"/>
            <w:shd w:val="clear" w:color="auto" w:fill="FFFFFF"/>
            <w:lang w:val="en-US"/>
          </w:rPr>
          <w:t>13448/87</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October 30, 1991, para.</w:t>
      </w:r>
      <w:proofErr w:type="gramEnd"/>
      <w:r w:rsidRPr="0079515C">
        <w:rPr>
          <w:spacing w:val="-4"/>
          <w:lang w:val="en-US"/>
        </w:rPr>
        <w:t xml:space="preserve"> </w:t>
      </w:r>
      <w:proofErr w:type="gramStart"/>
      <w:r w:rsidRPr="0079515C">
        <w:rPr>
          <w:spacing w:val="-4"/>
          <w:lang w:val="en-US"/>
        </w:rPr>
        <w:t xml:space="preserve">107, and </w:t>
      </w:r>
      <w:r w:rsidRPr="0079515C">
        <w:rPr>
          <w:i/>
          <w:spacing w:val="-4"/>
          <w:lang w:val="en-US"/>
        </w:rPr>
        <w:t xml:space="preserve">Case of </w:t>
      </w:r>
      <w:proofErr w:type="spellStart"/>
      <w:r w:rsidRPr="0079515C">
        <w:rPr>
          <w:i/>
          <w:spacing w:val="-4"/>
          <w:lang w:val="en-US"/>
        </w:rPr>
        <w:t>Mamatkulov</w:t>
      </w:r>
      <w:proofErr w:type="spellEnd"/>
      <w:r w:rsidRPr="0079515C">
        <w:rPr>
          <w:i/>
          <w:spacing w:val="-4"/>
          <w:lang w:val="en-US"/>
        </w:rPr>
        <w:t xml:space="preserve"> and </w:t>
      </w:r>
      <w:proofErr w:type="spellStart"/>
      <w:r w:rsidRPr="0079515C">
        <w:rPr>
          <w:i/>
          <w:spacing w:val="-4"/>
          <w:lang w:val="en-US"/>
        </w:rPr>
        <w:t>Askarov</w:t>
      </w:r>
      <w:proofErr w:type="spellEnd"/>
      <w:r w:rsidRPr="0079515C">
        <w:rPr>
          <w:i/>
          <w:spacing w:val="-4"/>
          <w:lang w:val="en-US"/>
        </w:rPr>
        <w:t xml:space="preserve"> v. Turkey </w:t>
      </w:r>
      <w:r w:rsidRPr="0079515C">
        <w:rPr>
          <w:spacing w:val="-4"/>
          <w:lang w:val="en-US"/>
        </w:rPr>
        <w:t>[GS]</w:t>
      </w:r>
      <w:r w:rsidRPr="0079515C">
        <w:rPr>
          <w:i/>
          <w:spacing w:val="-4"/>
          <w:lang w:val="en-US"/>
        </w:rPr>
        <w:t xml:space="preserve">, </w:t>
      </w:r>
      <w:r w:rsidRPr="0079515C">
        <w:rPr>
          <w:rFonts w:cs="Arial"/>
          <w:iCs/>
          <w:spacing w:val="-4"/>
          <w:shd w:val="clear" w:color="auto" w:fill="FFFFFF"/>
          <w:lang w:val="en-US"/>
        </w:rPr>
        <w:t>Nos.</w:t>
      </w:r>
      <w:proofErr w:type="gramEnd"/>
      <w:r w:rsidRPr="0079515C">
        <w:rPr>
          <w:rStyle w:val="apple-converted-space"/>
          <w:rFonts w:cs="Arial"/>
          <w:iCs/>
          <w:spacing w:val="-4"/>
          <w:shd w:val="clear" w:color="auto" w:fill="FFFFFF"/>
          <w:lang w:val="en-US"/>
        </w:rPr>
        <w:t> </w:t>
      </w:r>
      <w:hyperlink r:id="rId39" w:anchor="{&quot;appno&quot;:[&quot;46827/99&quot;]}" w:tgtFrame="_blank" w:history="1">
        <w:proofErr w:type="gramStart"/>
        <w:r w:rsidRPr="0079515C">
          <w:rPr>
            <w:rStyle w:val="Hyperlink"/>
            <w:rFonts w:cs="Arial"/>
            <w:iCs/>
            <w:color w:val="auto"/>
            <w:spacing w:val="-4"/>
            <w:u w:val="none"/>
            <w:shd w:val="clear" w:color="auto" w:fill="FFFFFF"/>
            <w:lang w:val="en-US"/>
          </w:rPr>
          <w:t>46827/99</w:t>
        </w:r>
      </w:hyperlink>
      <w:r w:rsidRPr="0079515C">
        <w:rPr>
          <w:rStyle w:val="apple-converted-space"/>
          <w:rFonts w:cs="Arial"/>
          <w:iCs/>
          <w:spacing w:val="-4"/>
          <w:shd w:val="clear" w:color="auto" w:fill="FFFFFF"/>
          <w:lang w:val="en-US"/>
        </w:rPr>
        <w:t xml:space="preserve"> and </w:t>
      </w:r>
      <w:hyperlink r:id="rId40" w:anchor="{&quot;appno&quot;:[&quot;46951/99&quot;]}" w:tgtFrame="_blank" w:history="1">
        <w:r w:rsidRPr="0079515C">
          <w:rPr>
            <w:rStyle w:val="Hyperlink"/>
            <w:rFonts w:cs="Arial"/>
            <w:iCs/>
            <w:color w:val="auto"/>
            <w:spacing w:val="-4"/>
            <w:u w:val="none"/>
            <w:shd w:val="clear" w:color="auto" w:fill="FFFFFF"/>
            <w:lang w:val="en-US"/>
          </w:rPr>
          <w:t>46951/99</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February 4, 2005, para.</w:t>
      </w:r>
      <w:proofErr w:type="gramEnd"/>
      <w:r w:rsidRPr="0079515C">
        <w:rPr>
          <w:spacing w:val="-4"/>
          <w:lang w:val="en-US"/>
        </w:rPr>
        <w:t xml:space="preserve"> 69. Also, the European Court has indicated that: “the Court must be satisfied that the assessment made by the authorities of the Contracting State is adequate and sufficiently supported by domestic material as well as by material originating from other reliable and objective sources such as, for instance, other Contracting or non-Contracting States, agencies of the United Nations and reputable non-governmental </w:t>
      </w:r>
      <w:proofErr w:type="spellStart"/>
      <w:r w:rsidRPr="0079515C">
        <w:rPr>
          <w:spacing w:val="-4"/>
          <w:lang w:val="en-US"/>
        </w:rPr>
        <w:t>organisations</w:t>
      </w:r>
      <w:proofErr w:type="spellEnd"/>
      <w:r w:rsidRPr="0079515C">
        <w:rPr>
          <w:spacing w:val="-4"/>
          <w:lang w:val="en-US"/>
        </w:rPr>
        <w:t xml:space="preserve">. […] Accordingly, the Court will first assess in detail the relevant arguments raised by the applicant in the extradition proceedings and the consideration given to them by the competent authorities.” </w:t>
      </w:r>
      <w:proofErr w:type="gramStart"/>
      <w:r w:rsidRPr="0079515C">
        <w:rPr>
          <w:i/>
          <w:spacing w:val="-4"/>
          <w:lang w:val="en-US"/>
        </w:rPr>
        <w:t xml:space="preserve">Case of </w:t>
      </w:r>
      <w:proofErr w:type="spellStart"/>
      <w:r w:rsidRPr="0079515C">
        <w:rPr>
          <w:i/>
          <w:spacing w:val="-4"/>
          <w:lang w:val="en-US"/>
        </w:rPr>
        <w:t>Nizomkhon</w:t>
      </w:r>
      <w:proofErr w:type="spellEnd"/>
      <w:r w:rsidRPr="0079515C">
        <w:rPr>
          <w:i/>
          <w:spacing w:val="-4"/>
          <w:lang w:val="en-US"/>
        </w:rPr>
        <w:t xml:space="preserve"> </w:t>
      </w:r>
      <w:proofErr w:type="spellStart"/>
      <w:r w:rsidRPr="0079515C">
        <w:rPr>
          <w:i/>
          <w:spacing w:val="-4"/>
          <w:lang w:val="en-US"/>
        </w:rPr>
        <w:t>Dzhurayev</w:t>
      </w:r>
      <w:proofErr w:type="spellEnd"/>
      <w:r w:rsidRPr="0079515C">
        <w:rPr>
          <w:i/>
          <w:spacing w:val="-4"/>
          <w:lang w:val="en-US"/>
        </w:rPr>
        <w:t xml:space="preserve"> v. Russia, </w:t>
      </w:r>
      <w:r w:rsidRPr="0079515C">
        <w:rPr>
          <w:rFonts w:cs="Arial"/>
          <w:iCs/>
          <w:spacing w:val="-4"/>
          <w:shd w:val="clear" w:color="auto" w:fill="FFFFFF"/>
          <w:lang w:val="en-US"/>
        </w:rPr>
        <w:t>No.</w:t>
      </w:r>
      <w:proofErr w:type="gramEnd"/>
      <w:r w:rsidR="00397BB4">
        <w:fldChar w:fldCharType="begin"/>
      </w:r>
      <w:r w:rsidR="00397BB4" w:rsidRPr="000F66F8">
        <w:rPr>
          <w:lang w:val="en-US"/>
        </w:rPr>
        <w:instrText xml:space="preserve"> HYPERLINK "http://hudoc.echr.coe.int/sites/eng/pages/search.aspx" \l "{\"appno\":[\"31890/11\"]}" \t</w:instrText>
      </w:r>
      <w:r w:rsidR="00397BB4" w:rsidRPr="000F66F8">
        <w:rPr>
          <w:lang w:val="en-US"/>
        </w:rPr>
        <w:instrText xml:space="preserve"> "_blank" </w:instrText>
      </w:r>
      <w:r w:rsidR="00397BB4">
        <w:fldChar w:fldCharType="separate"/>
      </w:r>
      <w:proofErr w:type="gramStart"/>
      <w:r w:rsidRPr="0079515C">
        <w:rPr>
          <w:rStyle w:val="Hyperlink"/>
          <w:rFonts w:cs="Arial"/>
          <w:iCs/>
          <w:color w:val="auto"/>
          <w:spacing w:val="-4"/>
          <w:u w:val="none"/>
          <w:shd w:val="clear" w:color="auto" w:fill="FFFFFF"/>
          <w:lang w:val="en-US"/>
        </w:rPr>
        <w:t>31890/11</w:t>
      </w:r>
      <w:r w:rsidR="00397BB4">
        <w:rPr>
          <w:rStyle w:val="Hyperlink"/>
          <w:rFonts w:cs="Arial"/>
          <w:iCs/>
          <w:color w:val="auto"/>
          <w:spacing w:val="-4"/>
          <w:u w:val="none"/>
          <w:shd w:val="clear" w:color="auto" w:fill="FFFFFF"/>
          <w:lang w:val="en-US"/>
        </w:rPr>
        <w:fldChar w:fldCharType="end"/>
      </w:r>
      <w:r w:rsidRPr="0079515C">
        <w:rPr>
          <w:rFonts w:cs="Arial"/>
          <w:iCs/>
          <w:spacing w:val="-4"/>
          <w:shd w:val="clear" w:color="auto" w:fill="FFFFFF"/>
          <w:lang w:val="en-US"/>
        </w:rPr>
        <w:t>.</w:t>
      </w:r>
      <w:proofErr w:type="gramEnd"/>
      <w:r w:rsidRPr="0079515C">
        <w:rPr>
          <w:rFonts w:cs="Arial"/>
          <w:iCs/>
          <w:spacing w:val="-4"/>
          <w:shd w:val="clear" w:color="auto" w:fill="FFFFFF"/>
          <w:lang w:val="en-US"/>
        </w:rPr>
        <w:t xml:space="preserve"> </w:t>
      </w:r>
      <w:proofErr w:type="gramStart"/>
      <w:r w:rsidRPr="0079515C">
        <w:rPr>
          <w:rFonts w:cs="Arial"/>
          <w:iCs/>
          <w:spacing w:val="-4"/>
          <w:shd w:val="clear" w:color="auto" w:fill="FFFFFF"/>
          <w:lang w:val="en-US"/>
        </w:rPr>
        <w:t>Judgment of October 3, 2013, paras.</w:t>
      </w:r>
      <w:proofErr w:type="gramEnd"/>
      <w:r w:rsidRPr="0079515C">
        <w:rPr>
          <w:rFonts w:cs="Arial"/>
          <w:iCs/>
          <w:spacing w:val="-4"/>
          <w:shd w:val="clear" w:color="auto" w:fill="FFFFFF"/>
          <w:lang w:val="en-US"/>
        </w:rPr>
        <w:t xml:space="preserve"> </w:t>
      </w:r>
      <w:proofErr w:type="gramStart"/>
      <w:r w:rsidRPr="0079515C">
        <w:rPr>
          <w:rFonts w:cs="Arial"/>
          <w:iCs/>
          <w:spacing w:val="-4"/>
          <w:shd w:val="clear" w:color="auto" w:fill="FFFFFF"/>
          <w:lang w:val="en-US"/>
        </w:rPr>
        <w:t xml:space="preserve">108 and 114, and </w:t>
      </w:r>
      <w:r w:rsidRPr="0079515C">
        <w:rPr>
          <w:rFonts w:cs="Arial"/>
          <w:i/>
          <w:iCs/>
          <w:spacing w:val="-4"/>
          <w:shd w:val="clear" w:color="auto" w:fill="FFFFFF"/>
          <w:lang w:val="en-US"/>
        </w:rPr>
        <w:t>Cf.</w:t>
      </w:r>
      <w:r w:rsidRPr="0079515C">
        <w:rPr>
          <w:rFonts w:cs="Arial"/>
          <w:iCs/>
          <w:spacing w:val="-4"/>
          <w:shd w:val="clear" w:color="auto" w:fill="FFFFFF"/>
          <w:lang w:val="en-US"/>
        </w:rPr>
        <w:t xml:space="preserve"> </w:t>
      </w:r>
      <w:r w:rsidRPr="0079515C">
        <w:rPr>
          <w:i/>
          <w:spacing w:val="-4"/>
          <w:lang w:val="en-US"/>
        </w:rPr>
        <w:t xml:space="preserve">Case of Salah </w:t>
      </w:r>
      <w:proofErr w:type="spellStart"/>
      <w:r w:rsidRPr="0079515C">
        <w:rPr>
          <w:i/>
          <w:spacing w:val="-4"/>
          <w:lang w:val="en-US"/>
        </w:rPr>
        <w:t>Sheekh</w:t>
      </w:r>
      <w:proofErr w:type="spellEnd"/>
      <w:r w:rsidRPr="0079515C">
        <w:rPr>
          <w:i/>
          <w:spacing w:val="-4"/>
          <w:lang w:val="en-US"/>
        </w:rPr>
        <w:t xml:space="preserve"> v.</w:t>
      </w:r>
      <w:proofErr w:type="gramEnd"/>
      <w:r w:rsidRPr="0079515C">
        <w:rPr>
          <w:i/>
          <w:spacing w:val="-4"/>
          <w:lang w:val="en-US"/>
        </w:rPr>
        <w:t xml:space="preserve"> The Netherlands, </w:t>
      </w:r>
      <w:r w:rsidRPr="0079515C">
        <w:rPr>
          <w:rFonts w:cs="Arial"/>
          <w:iCs/>
          <w:spacing w:val="-4"/>
          <w:shd w:val="clear" w:color="auto" w:fill="FFFFFF"/>
          <w:lang w:val="en-US"/>
        </w:rPr>
        <w:t>No.</w:t>
      </w:r>
      <w:hyperlink r:id="rId41" w:anchor="{&quot;appno&quot;:[&quot;1948/04&quot;]}" w:tgtFrame="_blank" w:history="1">
        <w:proofErr w:type="gramStart"/>
        <w:r w:rsidRPr="0079515C">
          <w:rPr>
            <w:rStyle w:val="Hyperlink"/>
            <w:rFonts w:cs="Arial"/>
            <w:iCs/>
            <w:color w:val="auto"/>
            <w:spacing w:val="-4"/>
            <w:u w:val="none"/>
            <w:shd w:val="clear" w:color="auto" w:fill="FFFFFF"/>
            <w:lang w:val="en-US"/>
          </w:rPr>
          <w:t>1948/04</w:t>
        </w:r>
      </w:hyperlink>
      <w:r w:rsidRPr="0079515C">
        <w:rPr>
          <w:spacing w:val="-4"/>
          <w:lang w:val="en-US"/>
        </w:rPr>
        <w:t>.</w:t>
      </w:r>
      <w:proofErr w:type="gramEnd"/>
      <w:r w:rsidRPr="0079515C">
        <w:rPr>
          <w:spacing w:val="-4"/>
          <w:lang w:val="en-US"/>
        </w:rPr>
        <w:t xml:space="preserve"> </w:t>
      </w:r>
      <w:proofErr w:type="gramStart"/>
      <w:r w:rsidRPr="0079515C">
        <w:rPr>
          <w:spacing w:val="-4"/>
          <w:lang w:val="en-US"/>
        </w:rPr>
        <w:t>Judgment of January 11, 2007, para.</w:t>
      </w:r>
      <w:proofErr w:type="gramEnd"/>
      <w:r w:rsidRPr="0079515C">
        <w:rPr>
          <w:spacing w:val="-4"/>
          <w:lang w:val="en-US"/>
        </w:rPr>
        <w:t xml:space="preserve"> </w:t>
      </w:r>
      <w:proofErr w:type="gramStart"/>
      <w:r w:rsidRPr="0079515C">
        <w:rPr>
          <w:spacing w:val="-4"/>
          <w:lang w:val="en-US"/>
        </w:rPr>
        <w:t xml:space="preserve">136, and </w:t>
      </w:r>
      <w:r w:rsidRPr="0079515C">
        <w:rPr>
          <w:i/>
          <w:spacing w:val="-4"/>
          <w:lang w:val="en-US"/>
        </w:rPr>
        <w:t xml:space="preserve">Case of </w:t>
      </w:r>
      <w:proofErr w:type="spellStart"/>
      <w:r w:rsidRPr="0079515C">
        <w:rPr>
          <w:i/>
          <w:spacing w:val="-4"/>
          <w:lang w:val="en-US"/>
        </w:rPr>
        <w:t>Ismoilov</w:t>
      </w:r>
      <w:proofErr w:type="spellEnd"/>
      <w:r w:rsidRPr="0079515C">
        <w:rPr>
          <w:i/>
          <w:spacing w:val="-4"/>
          <w:lang w:val="en-US"/>
        </w:rPr>
        <w:t xml:space="preserve"> </w:t>
      </w:r>
      <w:r>
        <w:rPr>
          <w:i/>
          <w:spacing w:val="-4"/>
          <w:lang w:val="en-US"/>
        </w:rPr>
        <w:t>and Others</w:t>
      </w:r>
      <w:r w:rsidRPr="0079515C">
        <w:rPr>
          <w:i/>
          <w:spacing w:val="-4"/>
          <w:lang w:val="en-US"/>
        </w:rPr>
        <w:t xml:space="preserve"> v. Russia, </w:t>
      </w:r>
      <w:r w:rsidRPr="0079515C">
        <w:rPr>
          <w:rFonts w:cs="Arial"/>
          <w:iCs/>
          <w:spacing w:val="-4"/>
          <w:shd w:val="clear" w:color="auto" w:fill="FFFFFF"/>
          <w:lang w:val="en-US"/>
        </w:rPr>
        <w:t>No.</w:t>
      </w:r>
      <w:proofErr w:type="gramEnd"/>
      <w:r w:rsidR="00397BB4">
        <w:fldChar w:fldCharType="begin"/>
      </w:r>
      <w:r w:rsidR="00397BB4" w:rsidRPr="000F66F8">
        <w:rPr>
          <w:lang w:val="en-US"/>
        </w:rPr>
        <w:instrText xml:space="preserve"> HYPERLINK "http://hudoc.echr.coe.int/sites/eng/pages/search.aspx" \l "{\"appno\":[\"2947/06\"]}" \t "_blank" </w:instrText>
      </w:r>
      <w:r w:rsidR="00397BB4">
        <w:fldChar w:fldCharType="separate"/>
      </w:r>
      <w:proofErr w:type="gramStart"/>
      <w:r w:rsidRPr="0079515C">
        <w:rPr>
          <w:rStyle w:val="Hyperlink"/>
          <w:rFonts w:cs="Arial"/>
          <w:iCs/>
          <w:color w:val="auto"/>
          <w:spacing w:val="-4"/>
          <w:u w:val="none"/>
          <w:shd w:val="clear" w:color="auto" w:fill="FFFFFF"/>
          <w:lang w:val="en-US"/>
        </w:rPr>
        <w:t>2947/06</w:t>
      </w:r>
      <w:r w:rsidR="00397BB4">
        <w:rPr>
          <w:rStyle w:val="Hyperlink"/>
          <w:rFonts w:cs="Arial"/>
          <w:iCs/>
          <w:color w:val="auto"/>
          <w:spacing w:val="-4"/>
          <w:u w:val="none"/>
          <w:shd w:val="clear" w:color="auto" w:fill="FFFFFF"/>
          <w:lang w:val="en-US"/>
        </w:rPr>
        <w:fldChar w:fldCharType="end"/>
      </w:r>
      <w:r w:rsidRPr="0079515C">
        <w:rPr>
          <w:rFonts w:cs="Arial"/>
          <w:iCs/>
          <w:spacing w:val="-4"/>
          <w:shd w:val="clear" w:color="auto" w:fill="FFFFFF"/>
          <w:lang w:val="en-US"/>
        </w:rPr>
        <w:t>.</w:t>
      </w:r>
      <w:proofErr w:type="gramEnd"/>
      <w:r w:rsidRPr="0079515C">
        <w:rPr>
          <w:rFonts w:cs="Arial"/>
          <w:iCs/>
          <w:spacing w:val="-4"/>
          <w:shd w:val="clear" w:color="auto" w:fill="FFFFFF"/>
          <w:lang w:val="en-US"/>
        </w:rPr>
        <w:t xml:space="preserve"> Judgment of April 24, 2008. </w:t>
      </w:r>
      <w:proofErr w:type="gramStart"/>
      <w:r w:rsidRPr="0079515C">
        <w:rPr>
          <w:rFonts w:cs="Arial"/>
          <w:iCs/>
          <w:spacing w:val="-4"/>
          <w:shd w:val="clear" w:color="auto" w:fill="FFFFFF"/>
          <w:lang w:val="en-US"/>
        </w:rPr>
        <w:t>para</w:t>
      </w:r>
      <w:proofErr w:type="gramEnd"/>
      <w:r w:rsidRPr="0079515C">
        <w:rPr>
          <w:rFonts w:cs="Arial"/>
          <w:iCs/>
          <w:spacing w:val="-4"/>
          <w:shd w:val="clear" w:color="auto" w:fill="FFFFFF"/>
          <w:lang w:val="en-US"/>
        </w:rPr>
        <w:t xml:space="preserve">. 120. </w:t>
      </w:r>
    </w:p>
  </w:footnote>
  <w:footnote w:id="220">
    <w:p w14:paraId="33A510A4" w14:textId="784AD14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Human Rights Committee has ruled similarly in several decisions in individual cases, stating that it is not possible to extradite, deport, expel or remove in any way a person from the territory of a State if there are sufficient reasons to believe that there is a risk of irreparable harm to his rights, and without first taking into consideration that person’s arguments concerning the existing risk. </w:t>
      </w:r>
      <w:r w:rsidRPr="0079515C">
        <w:rPr>
          <w:i/>
          <w:spacing w:val="-4"/>
          <w:lang w:val="en-US"/>
        </w:rPr>
        <w:t>Cf.</w:t>
      </w:r>
      <w:r w:rsidRPr="0079515C">
        <w:rPr>
          <w:spacing w:val="-4"/>
          <w:lang w:val="en-US"/>
        </w:rPr>
        <w:t xml:space="preserve"> UN, Human Rights Committee, </w:t>
      </w:r>
      <w:r w:rsidRPr="0079515C">
        <w:rPr>
          <w:i/>
          <w:iCs/>
          <w:spacing w:val="-4"/>
          <w:lang w:val="en-US"/>
        </w:rPr>
        <w:t xml:space="preserve">Joseph Kindler v. Canada, </w:t>
      </w:r>
      <w:r w:rsidRPr="0079515C">
        <w:rPr>
          <w:spacing w:val="-4"/>
          <w:lang w:val="en-US"/>
        </w:rPr>
        <w:t>Communication No. 470/1991, UN Doc.</w:t>
      </w:r>
      <w:r w:rsidRPr="0079515C">
        <w:rPr>
          <w:i/>
          <w:iCs/>
          <w:spacing w:val="-4"/>
          <w:lang w:val="en-US"/>
        </w:rPr>
        <w:t xml:space="preserve"> </w:t>
      </w:r>
      <w:r w:rsidRPr="0079515C">
        <w:rPr>
          <w:spacing w:val="-4"/>
          <w:lang w:val="en-US"/>
        </w:rPr>
        <w:t xml:space="preserve">CCPR/C/48/D/470/1991, November 11, 1993, </w:t>
      </w:r>
      <w:proofErr w:type="gramStart"/>
      <w:r w:rsidRPr="0079515C">
        <w:rPr>
          <w:spacing w:val="-4"/>
          <w:lang w:val="en-US"/>
        </w:rPr>
        <w:t>para</w:t>
      </w:r>
      <w:proofErr w:type="gramEnd"/>
      <w:r w:rsidRPr="0079515C">
        <w:rPr>
          <w:spacing w:val="-4"/>
          <w:lang w:val="en-US"/>
        </w:rPr>
        <w:t xml:space="preserve">. </w:t>
      </w:r>
      <w:proofErr w:type="gramStart"/>
      <w:r w:rsidRPr="0079515C">
        <w:rPr>
          <w:spacing w:val="-4"/>
          <w:lang w:val="en-US"/>
        </w:rPr>
        <w:t>6.2</w:t>
      </w:r>
      <w:r w:rsidRPr="0079515C">
        <w:rPr>
          <w:i/>
          <w:iCs/>
          <w:spacing w:val="-4"/>
          <w:lang w:val="en-US"/>
        </w:rPr>
        <w:t xml:space="preserve">; Charles </w:t>
      </w:r>
      <w:proofErr w:type="spellStart"/>
      <w:r w:rsidRPr="0079515C">
        <w:rPr>
          <w:i/>
          <w:iCs/>
          <w:spacing w:val="-4"/>
          <w:lang w:val="en-US"/>
        </w:rPr>
        <w:t>Chitat</w:t>
      </w:r>
      <w:proofErr w:type="spellEnd"/>
      <w:r w:rsidRPr="0079515C">
        <w:rPr>
          <w:i/>
          <w:iCs/>
          <w:spacing w:val="-4"/>
          <w:lang w:val="en-US"/>
        </w:rPr>
        <w:t xml:space="preserve"> Ng v. Canada, </w:t>
      </w:r>
      <w:r w:rsidRPr="0079515C">
        <w:rPr>
          <w:spacing w:val="-4"/>
          <w:lang w:val="en-US"/>
        </w:rPr>
        <w:t>Communication No. 469/991, UN Doc.</w:t>
      </w:r>
      <w:r w:rsidRPr="0079515C">
        <w:rPr>
          <w:i/>
          <w:iCs/>
          <w:spacing w:val="-4"/>
          <w:lang w:val="en-US"/>
        </w:rPr>
        <w:t xml:space="preserve"> </w:t>
      </w:r>
      <w:r w:rsidRPr="0079515C">
        <w:rPr>
          <w:spacing w:val="-4"/>
          <w:lang w:val="en-US"/>
        </w:rPr>
        <w:t>CCPR/C/49/D/469/1991, January 7, 1994, para.</w:t>
      </w:r>
      <w:proofErr w:type="gramEnd"/>
      <w:r w:rsidRPr="0079515C">
        <w:rPr>
          <w:spacing w:val="-4"/>
          <w:lang w:val="en-US"/>
        </w:rPr>
        <w:t xml:space="preserve"> </w:t>
      </w:r>
      <w:proofErr w:type="gramStart"/>
      <w:r w:rsidRPr="0079515C">
        <w:rPr>
          <w:spacing w:val="-4"/>
          <w:lang w:val="en-US"/>
        </w:rPr>
        <w:t xml:space="preserve">6.2; </w:t>
      </w:r>
      <w:r w:rsidRPr="0079515C">
        <w:rPr>
          <w:i/>
          <w:iCs/>
          <w:spacing w:val="-4"/>
          <w:lang w:val="en-US"/>
        </w:rPr>
        <w:t xml:space="preserve">Jonny Rubin </w:t>
      </w:r>
      <w:proofErr w:type="spellStart"/>
      <w:r w:rsidRPr="0079515C">
        <w:rPr>
          <w:i/>
          <w:iCs/>
          <w:spacing w:val="-4"/>
          <w:lang w:val="en-US"/>
        </w:rPr>
        <w:t>Byahuranga</w:t>
      </w:r>
      <w:proofErr w:type="spellEnd"/>
      <w:r w:rsidRPr="0079515C">
        <w:rPr>
          <w:i/>
          <w:iCs/>
          <w:spacing w:val="-4"/>
          <w:lang w:val="en-US"/>
        </w:rPr>
        <w:t xml:space="preserve"> v. Denmark, </w:t>
      </w:r>
      <w:r w:rsidRPr="0079515C">
        <w:rPr>
          <w:spacing w:val="-4"/>
          <w:lang w:val="en-US"/>
        </w:rPr>
        <w:t>Communication No. 1222/2003, UN Doc.</w:t>
      </w:r>
      <w:r w:rsidRPr="0079515C">
        <w:rPr>
          <w:i/>
          <w:iCs/>
          <w:spacing w:val="-4"/>
          <w:lang w:val="en-US"/>
        </w:rPr>
        <w:t xml:space="preserve"> </w:t>
      </w:r>
      <w:r w:rsidRPr="0039093A">
        <w:rPr>
          <w:spacing w:val="-4"/>
        </w:rPr>
        <w:t xml:space="preserve">CCPR/C/82/D/1222/2003, </w:t>
      </w:r>
      <w:proofErr w:type="spellStart"/>
      <w:r w:rsidRPr="0039093A">
        <w:rPr>
          <w:spacing w:val="-4"/>
        </w:rPr>
        <w:t>December</w:t>
      </w:r>
      <w:proofErr w:type="spellEnd"/>
      <w:r w:rsidRPr="0039093A">
        <w:rPr>
          <w:spacing w:val="-4"/>
        </w:rPr>
        <w:t xml:space="preserve"> 9, 2004, para.</w:t>
      </w:r>
      <w:proofErr w:type="gramEnd"/>
      <w:r w:rsidRPr="0039093A">
        <w:rPr>
          <w:spacing w:val="-4"/>
        </w:rPr>
        <w:t xml:space="preserve"> 11.3; </w:t>
      </w:r>
      <w:r w:rsidRPr="0039093A">
        <w:rPr>
          <w:i/>
          <w:iCs/>
          <w:spacing w:val="-4"/>
        </w:rPr>
        <w:t xml:space="preserve">Jama </w:t>
      </w:r>
      <w:proofErr w:type="spellStart"/>
      <w:r w:rsidRPr="0039093A">
        <w:rPr>
          <w:i/>
          <w:iCs/>
          <w:spacing w:val="-4"/>
        </w:rPr>
        <w:t>Warsame</w:t>
      </w:r>
      <w:proofErr w:type="spellEnd"/>
      <w:r w:rsidRPr="0039093A">
        <w:rPr>
          <w:i/>
          <w:iCs/>
          <w:spacing w:val="-4"/>
        </w:rPr>
        <w:t xml:space="preserve"> v. </w:t>
      </w:r>
      <w:proofErr w:type="spellStart"/>
      <w:r w:rsidRPr="0039093A">
        <w:rPr>
          <w:i/>
          <w:iCs/>
          <w:spacing w:val="-4"/>
        </w:rPr>
        <w:t>Canada</w:t>
      </w:r>
      <w:proofErr w:type="spellEnd"/>
      <w:r w:rsidRPr="0039093A">
        <w:rPr>
          <w:i/>
          <w:iCs/>
          <w:spacing w:val="-4"/>
        </w:rPr>
        <w:t xml:space="preserve">, </w:t>
      </w:r>
      <w:proofErr w:type="spellStart"/>
      <w:r w:rsidRPr="0039093A">
        <w:rPr>
          <w:spacing w:val="-4"/>
        </w:rPr>
        <w:t>Communication</w:t>
      </w:r>
      <w:proofErr w:type="spellEnd"/>
      <w:r w:rsidRPr="0039093A">
        <w:rPr>
          <w:spacing w:val="-4"/>
        </w:rPr>
        <w:t xml:space="preserve"> No. 1959/2010, UN Doc.</w:t>
      </w:r>
      <w:r w:rsidRPr="0039093A">
        <w:rPr>
          <w:i/>
          <w:iCs/>
          <w:spacing w:val="-4"/>
        </w:rPr>
        <w:t xml:space="preserve"> </w:t>
      </w:r>
      <w:r w:rsidRPr="00D8084A">
        <w:rPr>
          <w:spacing w:val="-4"/>
        </w:rPr>
        <w:t xml:space="preserve">CCPR/C/102/D/1959/2010, </w:t>
      </w:r>
      <w:proofErr w:type="spellStart"/>
      <w:r w:rsidRPr="00D8084A">
        <w:rPr>
          <w:spacing w:val="-4"/>
        </w:rPr>
        <w:t>September</w:t>
      </w:r>
      <w:proofErr w:type="spellEnd"/>
      <w:r w:rsidRPr="00D8084A">
        <w:rPr>
          <w:spacing w:val="-4"/>
        </w:rPr>
        <w:t xml:space="preserve"> 1, 2011, para. 8.3, and </w:t>
      </w:r>
      <w:proofErr w:type="spellStart"/>
      <w:r w:rsidRPr="00D8084A">
        <w:rPr>
          <w:i/>
          <w:spacing w:val="-4"/>
        </w:rPr>
        <w:t>Thuraisamy</w:t>
      </w:r>
      <w:proofErr w:type="spellEnd"/>
      <w:r w:rsidRPr="00D8084A">
        <w:rPr>
          <w:i/>
          <w:spacing w:val="-4"/>
        </w:rPr>
        <w:t xml:space="preserve"> v. </w:t>
      </w:r>
      <w:proofErr w:type="spellStart"/>
      <w:r w:rsidRPr="00D8084A">
        <w:rPr>
          <w:i/>
          <w:spacing w:val="-4"/>
        </w:rPr>
        <w:t>Canada</w:t>
      </w:r>
      <w:proofErr w:type="spellEnd"/>
      <w:r w:rsidRPr="00D8084A">
        <w:rPr>
          <w:i/>
          <w:spacing w:val="-4"/>
        </w:rPr>
        <w:t>,</w:t>
      </w:r>
      <w:r w:rsidRPr="00D8084A">
        <w:rPr>
          <w:spacing w:val="-4"/>
        </w:rPr>
        <w:t xml:space="preserve"> </w:t>
      </w:r>
      <w:proofErr w:type="spellStart"/>
      <w:r w:rsidRPr="00D8084A">
        <w:rPr>
          <w:spacing w:val="-4"/>
        </w:rPr>
        <w:t>Communication</w:t>
      </w:r>
      <w:proofErr w:type="spellEnd"/>
      <w:r w:rsidRPr="00D8084A">
        <w:rPr>
          <w:spacing w:val="-4"/>
        </w:rPr>
        <w:t xml:space="preserve"> </w:t>
      </w:r>
      <w:r w:rsidRPr="00D8084A">
        <w:rPr>
          <w:bCs w:val="0"/>
          <w:spacing w:val="-4"/>
        </w:rPr>
        <w:t xml:space="preserve">No. 1912/2009, </w:t>
      </w:r>
      <w:proofErr w:type="spellStart"/>
      <w:r w:rsidRPr="00D8084A">
        <w:rPr>
          <w:spacing w:val="-4"/>
        </w:rPr>
        <w:t>November</w:t>
      </w:r>
      <w:proofErr w:type="spellEnd"/>
      <w:r w:rsidRPr="00D8084A">
        <w:rPr>
          <w:spacing w:val="-4"/>
        </w:rPr>
        <w:t xml:space="preserve"> 2, 2012, para. </w:t>
      </w:r>
      <w:r w:rsidRPr="0079515C">
        <w:rPr>
          <w:spacing w:val="-4"/>
          <w:lang w:val="en-US"/>
        </w:rPr>
        <w:t>8</w:t>
      </w:r>
      <w:r w:rsidRPr="0079515C">
        <w:rPr>
          <w:bCs w:val="0"/>
          <w:spacing w:val="-4"/>
          <w:lang w:val="en-US"/>
        </w:rPr>
        <w:t>.</w:t>
      </w:r>
    </w:p>
  </w:footnote>
  <w:footnote w:id="221">
    <w:p w14:paraId="5E7C29DC" w14:textId="335D6241"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Statement made by </w:t>
      </w:r>
      <w:proofErr w:type="spellStart"/>
      <w:r w:rsidRPr="0079515C">
        <w:rPr>
          <w:spacing w:val="-4"/>
          <w:lang w:val="en-US"/>
        </w:rPr>
        <w:t>Víctor</w:t>
      </w:r>
      <w:proofErr w:type="spellEnd"/>
      <w:r w:rsidRPr="0079515C">
        <w:rPr>
          <w:spacing w:val="-4"/>
          <w:lang w:val="en-US"/>
        </w:rPr>
        <w:t xml:space="preserve"> </w:t>
      </w:r>
      <w:proofErr w:type="spellStart"/>
      <w:r w:rsidRPr="0079515C">
        <w:rPr>
          <w:spacing w:val="-4"/>
          <w:lang w:val="en-US"/>
        </w:rPr>
        <w:t>García</w:t>
      </w:r>
      <w:proofErr w:type="spellEnd"/>
      <w:r w:rsidRPr="0079515C">
        <w:rPr>
          <w:spacing w:val="-4"/>
          <w:lang w:val="en-US"/>
        </w:rPr>
        <w:t xml:space="preserve"> </w:t>
      </w:r>
      <w:proofErr w:type="spellStart"/>
      <w:r w:rsidRPr="0079515C">
        <w:rPr>
          <w:spacing w:val="-4"/>
          <w:lang w:val="en-US"/>
        </w:rPr>
        <w:t>Toma</w:t>
      </w:r>
      <w:proofErr w:type="spellEnd"/>
      <w:r w:rsidRPr="0079515C">
        <w:rPr>
          <w:spacing w:val="-4"/>
          <w:lang w:val="en-US"/>
        </w:rPr>
        <w:t xml:space="preserve"> during the public hearing held in this case. </w:t>
      </w:r>
    </w:p>
  </w:footnote>
  <w:footnote w:id="222">
    <w:p w14:paraId="5C5EC54C" w14:textId="6C137F5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In the </w:t>
      </w:r>
      <w:r w:rsidRPr="0079515C">
        <w:rPr>
          <w:i/>
          <w:spacing w:val="-4"/>
          <w:lang w:val="en-US"/>
        </w:rPr>
        <w:t>Othman</w:t>
      </w:r>
      <w:r w:rsidRPr="0079515C">
        <w:rPr>
          <w:spacing w:val="-4"/>
          <w:lang w:val="en-US"/>
        </w:rPr>
        <w:t xml:space="preserve"> case, the European Court established that: “</w:t>
      </w:r>
      <w:r w:rsidRPr="0079515C">
        <w:rPr>
          <w:rStyle w:val="sb8d990e2"/>
          <w:lang w:val="en-US"/>
        </w:rPr>
        <w:t>In any examination of whether an applicant faces a real risk of ill</w:t>
      </w:r>
      <w:r w:rsidRPr="0079515C">
        <w:rPr>
          <w:rStyle w:val="sb8d990e2"/>
          <w:lang w:val="en-US"/>
        </w:rPr>
        <w:noBreakHyphen/>
        <w:t>treatment in the country to which he is to be removed, the Court will consider both the general human rights situation in that country and the particular characteristics of the applicant. In a case where assurances have been provided by the receiving State, those assurances constitute a further relevant factor which the Court will consider.</w:t>
      </w:r>
      <w:r w:rsidRPr="0079515C">
        <w:rPr>
          <w:i/>
          <w:spacing w:val="-4"/>
          <w:lang w:val="en-US"/>
        </w:rPr>
        <w:t xml:space="preserve"> </w:t>
      </w:r>
      <w:r w:rsidRPr="0079515C">
        <w:rPr>
          <w:spacing w:val="-4"/>
          <w:lang w:val="en-US"/>
        </w:rPr>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187. </w:t>
      </w:r>
    </w:p>
  </w:footnote>
  <w:footnote w:id="223">
    <w:p w14:paraId="3AC3CF6C" w14:textId="215E20C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Mutatis </w:t>
      </w:r>
      <w:proofErr w:type="spellStart"/>
      <w:r w:rsidRPr="0079515C">
        <w:rPr>
          <w:i/>
          <w:spacing w:val="-4"/>
          <w:lang w:val="en-US"/>
        </w:rPr>
        <w:t>mutandi</w:t>
      </w:r>
      <w:proofErr w:type="spellEnd"/>
      <w:r w:rsidRPr="0079515C">
        <w:rPr>
          <w:spacing w:val="-4"/>
          <w:lang w:val="en-US"/>
        </w:rPr>
        <w:t xml:space="preserve">, regarding the standards relating to military criminal justice, see: </w:t>
      </w:r>
      <w:r w:rsidRPr="0079515C">
        <w:rPr>
          <w:i/>
          <w:spacing w:val="-4"/>
          <w:lang w:val="en-US"/>
        </w:rPr>
        <w:t xml:space="preserve">Case of </w:t>
      </w:r>
      <w:proofErr w:type="spellStart"/>
      <w:r w:rsidRPr="0079515C">
        <w:rPr>
          <w:i/>
          <w:spacing w:val="-4"/>
          <w:lang w:val="en-US"/>
        </w:rPr>
        <w:t>Vélez</w:t>
      </w:r>
      <w:proofErr w:type="spellEnd"/>
      <w:r w:rsidRPr="0079515C">
        <w:rPr>
          <w:i/>
          <w:spacing w:val="-4"/>
          <w:lang w:val="en-US"/>
        </w:rPr>
        <w:t xml:space="preserve"> </w:t>
      </w:r>
      <w:proofErr w:type="spellStart"/>
      <w:r w:rsidRPr="0079515C">
        <w:rPr>
          <w:i/>
          <w:spacing w:val="-4"/>
          <w:lang w:val="en-US"/>
        </w:rPr>
        <w:t>Restrepo</w:t>
      </w:r>
      <w:proofErr w:type="spellEnd"/>
      <w:r w:rsidRPr="0079515C">
        <w:rPr>
          <w:i/>
          <w:spacing w:val="-4"/>
          <w:lang w:val="en-US"/>
        </w:rPr>
        <w:t xml:space="preserve"> and family v. Colombia. </w:t>
      </w:r>
      <w:proofErr w:type="gramStart"/>
      <w:r w:rsidRPr="0079515C">
        <w:rPr>
          <w:i/>
          <w:spacing w:val="-4"/>
          <w:lang w:val="en-US"/>
        </w:rPr>
        <w:t>Preliminary objection, merits, reparations and costs</w:t>
      </w:r>
      <w:r w:rsidRPr="0079515C">
        <w:rPr>
          <w:spacing w:val="-4"/>
          <w:lang w:val="en-US"/>
        </w:rPr>
        <w:t>.</w:t>
      </w:r>
      <w:proofErr w:type="gramEnd"/>
      <w:r w:rsidRPr="0079515C">
        <w:rPr>
          <w:spacing w:val="-4"/>
          <w:lang w:val="en-US"/>
        </w:rPr>
        <w:t xml:space="preserve"> Judgment of September 3, 2012. Series C No. 248, para. </w:t>
      </w:r>
      <w:proofErr w:type="gramStart"/>
      <w:r w:rsidRPr="0079515C">
        <w:rPr>
          <w:spacing w:val="-4"/>
          <w:lang w:val="en-US"/>
        </w:rPr>
        <w:t>241</w:t>
      </w:r>
      <w:r w:rsidRPr="0079515C">
        <w:rPr>
          <w:rStyle w:val="Strong"/>
          <w:b w:val="0"/>
          <w:color w:val="000000"/>
          <w:spacing w:val="-4"/>
          <w:shd w:val="clear" w:color="auto" w:fill="FFFFFF"/>
          <w:lang w:val="en-US"/>
        </w:rPr>
        <w:t>,</w:t>
      </w:r>
      <w:proofErr w:type="gramEnd"/>
      <w:r w:rsidRPr="0079515C">
        <w:rPr>
          <w:rStyle w:val="Strong"/>
          <w:b w:val="0"/>
          <w:color w:val="000000"/>
          <w:spacing w:val="-4"/>
          <w:shd w:val="clear" w:color="auto" w:fill="FFFFFF"/>
          <w:lang w:val="en-US"/>
        </w:rPr>
        <w:t xml:space="preserve"> and </w:t>
      </w:r>
      <w:r w:rsidRPr="0079515C">
        <w:rPr>
          <w:rStyle w:val="Strong"/>
          <w:b w:val="0"/>
          <w:i/>
          <w:color w:val="000000"/>
          <w:spacing w:val="-4"/>
          <w:shd w:val="clear" w:color="auto" w:fill="FFFFFF"/>
          <w:lang w:val="en-US"/>
        </w:rPr>
        <w:t xml:space="preserve">Case of Rodríguez Vera et al. (The Disappeared of the Palace of Justice) v. Colombia. </w:t>
      </w:r>
      <w:proofErr w:type="gramStart"/>
      <w:r w:rsidRPr="0079515C">
        <w:rPr>
          <w:rStyle w:val="Strong"/>
          <w:b w:val="0"/>
          <w:i/>
          <w:color w:val="000000"/>
          <w:spacing w:val="-4"/>
          <w:shd w:val="clear" w:color="auto" w:fill="FFFFFF"/>
          <w:lang w:val="en-US"/>
        </w:rPr>
        <w:t>Preliminary objections, merits, reparations and costs.</w:t>
      </w:r>
      <w:proofErr w:type="gramEnd"/>
      <w:r w:rsidRPr="0079515C">
        <w:rPr>
          <w:rStyle w:val="Strong"/>
          <w:b w:val="0"/>
          <w:color w:val="000000"/>
          <w:spacing w:val="-4"/>
          <w:shd w:val="clear" w:color="auto" w:fill="FFFFFF"/>
          <w:lang w:val="en-US"/>
        </w:rPr>
        <w:t xml:space="preserve"> Judgment of November 14, 2014. Series C No. 287, paras. </w:t>
      </w:r>
      <w:proofErr w:type="gramStart"/>
      <w:r w:rsidRPr="0079515C">
        <w:rPr>
          <w:rStyle w:val="Strong"/>
          <w:b w:val="0"/>
          <w:color w:val="000000"/>
          <w:spacing w:val="-4"/>
          <w:shd w:val="clear" w:color="auto" w:fill="FFFFFF"/>
          <w:lang w:val="en-US"/>
        </w:rPr>
        <w:t>444 and 445.</w:t>
      </w:r>
      <w:proofErr w:type="gramEnd"/>
    </w:p>
  </w:footnote>
  <w:footnote w:id="224">
    <w:p w14:paraId="04F941C6" w14:textId="32A1AB22"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Similarly, the European Court has indicated that: “The establishment of such responsibility inevitably involves an assessment of conditions in the requesting </w:t>
      </w:r>
      <w:r w:rsidRPr="002462CC">
        <w:rPr>
          <w:spacing w:val="-4"/>
          <w:lang w:val="en-US"/>
        </w:rPr>
        <w:t>country against the standards of Article</w:t>
      </w:r>
      <w:r w:rsidRPr="0079515C">
        <w:rPr>
          <w:spacing w:val="-4"/>
          <w:lang w:val="en-US"/>
        </w:rPr>
        <w:t xml:space="preserve"> 3 of the Convention. Nonetheless, there is no question of adjudicating on or establishing the responsibility of the receiving country, whether under general international law, under the Convention or otherwise. In so far as any liability under the Convention is or may be incurred, it is liability incurred by the extraditing Contracting State by reason of its having taken action which has as a direct consequence the exposure of an individual to proscribed ill-treatment”</w:t>
      </w:r>
      <w:r w:rsidRPr="0079515C">
        <w:rPr>
          <w:rStyle w:val="sb8d990e2"/>
          <w:rFonts w:cs="Arial"/>
          <w:color w:val="000000"/>
          <w:spacing w:val="-4"/>
          <w:shd w:val="clear" w:color="auto" w:fill="FFFFFF"/>
          <w:lang w:val="en-US"/>
        </w:rPr>
        <w:t xml:space="preserve">. ECHR, </w:t>
      </w:r>
      <w:r w:rsidRPr="0079515C">
        <w:rPr>
          <w:rStyle w:val="sb8d990e2"/>
          <w:rFonts w:cs="Arial"/>
          <w:i/>
          <w:color w:val="000000"/>
          <w:spacing w:val="-4"/>
          <w:shd w:val="clear" w:color="auto" w:fill="FFFFFF"/>
          <w:lang w:val="en-US"/>
        </w:rPr>
        <w:t>Case of</w:t>
      </w:r>
      <w:r w:rsidRPr="0079515C">
        <w:rPr>
          <w:rStyle w:val="sb8d990e2"/>
          <w:rFonts w:cs="Arial"/>
          <w:color w:val="000000"/>
          <w:spacing w:val="-4"/>
          <w:shd w:val="clear" w:color="auto" w:fill="FFFFFF"/>
          <w:lang w:val="en-US"/>
        </w:rPr>
        <w:t xml:space="preserve"> </w:t>
      </w:r>
      <w:proofErr w:type="spellStart"/>
      <w:r w:rsidRPr="0079515C">
        <w:rPr>
          <w:rStyle w:val="s6b621b36"/>
          <w:rFonts w:cs="Arial"/>
          <w:i/>
          <w:iCs/>
          <w:color w:val="000000"/>
          <w:spacing w:val="-4"/>
          <w:shd w:val="clear" w:color="auto" w:fill="FFFFFF"/>
          <w:lang w:val="en-US"/>
        </w:rPr>
        <w:t>Mamatkulov</w:t>
      </w:r>
      <w:proofErr w:type="spellEnd"/>
      <w:r w:rsidRPr="0079515C">
        <w:rPr>
          <w:rStyle w:val="s6b621b36"/>
          <w:rFonts w:cs="Arial"/>
          <w:i/>
          <w:iCs/>
          <w:color w:val="000000"/>
          <w:spacing w:val="-4"/>
          <w:shd w:val="clear" w:color="auto" w:fill="FFFFFF"/>
          <w:lang w:val="en-US"/>
        </w:rPr>
        <w:t xml:space="preserve"> and </w:t>
      </w:r>
      <w:proofErr w:type="spellStart"/>
      <w:r w:rsidRPr="0079515C">
        <w:rPr>
          <w:rStyle w:val="s6b621b36"/>
          <w:rFonts w:cs="Arial"/>
          <w:i/>
          <w:iCs/>
          <w:color w:val="000000"/>
          <w:spacing w:val="-4"/>
          <w:shd w:val="clear" w:color="auto" w:fill="FFFFFF"/>
          <w:lang w:val="en-US"/>
        </w:rPr>
        <w:t>Askarov</w:t>
      </w:r>
      <w:proofErr w:type="spellEnd"/>
      <w:r w:rsidRPr="0079515C">
        <w:rPr>
          <w:rStyle w:val="s6b621b36"/>
          <w:rFonts w:cs="Arial"/>
          <w:i/>
          <w:iCs/>
          <w:color w:val="000000"/>
          <w:spacing w:val="-4"/>
          <w:shd w:val="clear" w:color="auto" w:fill="FFFFFF"/>
          <w:lang w:val="en-US"/>
        </w:rPr>
        <w:t xml:space="preserve"> v. Turkey </w:t>
      </w:r>
      <w:r w:rsidRPr="0079515C">
        <w:rPr>
          <w:rStyle w:val="s6b621b36"/>
          <w:rFonts w:cs="Arial"/>
          <w:iCs/>
          <w:color w:val="000000"/>
          <w:spacing w:val="-4"/>
          <w:shd w:val="clear" w:color="auto" w:fill="FFFFFF"/>
          <w:lang w:val="en-US"/>
        </w:rPr>
        <w:t>[GS]</w:t>
      </w:r>
      <w:r w:rsidRPr="0079515C">
        <w:rPr>
          <w:rStyle w:val="sb8d990e2"/>
          <w:rFonts w:cs="Arial"/>
          <w:color w:val="000000"/>
          <w:spacing w:val="-4"/>
          <w:shd w:val="clear" w:color="auto" w:fill="FFFFFF"/>
          <w:lang w:val="en-US"/>
        </w:rPr>
        <w:t xml:space="preserve">, </w:t>
      </w:r>
      <w:r w:rsidRPr="0079515C">
        <w:rPr>
          <w:rStyle w:val="sb8d990e2"/>
          <w:rFonts w:cs="Arial"/>
          <w:spacing w:val="-4"/>
          <w:shd w:val="clear" w:color="auto" w:fill="FFFFFF"/>
          <w:lang w:val="en-US"/>
        </w:rPr>
        <w:t>Nos.</w:t>
      </w:r>
      <w:r w:rsidRPr="0079515C">
        <w:rPr>
          <w:rStyle w:val="apple-converted-space"/>
          <w:rFonts w:cs="Arial"/>
          <w:spacing w:val="-4"/>
          <w:shd w:val="clear" w:color="auto" w:fill="FFFFFF"/>
          <w:lang w:val="en-US"/>
        </w:rPr>
        <w:t> </w:t>
      </w:r>
      <w:hyperlink r:id="rId42" w:anchor="{&quot;appno&quot;:[&quot;46827/99&quot;]}" w:tgtFrame="_blank" w:history="1">
        <w:proofErr w:type="gramStart"/>
        <w:r w:rsidRPr="0079515C">
          <w:rPr>
            <w:rStyle w:val="Hyperlink"/>
            <w:rFonts w:cs="Arial"/>
            <w:color w:val="auto"/>
            <w:spacing w:val="-4"/>
            <w:u w:val="none"/>
            <w:shd w:val="clear" w:color="auto" w:fill="FFFFFF"/>
            <w:lang w:val="en-US"/>
          </w:rPr>
          <w:t>46827/99</w:t>
        </w:r>
      </w:hyperlink>
      <w:r w:rsidRPr="0079515C">
        <w:rPr>
          <w:rStyle w:val="apple-converted-space"/>
          <w:rFonts w:cs="Arial"/>
          <w:spacing w:val="-4"/>
          <w:shd w:val="clear" w:color="auto" w:fill="FFFFFF"/>
          <w:lang w:val="en-US"/>
        </w:rPr>
        <w:t> </w:t>
      </w:r>
      <w:r w:rsidRPr="0079515C">
        <w:rPr>
          <w:rStyle w:val="sb8d990e2"/>
          <w:rFonts w:cs="Arial"/>
          <w:spacing w:val="-4"/>
          <w:shd w:val="clear" w:color="auto" w:fill="FFFFFF"/>
          <w:lang w:val="en-US"/>
        </w:rPr>
        <w:t>and</w:t>
      </w:r>
      <w:r w:rsidRPr="0079515C">
        <w:rPr>
          <w:rStyle w:val="apple-converted-space"/>
          <w:rFonts w:cs="Arial"/>
          <w:spacing w:val="-4"/>
          <w:shd w:val="clear" w:color="auto" w:fill="FFFFFF"/>
          <w:lang w:val="en-US"/>
        </w:rPr>
        <w:t> </w:t>
      </w:r>
      <w:hyperlink r:id="rId43" w:anchor="{&quot;appno&quot;:[&quot;46951/99&quot;]}" w:tgtFrame="_blank" w:history="1">
        <w:r w:rsidRPr="0079515C">
          <w:rPr>
            <w:rStyle w:val="Hyperlink"/>
            <w:rFonts w:cs="Arial"/>
            <w:color w:val="auto"/>
            <w:spacing w:val="-4"/>
            <w:u w:val="none"/>
            <w:shd w:val="clear" w:color="auto" w:fill="FFFFFF"/>
            <w:lang w:val="en-US"/>
          </w:rPr>
          <w:t>46951/99</w:t>
        </w:r>
      </w:hyperlink>
      <w:r w:rsidRPr="0079515C">
        <w:rPr>
          <w:rStyle w:val="sb8d990e2"/>
          <w:rFonts w:cs="Arial"/>
          <w:spacing w:val="-4"/>
          <w:shd w:val="clear" w:color="auto" w:fill="FFFFFF"/>
          <w:lang w:val="en-US"/>
        </w:rPr>
        <w:t>.</w:t>
      </w:r>
      <w:proofErr w:type="gramEnd"/>
      <w:r w:rsidRPr="0079515C">
        <w:rPr>
          <w:rStyle w:val="sb8d990e2"/>
          <w:rFonts w:cs="Arial"/>
          <w:spacing w:val="-4"/>
          <w:shd w:val="clear" w:color="auto" w:fill="FFFFFF"/>
          <w:lang w:val="en-US"/>
        </w:rPr>
        <w:t xml:space="preserve"> </w:t>
      </w:r>
      <w:proofErr w:type="gramStart"/>
      <w:r w:rsidRPr="0079515C">
        <w:rPr>
          <w:rStyle w:val="sb8d990e2"/>
          <w:rFonts w:cs="Arial"/>
          <w:spacing w:val="-4"/>
          <w:shd w:val="clear" w:color="auto" w:fill="FFFFFF"/>
          <w:lang w:val="en-US"/>
        </w:rPr>
        <w:t>Judgment of February 4, 2005, para.</w:t>
      </w:r>
      <w:proofErr w:type="gramEnd"/>
      <w:r w:rsidRPr="0079515C">
        <w:rPr>
          <w:rStyle w:val="sb8d990e2"/>
          <w:rFonts w:cs="Arial"/>
          <w:spacing w:val="-4"/>
          <w:shd w:val="clear" w:color="auto" w:fill="FFFFFF"/>
          <w:lang w:val="en-US"/>
        </w:rPr>
        <w:t xml:space="preserve"> 67.</w:t>
      </w:r>
    </w:p>
  </w:footnote>
  <w:footnote w:id="225">
    <w:p w14:paraId="695CECBE" w14:textId="55DF1184" w:rsidR="002306C1" w:rsidRPr="0079515C" w:rsidRDefault="002306C1" w:rsidP="00853044">
      <w:pPr>
        <w:pStyle w:val="FootnoteText"/>
        <w:tabs>
          <w:tab w:val="clear" w:pos="567"/>
          <w:tab w:val="left" w:pos="426"/>
        </w:tabs>
        <w:spacing w:before="120" w:after="120"/>
        <w:rPr>
          <w:rFonts w:cs="Arial"/>
          <w:color w:val="000000"/>
          <w:spacing w:val="-4"/>
          <w:shd w:val="clear" w:color="auto" w:fill="FFFFFF"/>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color w:val="000000" w:themeColor="text1"/>
          <w:spacing w:val="-4"/>
          <w:lang w:val="en-US"/>
        </w:rPr>
        <w:t xml:space="preserve">ECHR, </w:t>
      </w:r>
      <w:r w:rsidRPr="0079515C">
        <w:rPr>
          <w:i/>
          <w:color w:val="000000" w:themeColor="text1"/>
          <w:spacing w:val="-4"/>
          <w:lang w:val="en-US"/>
        </w:rPr>
        <w:t xml:space="preserve">Case of </w:t>
      </w:r>
      <w:proofErr w:type="spellStart"/>
      <w:r w:rsidRPr="0079515C">
        <w:rPr>
          <w:i/>
          <w:color w:val="000000" w:themeColor="text1"/>
          <w:spacing w:val="-4"/>
          <w:lang w:val="en-US"/>
        </w:rPr>
        <w:t>Saadi</w:t>
      </w:r>
      <w:proofErr w:type="spellEnd"/>
      <w:r w:rsidRPr="0079515C">
        <w:rPr>
          <w:i/>
          <w:color w:val="000000" w:themeColor="text1"/>
          <w:spacing w:val="-4"/>
          <w:lang w:val="en-US"/>
        </w:rPr>
        <w:t xml:space="preserve"> v. Italy </w:t>
      </w:r>
      <w:r w:rsidRPr="0079515C">
        <w:rPr>
          <w:color w:val="000000" w:themeColor="text1"/>
          <w:spacing w:val="-4"/>
          <w:lang w:val="en-US"/>
        </w:rPr>
        <w:t xml:space="preserve">[GS], No. 37201/06. </w:t>
      </w:r>
      <w:proofErr w:type="gramStart"/>
      <w:r w:rsidRPr="0079515C">
        <w:rPr>
          <w:color w:val="000000" w:themeColor="text1"/>
          <w:spacing w:val="-4"/>
          <w:lang w:val="en-US"/>
        </w:rPr>
        <w:t>Judgment of February 28, 2008, para.</w:t>
      </w:r>
      <w:proofErr w:type="gramEnd"/>
      <w:r w:rsidRPr="0079515C">
        <w:rPr>
          <w:color w:val="000000" w:themeColor="text1"/>
          <w:spacing w:val="-4"/>
          <w:lang w:val="en-US"/>
        </w:rPr>
        <w:t xml:space="preserve"> </w:t>
      </w:r>
      <w:proofErr w:type="gramStart"/>
      <w:r w:rsidRPr="0079515C">
        <w:rPr>
          <w:rStyle w:val="sb8d990e2"/>
          <w:rFonts w:cs="Arial"/>
          <w:color w:val="000000" w:themeColor="text1"/>
          <w:spacing w:val="-4"/>
          <w:shd w:val="clear" w:color="auto" w:fill="FFFFFF"/>
          <w:lang w:val="en-US"/>
        </w:rPr>
        <w:t>131;</w:t>
      </w:r>
      <w:r w:rsidRPr="0079515C">
        <w:rPr>
          <w:color w:val="000000" w:themeColor="text1"/>
          <w:spacing w:val="-4"/>
          <w:lang w:val="en-US"/>
        </w:rPr>
        <w:t xml:space="preserve"> </w:t>
      </w:r>
      <w:r w:rsidRPr="0079515C">
        <w:rPr>
          <w:rStyle w:val="sb8d990e2"/>
          <w:rFonts w:cs="Arial"/>
          <w:i/>
          <w:color w:val="000000" w:themeColor="text1"/>
          <w:spacing w:val="-4"/>
          <w:shd w:val="clear" w:color="auto" w:fill="FFFFFF"/>
          <w:lang w:val="en-US"/>
        </w:rPr>
        <w:t xml:space="preserve">Case of </w:t>
      </w:r>
      <w:proofErr w:type="spellStart"/>
      <w:r w:rsidRPr="0079515C">
        <w:rPr>
          <w:rStyle w:val="s6b621b36"/>
          <w:rFonts w:cs="Arial"/>
          <w:i/>
          <w:iCs/>
          <w:color w:val="000000" w:themeColor="text1"/>
          <w:spacing w:val="-4"/>
          <w:shd w:val="clear" w:color="auto" w:fill="FFFFFF"/>
          <w:lang w:val="en-US"/>
        </w:rPr>
        <w:t>Chahal</w:t>
      </w:r>
      <w:proofErr w:type="spellEnd"/>
      <w:r w:rsidRPr="0079515C">
        <w:rPr>
          <w:rStyle w:val="s6b621b36"/>
          <w:rFonts w:cs="Arial"/>
          <w:i/>
          <w:iCs/>
          <w:color w:val="000000" w:themeColor="text1"/>
          <w:spacing w:val="-4"/>
          <w:shd w:val="clear" w:color="auto" w:fill="FFFFFF"/>
          <w:lang w:val="en-US"/>
        </w:rPr>
        <w:t xml:space="preserve"> v.</w:t>
      </w:r>
      <w:proofErr w:type="gramEnd"/>
      <w:r w:rsidRPr="0079515C">
        <w:rPr>
          <w:rStyle w:val="s6b621b36"/>
          <w:rFonts w:cs="Arial"/>
          <w:i/>
          <w:iCs/>
          <w:color w:val="000000" w:themeColor="text1"/>
          <w:spacing w:val="-4"/>
          <w:shd w:val="clear" w:color="auto" w:fill="FFFFFF"/>
          <w:lang w:val="en-US"/>
        </w:rPr>
        <w:t xml:space="preserve"> </w:t>
      </w:r>
      <w:proofErr w:type="gramStart"/>
      <w:r w:rsidRPr="0079515C">
        <w:rPr>
          <w:rStyle w:val="s6b621b36"/>
          <w:rFonts w:cs="Arial"/>
          <w:i/>
          <w:iCs/>
          <w:color w:val="000000" w:themeColor="text1"/>
          <w:spacing w:val="-4"/>
          <w:shd w:val="clear" w:color="auto" w:fill="FFFFFF"/>
          <w:lang w:val="en-US"/>
        </w:rPr>
        <w:t xml:space="preserve">The United Kingdom </w:t>
      </w:r>
      <w:r w:rsidRPr="0079515C">
        <w:rPr>
          <w:rStyle w:val="s6b621b36"/>
          <w:rFonts w:cs="Arial"/>
          <w:iCs/>
          <w:color w:val="000000" w:themeColor="text1"/>
          <w:spacing w:val="-4"/>
          <w:shd w:val="clear" w:color="auto" w:fill="FFFFFF"/>
          <w:lang w:val="en-US"/>
        </w:rPr>
        <w:t>[GS]</w:t>
      </w:r>
      <w:r w:rsidRPr="0079515C">
        <w:rPr>
          <w:rStyle w:val="sb8d990e2"/>
          <w:rFonts w:cs="Arial"/>
          <w:color w:val="000000" w:themeColor="text1"/>
          <w:spacing w:val="-4"/>
          <w:shd w:val="clear" w:color="auto" w:fill="FFFFFF"/>
          <w:lang w:val="en-US"/>
        </w:rPr>
        <w:t>, No.</w:t>
      </w:r>
      <w:proofErr w:type="gramEnd"/>
      <w:r w:rsidRPr="0079515C">
        <w:rPr>
          <w:rStyle w:val="sb8d990e2"/>
          <w:rFonts w:cs="Arial"/>
          <w:color w:val="000000" w:themeColor="text1"/>
          <w:spacing w:val="-4"/>
          <w:shd w:val="clear" w:color="auto" w:fill="FFFFFF"/>
          <w:lang w:val="en-US"/>
        </w:rPr>
        <w:t xml:space="preserve"> </w:t>
      </w:r>
      <w:hyperlink r:id="rId44" w:anchor="{&quot;appno&quot;:[&quot;22414/93&quot;]}" w:tgtFrame="_blank" w:history="1">
        <w:proofErr w:type="gramStart"/>
        <w:r w:rsidRPr="0079515C">
          <w:rPr>
            <w:rStyle w:val="Hyperlink"/>
            <w:rFonts w:cs="Arial"/>
            <w:iCs/>
            <w:color w:val="000000" w:themeColor="text1"/>
            <w:spacing w:val="-4"/>
            <w:u w:val="none"/>
            <w:shd w:val="clear" w:color="auto" w:fill="FFFFFF"/>
            <w:lang w:val="en-US"/>
          </w:rPr>
          <w:t>22414/93</w:t>
        </w:r>
      </w:hyperlink>
      <w:r w:rsidRPr="0079515C">
        <w:rPr>
          <w:rStyle w:val="s6b621b36"/>
          <w:rFonts w:cs="Arial"/>
          <w:iCs/>
          <w:color w:val="000000" w:themeColor="text1"/>
          <w:spacing w:val="-4"/>
          <w:shd w:val="clear" w:color="auto" w:fill="FFFFFF"/>
          <w:lang w:val="en-US"/>
        </w:rPr>
        <w:t>.</w:t>
      </w:r>
      <w:proofErr w:type="gramEnd"/>
      <w:r w:rsidRPr="0079515C">
        <w:rPr>
          <w:rStyle w:val="s6b621b36"/>
          <w:rFonts w:cs="Arial"/>
          <w:iCs/>
          <w:color w:val="000000" w:themeColor="text1"/>
          <w:spacing w:val="-4"/>
          <w:shd w:val="clear" w:color="auto" w:fill="FFFFFF"/>
          <w:lang w:val="en-US"/>
        </w:rPr>
        <w:t xml:space="preserve"> </w:t>
      </w:r>
      <w:proofErr w:type="gramStart"/>
      <w:r w:rsidRPr="0079515C">
        <w:rPr>
          <w:rStyle w:val="s6b621b36"/>
          <w:rFonts w:cs="Arial"/>
          <w:iCs/>
          <w:color w:val="000000" w:themeColor="text1"/>
          <w:spacing w:val="-4"/>
          <w:shd w:val="clear" w:color="auto" w:fill="FFFFFF"/>
          <w:lang w:val="en-US"/>
        </w:rPr>
        <w:t>Judgment of November 15,</w:t>
      </w:r>
      <w:r>
        <w:rPr>
          <w:rStyle w:val="s6b621b36"/>
          <w:rFonts w:cs="Arial"/>
          <w:iCs/>
          <w:color w:val="000000" w:themeColor="text1"/>
          <w:spacing w:val="-4"/>
          <w:shd w:val="clear" w:color="auto" w:fill="FFFFFF"/>
          <w:lang w:val="en-US"/>
        </w:rPr>
        <w:t xml:space="preserve"> 1996, para</w:t>
      </w:r>
      <w:r w:rsidRPr="0079515C">
        <w:rPr>
          <w:rStyle w:val="s6b621b36"/>
          <w:rFonts w:cs="Arial"/>
          <w:iCs/>
          <w:color w:val="000000" w:themeColor="text1"/>
          <w:spacing w:val="-4"/>
          <w:shd w:val="clear" w:color="auto" w:fill="FFFFFF"/>
          <w:lang w:val="en-US"/>
        </w:rPr>
        <w:t>s</w:t>
      </w:r>
      <w:r>
        <w:rPr>
          <w:rStyle w:val="s6b621b36"/>
          <w:rFonts w:cs="Arial"/>
          <w:iCs/>
          <w:color w:val="000000" w:themeColor="text1"/>
          <w:spacing w:val="-4"/>
          <w:shd w:val="clear" w:color="auto" w:fill="FFFFFF"/>
          <w:lang w:val="en-US"/>
        </w:rPr>
        <w:t>.</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99 and 100;</w:t>
      </w:r>
      <w:r w:rsidRPr="0079515C">
        <w:rPr>
          <w:rStyle w:val="apple-converted-space"/>
          <w:rFonts w:cs="Arial"/>
          <w:color w:val="000000" w:themeColor="text1"/>
          <w:spacing w:val="-4"/>
          <w:shd w:val="clear" w:color="auto" w:fill="FFFFFF"/>
          <w:lang w:val="en-US"/>
        </w:rPr>
        <w:t> </w:t>
      </w:r>
      <w:r w:rsidRPr="0079515C">
        <w:rPr>
          <w:rStyle w:val="apple-converted-space"/>
          <w:rFonts w:cs="Arial"/>
          <w:i/>
          <w:color w:val="000000" w:themeColor="text1"/>
          <w:spacing w:val="-4"/>
          <w:shd w:val="clear" w:color="auto" w:fill="FFFFFF"/>
          <w:lang w:val="en-US"/>
        </w:rPr>
        <w:t xml:space="preserve">Case of </w:t>
      </w:r>
      <w:proofErr w:type="spellStart"/>
      <w:r w:rsidRPr="0079515C">
        <w:rPr>
          <w:rStyle w:val="s6b621b36"/>
          <w:rFonts w:cs="Arial"/>
          <w:i/>
          <w:iCs/>
          <w:color w:val="000000" w:themeColor="text1"/>
          <w:spacing w:val="-4"/>
          <w:shd w:val="clear" w:color="auto" w:fill="FFFFFF"/>
          <w:lang w:val="en-US"/>
        </w:rPr>
        <w:t>Müslim</w:t>
      </w:r>
      <w:proofErr w:type="spellEnd"/>
      <w:r w:rsidRPr="0079515C">
        <w:rPr>
          <w:rStyle w:val="s6b621b36"/>
          <w:rFonts w:cs="Arial"/>
          <w:i/>
          <w:iCs/>
          <w:color w:val="000000" w:themeColor="text1"/>
          <w:spacing w:val="-4"/>
          <w:shd w:val="clear" w:color="auto" w:fill="FFFFFF"/>
          <w:lang w:val="en-US"/>
        </w:rPr>
        <w:t xml:space="preserve"> v. Turkey</w:t>
      </w:r>
      <w:r w:rsidRPr="0079515C">
        <w:rPr>
          <w:rStyle w:val="sb8d990e2"/>
          <w:rFonts w:cs="Arial"/>
          <w:color w:val="000000" w:themeColor="text1"/>
          <w:spacing w:val="-4"/>
          <w:shd w:val="clear" w:color="auto" w:fill="FFFFFF"/>
          <w:lang w:val="en-US"/>
        </w:rPr>
        <w:t>, No.</w:t>
      </w:r>
      <w:proofErr w:type="gramEnd"/>
      <w:r w:rsidRPr="0079515C">
        <w:rPr>
          <w:rStyle w:val="apple-converted-space"/>
          <w:rFonts w:cs="Arial"/>
          <w:color w:val="000000" w:themeColor="text1"/>
          <w:spacing w:val="-4"/>
          <w:shd w:val="clear" w:color="auto" w:fill="FFFFFF"/>
          <w:lang w:val="en-US"/>
        </w:rPr>
        <w:t> </w:t>
      </w:r>
      <w:hyperlink r:id="rId45" w:anchor="{&quot;appno&quot;:[&quot;53566/99&quot;]}" w:tgtFrame="_blank" w:history="1">
        <w:r w:rsidRPr="0079515C">
          <w:rPr>
            <w:rStyle w:val="Hyperlink"/>
            <w:rFonts w:cs="Arial"/>
            <w:color w:val="000000" w:themeColor="text1"/>
            <w:spacing w:val="-4"/>
            <w:u w:val="none"/>
            <w:shd w:val="clear" w:color="auto" w:fill="FFFFFF"/>
            <w:lang w:val="en-US"/>
          </w:rPr>
          <w:t>53566/99</w:t>
        </w:r>
      </w:hyperlink>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Judgment of April 26, 2005, para.</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 xml:space="preserve">67; </w:t>
      </w:r>
      <w:r w:rsidRPr="0079515C">
        <w:rPr>
          <w:rStyle w:val="sb8d990e2"/>
          <w:rFonts w:cs="Arial"/>
          <w:i/>
          <w:color w:val="000000" w:themeColor="text1"/>
          <w:spacing w:val="-4"/>
          <w:shd w:val="clear" w:color="auto" w:fill="FFFFFF"/>
          <w:lang w:val="en-US"/>
        </w:rPr>
        <w:t xml:space="preserve">Case of </w:t>
      </w:r>
      <w:r w:rsidRPr="0079515C">
        <w:rPr>
          <w:rStyle w:val="s6b621b36"/>
          <w:rFonts w:cs="Arial"/>
          <w:i/>
          <w:iCs/>
          <w:color w:val="000000" w:themeColor="text1"/>
          <w:spacing w:val="-4"/>
          <w:shd w:val="clear" w:color="auto" w:fill="FFFFFF"/>
          <w:lang w:val="en-US"/>
        </w:rPr>
        <w:t>Said v.</w:t>
      </w:r>
      <w:proofErr w:type="gramEnd"/>
      <w:r w:rsidRPr="0079515C">
        <w:rPr>
          <w:rStyle w:val="s6b621b36"/>
          <w:rFonts w:cs="Arial"/>
          <w:i/>
          <w:iCs/>
          <w:color w:val="000000" w:themeColor="text1"/>
          <w:spacing w:val="-4"/>
          <w:shd w:val="clear" w:color="auto" w:fill="FFFFFF"/>
          <w:lang w:val="en-US"/>
        </w:rPr>
        <w:t xml:space="preserve"> The Netherlands,</w:t>
      </w:r>
      <w:r w:rsidRPr="0079515C">
        <w:rPr>
          <w:rFonts w:cs="Arial"/>
          <w:iCs/>
          <w:color w:val="000000" w:themeColor="text1"/>
          <w:spacing w:val="-4"/>
          <w:shd w:val="clear" w:color="auto" w:fill="FFFFFF"/>
          <w:lang w:val="en-US"/>
        </w:rPr>
        <w:t xml:space="preserve"> No.</w:t>
      </w:r>
      <w:r w:rsidRPr="0079515C">
        <w:rPr>
          <w:rStyle w:val="apple-converted-space"/>
          <w:rFonts w:cs="Arial"/>
          <w:iCs/>
          <w:color w:val="000000" w:themeColor="text1"/>
          <w:spacing w:val="-4"/>
          <w:shd w:val="clear" w:color="auto" w:fill="FFFFFF"/>
          <w:lang w:val="en-US"/>
        </w:rPr>
        <w:t> </w:t>
      </w:r>
      <w:hyperlink r:id="rId46" w:anchor="{&quot;appno&quot;:[&quot;2345/02&quot;]}" w:tgtFrame="_blank" w:history="1">
        <w:proofErr w:type="gramStart"/>
        <w:r w:rsidRPr="0079515C">
          <w:rPr>
            <w:rStyle w:val="Hyperlink"/>
            <w:rFonts w:cs="Arial"/>
            <w:iCs/>
            <w:color w:val="000000" w:themeColor="text1"/>
            <w:spacing w:val="-4"/>
            <w:u w:val="none"/>
            <w:shd w:val="clear" w:color="auto" w:fill="FFFFFF"/>
            <w:lang w:val="en-US"/>
          </w:rPr>
          <w:t>2345/02</w:t>
        </w:r>
      </w:hyperlink>
      <w:r w:rsidRPr="0079515C">
        <w:rPr>
          <w:color w:val="000000" w:themeColor="text1"/>
          <w:spacing w:val="-4"/>
          <w:lang w:val="en-US"/>
        </w:rPr>
        <w:t>.</w:t>
      </w:r>
      <w:proofErr w:type="gramEnd"/>
      <w:r w:rsidRPr="0079515C">
        <w:rPr>
          <w:color w:val="000000" w:themeColor="text1"/>
          <w:spacing w:val="-4"/>
          <w:lang w:val="en-US"/>
        </w:rPr>
        <w:t xml:space="preserve"> </w:t>
      </w:r>
      <w:proofErr w:type="gramStart"/>
      <w:r w:rsidRPr="0079515C">
        <w:rPr>
          <w:color w:val="000000" w:themeColor="text1"/>
          <w:spacing w:val="-4"/>
          <w:lang w:val="en-US"/>
        </w:rPr>
        <w:t>Judgment of July 5, 2005, para.</w:t>
      </w:r>
      <w:proofErr w:type="gramEnd"/>
      <w:r w:rsidRPr="0079515C">
        <w:rPr>
          <w:color w:val="000000" w:themeColor="text1"/>
          <w:spacing w:val="-4"/>
          <w:lang w:val="en-US"/>
        </w:rPr>
        <w:t xml:space="preserve"> </w:t>
      </w:r>
      <w:proofErr w:type="gramStart"/>
      <w:r w:rsidRPr="0079515C">
        <w:rPr>
          <w:color w:val="000000" w:themeColor="text1"/>
          <w:spacing w:val="-4"/>
          <w:lang w:val="en-US"/>
        </w:rPr>
        <w:t>54</w:t>
      </w:r>
      <w:r w:rsidRPr="0079515C">
        <w:rPr>
          <w:rStyle w:val="sb8d990e2"/>
          <w:rFonts w:cs="Arial"/>
          <w:color w:val="000000" w:themeColor="text1"/>
          <w:spacing w:val="-4"/>
          <w:shd w:val="clear" w:color="auto" w:fill="FFFFFF"/>
          <w:lang w:val="en-US"/>
        </w:rPr>
        <w:t xml:space="preserve">; </w:t>
      </w:r>
      <w:r w:rsidRPr="0079515C">
        <w:rPr>
          <w:rStyle w:val="sb8d990e2"/>
          <w:rFonts w:cs="Arial"/>
          <w:i/>
          <w:color w:val="000000" w:themeColor="text1"/>
          <w:spacing w:val="-4"/>
          <w:shd w:val="clear" w:color="auto" w:fill="FFFFFF"/>
          <w:lang w:val="en-US"/>
        </w:rPr>
        <w:t xml:space="preserve">Case of </w:t>
      </w:r>
      <w:r w:rsidRPr="0079515C">
        <w:rPr>
          <w:rStyle w:val="s6b621b36"/>
          <w:rFonts w:cs="Arial"/>
          <w:i/>
          <w:iCs/>
          <w:color w:val="000000" w:themeColor="text1"/>
          <w:spacing w:val="-4"/>
          <w:shd w:val="clear" w:color="auto" w:fill="FFFFFF"/>
          <w:lang w:val="en-US"/>
        </w:rPr>
        <w:t>Al-</w:t>
      </w:r>
      <w:proofErr w:type="spellStart"/>
      <w:r w:rsidRPr="0079515C">
        <w:rPr>
          <w:rStyle w:val="s6b621b36"/>
          <w:rFonts w:cs="Arial"/>
          <w:i/>
          <w:iCs/>
          <w:color w:val="000000" w:themeColor="text1"/>
          <w:spacing w:val="-4"/>
          <w:shd w:val="clear" w:color="auto" w:fill="FFFFFF"/>
          <w:lang w:val="en-US"/>
        </w:rPr>
        <w:t>Moayad</w:t>
      </w:r>
      <w:proofErr w:type="spellEnd"/>
      <w:r w:rsidRPr="0079515C">
        <w:rPr>
          <w:rStyle w:val="s6b621b36"/>
          <w:rFonts w:cs="Arial"/>
          <w:i/>
          <w:iCs/>
          <w:color w:val="000000" w:themeColor="text1"/>
          <w:spacing w:val="-4"/>
          <w:shd w:val="clear" w:color="auto" w:fill="FFFFFF"/>
          <w:lang w:val="en-US"/>
        </w:rPr>
        <w:t xml:space="preserve"> v. Germany</w:t>
      </w:r>
      <w:r w:rsidRPr="0079515C">
        <w:rPr>
          <w:rStyle w:val="sb8d990e2"/>
          <w:rFonts w:cs="Arial"/>
          <w:color w:val="000000" w:themeColor="text1"/>
          <w:spacing w:val="-4"/>
          <w:shd w:val="clear" w:color="auto" w:fill="FFFFFF"/>
          <w:lang w:val="en-US"/>
        </w:rPr>
        <w:t>, No.</w:t>
      </w:r>
      <w:proofErr w:type="gramEnd"/>
      <w:r w:rsidRPr="0079515C">
        <w:rPr>
          <w:rStyle w:val="apple-converted-space"/>
          <w:rFonts w:cs="Arial"/>
          <w:color w:val="000000" w:themeColor="text1"/>
          <w:spacing w:val="-4"/>
          <w:shd w:val="clear" w:color="auto" w:fill="FFFFFF"/>
          <w:lang w:val="en-US"/>
        </w:rPr>
        <w:t> </w:t>
      </w:r>
      <w:hyperlink r:id="rId47" w:anchor="{&quot;appno&quot;:[&quot;35865/03&quot;]}" w:tgtFrame="_blank" w:history="1">
        <w:r w:rsidRPr="0079515C">
          <w:rPr>
            <w:rStyle w:val="Hyperlink"/>
            <w:rFonts w:cs="Arial"/>
            <w:color w:val="000000" w:themeColor="text1"/>
            <w:spacing w:val="-4"/>
            <w:u w:val="none"/>
            <w:shd w:val="clear" w:color="auto" w:fill="FFFFFF"/>
            <w:lang w:val="en-US"/>
          </w:rPr>
          <w:t>35865/03</w:t>
        </w:r>
      </w:hyperlink>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Judgment of February 20, 2007, paras.</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 xml:space="preserve">65 and 66, and </w:t>
      </w:r>
      <w:r w:rsidRPr="0079515C">
        <w:rPr>
          <w:i/>
          <w:color w:val="000000" w:themeColor="text1"/>
          <w:spacing w:val="-4"/>
          <w:lang w:val="en-US"/>
        </w:rPr>
        <w:t xml:space="preserve">Case of </w:t>
      </w:r>
      <w:proofErr w:type="spellStart"/>
      <w:r w:rsidRPr="0079515C">
        <w:rPr>
          <w:i/>
          <w:color w:val="000000" w:themeColor="text1"/>
          <w:spacing w:val="-4"/>
          <w:lang w:val="en-US"/>
        </w:rPr>
        <w:t>Nizomkhon</w:t>
      </w:r>
      <w:proofErr w:type="spellEnd"/>
      <w:r w:rsidRPr="0079515C">
        <w:rPr>
          <w:i/>
          <w:color w:val="000000" w:themeColor="text1"/>
          <w:spacing w:val="-4"/>
          <w:lang w:val="en-US"/>
        </w:rPr>
        <w:t xml:space="preserve"> </w:t>
      </w:r>
      <w:proofErr w:type="spellStart"/>
      <w:r w:rsidRPr="0079515C">
        <w:rPr>
          <w:i/>
          <w:color w:val="000000" w:themeColor="text1"/>
          <w:spacing w:val="-4"/>
          <w:lang w:val="en-US"/>
        </w:rPr>
        <w:t>Dzhurayev</w:t>
      </w:r>
      <w:proofErr w:type="spellEnd"/>
      <w:r w:rsidRPr="0079515C">
        <w:rPr>
          <w:i/>
          <w:color w:val="000000" w:themeColor="text1"/>
          <w:spacing w:val="-4"/>
          <w:lang w:val="en-US"/>
        </w:rPr>
        <w:t xml:space="preserve"> v. Russia</w:t>
      </w:r>
      <w:r w:rsidRPr="0079515C">
        <w:rPr>
          <w:color w:val="000000" w:themeColor="text1"/>
          <w:spacing w:val="-4"/>
          <w:lang w:val="en-US"/>
        </w:rPr>
        <w:t xml:space="preserve">, </w:t>
      </w:r>
      <w:r w:rsidRPr="0079515C">
        <w:rPr>
          <w:rFonts w:cs="Arial"/>
          <w:iCs/>
          <w:color w:val="000000" w:themeColor="text1"/>
          <w:spacing w:val="-4"/>
          <w:shd w:val="clear" w:color="auto" w:fill="FFFFFF"/>
          <w:lang w:val="en-US"/>
        </w:rPr>
        <w:t>No.</w:t>
      </w:r>
      <w:proofErr w:type="gramEnd"/>
      <w:r w:rsidRPr="0079515C">
        <w:rPr>
          <w:rStyle w:val="apple-converted-space"/>
          <w:rFonts w:cs="Arial"/>
          <w:iCs/>
          <w:color w:val="000000" w:themeColor="text1"/>
          <w:spacing w:val="-4"/>
          <w:shd w:val="clear" w:color="auto" w:fill="FFFFFF"/>
          <w:lang w:val="en-US"/>
        </w:rPr>
        <w:t> </w:t>
      </w:r>
      <w:hyperlink r:id="rId48" w:anchor="{&quot;appno&quot;:[&quot;31890/11&quot;]}" w:tgtFrame="_blank" w:history="1">
        <w:proofErr w:type="gramStart"/>
        <w:r w:rsidRPr="0079515C">
          <w:rPr>
            <w:rStyle w:val="Hyperlink"/>
            <w:rFonts w:cs="Arial"/>
            <w:iCs/>
            <w:color w:val="000000" w:themeColor="text1"/>
            <w:spacing w:val="-4"/>
            <w:u w:val="none"/>
            <w:shd w:val="clear" w:color="auto" w:fill="FFFFFF"/>
            <w:lang w:val="en-US"/>
          </w:rPr>
          <w:t>31890/11</w:t>
        </w:r>
      </w:hyperlink>
      <w:r w:rsidRPr="0079515C">
        <w:rPr>
          <w:color w:val="000000" w:themeColor="text1"/>
          <w:spacing w:val="-4"/>
          <w:lang w:val="en-US"/>
        </w:rPr>
        <w:t>, Judgment of October 3, 2013, para.</w:t>
      </w:r>
      <w:proofErr w:type="gramEnd"/>
      <w:r w:rsidRPr="0079515C">
        <w:rPr>
          <w:color w:val="000000" w:themeColor="text1"/>
          <w:spacing w:val="-4"/>
          <w:lang w:val="en-US"/>
        </w:rPr>
        <w:t xml:space="preserve"> 109.</w:t>
      </w:r>
    </w:p>
  </w:footnote>
  <w:footnote w:id="226">
    <w:p w14:paraId="2CF32E7C" w14:textId="4EAE343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Affidavit made by Ben Saul on August 18, 2014 (evidence file, folio 6961).</w:t>
      </w:r>
    </w:p>
  </w:footnote>
  <w:footnote w:id="227">
    <w:p w14:paraId="084B0F63" w14:textId="29F19860" w:rsidR="002306C1" w:rsidRPr="0079515C" w:rsidRDefault="002306C1" w:rsidP="00853044">
      <w:pPr>
        <w:tabs>
          <w:tab w:val="left" w:pos="426"/>
        </w:tabs>
        <w:spacing w:before="120" w:after="120"/>
        <w:rPr>
          <w:color w:val="000000" w:themeColor="text1"/>
          <w:spacing w:val="-4"/>
          <w:sz w:val="16"/>
          <w:szCs w:val="16"/>
          <w:lang w:val="en-US"/>
        </w:rPr>
      </w:pPr>
      <w:r w:rsidRPr="0079515C">
        <w:rPr>
          <w:rStyle w:val="FootnoteReference"/>
          <w:rFonts w:eastAsiaTheme="majorEastAsia"/>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 xml:space="preserve">Cf. </w:t>
      </w:r>
      <w:r w:rsidRPr="0079515C">
        <w:rPr>
          <w:color w:val="000000" w:themeColor="text1"/>
          <w:spacing w:val="-4"/>
          <w:sz w:val="16"/>
          <w:szCs w:val="16"/>
          <w:lang w:val="en-US"/>
        </w:rPr>
        <w:t xml:space="preserve">ECHR, </w:t>
      </w:r>
      <w:r w:rsidRPr="0079515C">
        <w:rPr>
          <w:i/>
          <w:color w:val="000000" w:themeColor="text1"/>
          <w:spacing w:val="-4"/>
          <w:sz w:val="16"/>
          <w:szCs w:val="16"/>
          <w:lang w:val="en-US"/>
        </w:rPr>
        <w:t xml:space="preserve">Case of </w:t>
      </w:r>
      <w:proofErr w:type="spellStart"/>
      <w:r w:rsidRPr="0079515C">
        <w:rPr>
          <w:i/>
          <w:color w:val="000000" w:themeColor="text1"/>
          <w:spacing w:val="-4"/>
          <w:sz w:val="16"/>
          <w:szCs w:val="16"/>
          <w:lang w:val="en-US"/>
        </w:rPr>
        <w:t>Saadi</w:t>
      </w:r>
      <w:proofErr w:type="spellEnd"/>
      <w:r w:rsidRPr="0079515C">
        <w:rPr>
          <w:i/>
          <w:color w:val="000000" w:themeColor="text1"/>
          <w:spacing w:val="-4"/>
          <w:sz w:val="16"/>
          <w:szCs w:val="16"/>
          <w:lang w:val="en-US"/>
        </w:rPr>
        <w:t xml:space="preserve"> v. Italy </w:t>
      </w:r>
      <w:r w:rsidRPr="0079515C">
        <w:rPr>
          <w:color w:val="000000" w:themeColor="text1"/>
          <w:spacing w:val="-4"/>
          <w:sz w:val="16"/>
          <w:szCs w:val="16"/>
          <w:lang w:val="en-US"/>
        </w:rPr>
        <w:t xml:space="preserve">[GS], No. 37201/06. </w:t>
      </w:r>
      <w:proofErr w:type="gramStart"/>
      <w:r w:rsidRPr="0079515C">
        <w:rPr>
          <w:color w:val="000000" w:themeColor="text1"/>
          <w:spacing w:val="-4"/>
          <w:sz w:val="16"/>
          <w:szCs w:val="16"/>
          <w:lang w:val="en-US"/>
        </w:rPr>
        <w:t>Judgment of February 28, 2008, para.</w:t>
      </w:r>
      <w:proofErr w:type="gramEnd"/>
      <w:r w:rsidRPr="0079515C">
        <w:rPr>
          <w:color w:val="000000" w:themeColor="text1"/>
          <w:spacing w:val="-4"/>
          <w:sz w:val="16"/>
          <w:szCs w:val="16"/>
          <w:lang w:val="en-US"/>
        </w:rPr>
        <w:t xml:space="preserve"> </w:t>
      </w:r>
      <w:proofErr w:type="gramStart"/>
      <w:r w:rsidRPr="0079515C">
        <w:rPr>
          <w:rStyle w:val="sb8d990e2"/>
          <w:rFonts w:cs="Arial"/>
          <w:color w:val="000000" w:themeColor="text1"/>
          <w:spacing w:val="-4"/>
          <w:sz w:val="16"/>
          <w:szCs w:val="16"/>
          <w:shd w:val="clear" w:color="auto" w:fill="FFFFFF"/>
          <w:lang w:val="en-US"/>
        </w:rPr>
        <w:t xml:space="preserve">147; </w:t>
      </w:r>
      <w:r w:rsidRPr="0079515C">
        <w:rPr>
          <w:i/>
          <w:spacing w:val="-4"/>
          <w:sz w:val="16"/>
          <w:szCs w:val="16"/>
          <w:lang w:val="en-US"/>
        </w:rPr>
        <w:t xml:space="preserve">Case of </w:t>
      </w:r>
      <w:proofErr w:type="spellStart"/>
      <w:r w:rsidRPr="0079515C">
        <w:rPr>
          <w:i/>
          <w:spacing w:val="-4"/>
          <w:sz w:val="16"/>
          <w:szCs w:val="16"/>
          <w:lang w:val="en-US"/>
        </w:rPr>
        <w:t>Muminov</w:t>
      </w:r>
      <w:proofErr w:type="spellEnd"/>
      <w:r w:rsidRPr="0079515C">
        <w:rPr>
          <w:i/>
          <w:spacing w:val="-4"/>
          <w:sz w:val="16"/>
          <w:szCs w:val="16"/>
          <w:lang w:val="en-US"/>
        </w:rPr>
        <w:t xml:space="preserve"> v. Russia,</w:t>
      </w:r>
      <w:r w:rsidRPr="0079515C">
        <w:rPr>
          <w:spacing w:val="-4"/>
          <w:sz w:val="16"/>
          <w:szCs w:val="16"/>
          <w:lang w:val="en-US"/>
        </w:rPr>
        <w:t xml:space="preserve"> No. 42502/06.</w:t>
      </w:r>
      <w:proofErr w:type="gramEnd"/>
      <w:r w:rsidRPr="0079515C">
        <w:rPr>
          <w:spacing w:val="-4"/>
          <w:sz w:val="16"/>
          <w:szCs w:val="16"/>
          <w:lang w:val="en-US"/>
        </w:rPr>
        <w:t xml:space="preserve"> </w:t>
      </w:r>
      <w:proofErr w:type="gramStart"/>
      <w:r w:rsidRPr="0079515C">
        <w:rPr>
          <w:spacing w:val="-4"/>
          <w:sz w:val="16"/>
          <w:szCs w:val="16"/>
          <w:lang w:val="en-US"/>
        </w:rPr>
        <w:t>Judgment of December 11, 2008, para.</w:t>
      </w:r>
      <w:proofErr w:type="gramEnd"/>
      <w:r w:rsidRPr="0079515C">
        <w:rPr>
          <w:spacing w:val="-4"/>
          <w:sz w:val="16"/>
          <w:szCs w:val="16"/>
          <w:lang w:val="en-US"/>
        </w:rPr>
        <w:t xml:space="preserve"> </w:t>
      </w:r>
      <w:proofErr w:type="gramStart"/>
      <w:r w:rsidRPr="0079515C">
        <w:rPr>
          <w:spacing w:val="-4"/>
          <w:sz w:val="16"/>
          <w:szCs w:val="16"/>
          <w:lang w:val="en-US"/>
        </w:rPr>
        <w:t xml:space="preserve">96; </w:t>
      </w:r>
      <w:r w:rsidRPr="0079515C">
        <w:rPr>
          <w:i/>
          <w:spacing w:val="-4"/>
          <w:sz w:val="16"/>
          <w:szCs w:val="16"/>
          <w:lang w:val="en-US"/>
        </w:rPr>
        <w:t xml:space="preserve">Case of </w:t>
      </w:r>
      <w:proofErr w:type="spellStart"/>
      <w:r w:rsidRPr="0079515C">
        <w:rPr>
          <w:i/>
          <w:spacing w:val="-4"/>
          <w:sz w:val="16"/>
          <w:szCs w:val="16"/>
          <w:lang w:val="en-US"/>
        </w:rPr>
        <w:t>Garayev</w:t>
      </w:r>
      <w:proofErr w:type="spellEnd"/>
      <w:r w:rsidRPr="0079515C">
        <w:rPr>
          <w:i/>
          <w:spacing w:val="-4"/>
          <w:sz w:val="16"/>
          <w:szCs w:val="16"/>
          <w:lang w:val="en-US"/>
        </w:rPr>
        <w:t xml:space="preserve"> v. Azerbaijan</w:t>
      </w:r>
      <w:r w:rsidRPr="0079515C">
        <w:rPr>
          <w:spacing w:val="-4"/>
          <w:sz w:val="16"/>
          <w:szCs w:val="16"/>
          <w:lang w:val="en-US"/>
        </w:rPr>
        <w:t>, No. 53688/08.</w:t>
      </w:r>
      <w:proofErr w:type="gramEnd"/>
      <w:r w:rsidRPr="0079515C">
        <w:rPr>
          <w:spacing w:val="-4"/>
          <w:sz w:val="16"/>
          <w:szCs w:val="16"/>
          <w:lang w:val="en-US"/>
        </w:rPr>
        <w:t xml:space="preserve">  </w:t>
      </w:r>
      <w:proofErr w:type="gramStart"/>
      <w:r w:rsidRPr="0079515C">
        <w:rPr>
          <w:spacing w:val="-4"/>
          <w:sz w:val="16"/>
          <w:szCs w:val="16"/>
          <w:lang w:val="en-US"/>
        </w:rPr>
        <w:t>Judgment of June 10, 2010, para.</w:t>
      </w:r>
      <w:proofErr w:type="gramEnd"/>
      <w:r w:rsidRPr="0079515C">
        <w:rPr>
          <w:spacing w:val="-4"/>
          <w:sz w:val="16"/>
          <w:szCs w:val="16"/>
          <w:lang w:val="en-US"/>
        </w:rPr>
        <w:t xml:space="preserve"> </w:t>
      </w:r>
      <w:proofErr w:type="gramStart"/>
      <w:r w:rsidRPr="0079515C">
        <w:rPr>
          <w:spacing w:val="-4"/>
          <w:sz w:val="16"/>
          <w:szCs w:val="16"/>
          <w:lang w:val="en-US"/>
        </w:rPr>
        <w:t>73,</w:t>
      </w:r>
      <w:proofErr w:type="gramEnd"/>
      <w:r w:rsidRPr="0079515C">
        <w:rPr>
          <w:spacing w:val="-4"/>
          <w:sz w:val="16"/>
          <w:szCs w:val="16"/>
          <w:lang w:val="en-US"/>
        </w:rPr>
        <w:t xml:space="preserve"> and </w:t>
      </w:r>
      <w:r w:rsidRPr="0079515C">
        <w:rPr>
          <w:i/>
          <w:spacing w:val="-4"/>
          <w:sz w:val="16"/>
          <w:szCs w:val="16"/>
          <w:lang w:val="en-US"/>
        </w:rPr>
        <w:t xml:space="preserve">Case of </w:t>
      </w:r>
      <w:proofErr w:type="spellStart"/>
      <w:r w:rsidRPr="0079515C">
        <w:rPr>
          <w:rFonts w:cs="Arial"/>
          <w:bCs/>
          <w:i/>
          <w:color w:val="000000"/>
          <w:spacing w:val="-4"/>
          <w:sz w:val="16"/>
          <w:szCs w:val="16"/>
          <w:shd w:val="clear" w:color="auto" w:fill="FFFFFF"/>
          <w:lang w:val="en-US"/>
        </w:rPr>
        <w:t>Boutagni</w:t>
      </w:r>
      <w:proofErr w:type="spellEnd"/>
      <w:r w:rsidRPr="0079515C">
        <w:rPr>
          <w:rFonts w:cs="Arial"/>
          <w:bCs/>
          <w:i/>
          <w:color w:val="000000"/>
          <w:spacing w:val="-4"/>
          <w:sz w:val="16"/>
          <w:szCs w:val="16"/>
          <w:shd w:val="clear" w:color="auto" w:fill="FFFFFF"/>
          <w:lang w:val="en-US"/>
        </w:rPr>
        <w:t xml:space="preserve"> v. France,</w:t>
      </w:r>
      <w:r w:rsidRPr="0079515C">
        <w:rPr>
          <w:rFonts w:cs="Arial"/>
          <w:bCs/>
          <w:color w:val="000000"/>
          <w:spacing w:val="-4"/>
          <w:sz w:val="16"/>
          <w:szCs w:val="16"/>
          <w:shd w:val="clear" w:color="auto" w:fill="FFFFFF"/>
          <w:lang w:val="en-US"/>
        </w:rPr>
        <w:t xml:space="preserve"> </w:t>
      </w:r>
      <w:r w:rsidRPr="0079515C">
        <w:rPr>
          <w:rStyle w:val="s6b621b36"/>
          <w:rFonts w:cs="Arial"/>
          <w:iCs/>
          <w:color w:val="000000" w:themeColor="text1"/>
          <w:spacing w:val="-4"/>
          <w:sz w:val="16"/>
          <w:szCs w:val="16"/>
          <w:shd w:val="clear" w:color="auto" w:fill="FFFFFF"/>
          <w:lang w:val="en-US"/>
        </w:rPr>
        <w:t>N</w:t>
      </w:r>
      <w:r w:rsidRPr="0079515C">
        <w:rPr>
          <w:rStyle w:val="sf1c7242d"/>
          <w:rFonts w:cs="Arial"/>
          <w:iCs/>
          <w:color w:val="000000" w:themeColor="text1"/>
          <w:spacing w:val="-4"/>
          <w:sz w:val="16"/>
          <w:szCs w:val="16"/>
          <w:shd w:val="clear" w:color="auto" w:fill="FFFFFF"/>
          <w:lang w:val="en-US"/>
        </w:rPr>
        <w:t>o.</w:t>
      </w:r>
      <w:r w:rsidRPr="0079515C">
        <w:rPr>
          <w:rStyle w:val="apple-converted-space"/>
          <w:rFonts w:cs="Arial"/>
          <w:iCs/>
          <w:color w:val="000000" w:themeColor="text1"/>
          <w:spacing w:val="-4"/>
          <w:sz w:val="16"/>
          <w:szCs w:val="16"/>
          <w:shd w:val="clear" w:color="auto" w:fill="FFFFFF"/>
          <w:lang w:val="en-US"/>
        </w:rPr>
        <w:t> </w:t>
      </w:r>
      <w:hyperlink r:id="rId49" w:anchor="{&quot;appno&quot;:[&quot;42360/08&quot;]}" w:tgtFrame="_blank" w:history="1">
        <w:r w:rsidRPr="0079515C">
          <w:rPr>
            <w:rStyle w:val="Hyperlink"/>
            <w:rFonts w:cs="Arial"/>
            <w:iCs/>
            <w:color w:val="000000" w:themeColor="text1"/>
            <w:spacing w:val="-4"/>
            <w:sz w:val="16"/>
            <w:szCs w:val="16"/>
            <w:u w:val="none"/>
            <w:shd w:val="clear" w:color="auto" w:fill="FFFFFF"/>
            <w:lang w:val="en-US"/>
          </w:rPr>
          <w:t>42360/08</w:t>
        </w:r>
      </w:hyperlink>
      <w:r>
        <w:rPr>
          <w:rStyle w:val="s6b621b36"/>
          <w:rFonts w:cs="Arial"/>
          <w:iCs/>
          <w:color w:val="000000" w:themeColor="text1"/>
          <w:spacing w:val="-4"/>
          <w:sz w:val="16"/>
          <w:szCs w:val="16"/>
          <w:shd w:val="clear" w:color="auto" w:fill="FFFFFF"/>
          <w:lang w:val="en-US"/>
        </w:rPr>
        <w:t xml:space="preserve">. </w:t>
      </w:r>
      <w:proofErr w:type="gramStart"/>
      <w:r>
        <w:rPr>
          <w:rStyle w:val="s6b621b36"/>
          <w:rFonts w:cs="Arial"/>
          <w:iCs/>
          <w:color w:val="000000" w:themeColor="text1"/>
          <w:spacing w:val="-4"/>
          <w:sz w:val="16"/>
          <w:szCs w:val="16"/>
          <w:shd w:val="clear" w:color="auto" w:fill="FFFFFF"/>
          <w:lang w:val="en-US"/>
        </w:rPr>
        <w:t xml:space="preserve">Judgment of </w:t>
      </w:r>
      <w:r w:rsidRPr="0079515C">
        <w:rPr>
          <w:rStyle w:val="s6b621b36"/>
          <w:rFonts w:cs="Arial"/>
          <w:iCs/>
          <w:color w:val="000000" w:themeColor="text1"/>
          <w:spacing w:val="-4"/>
          <w:sz w:val="16"/>
          <w:szCs w:val="16"/>
          <w:shd w:val="clear" w:color="auto" w:fill="FFFFFF"/>
          <w:lang w:val="en-US"/>
        </w:rPr>
        <w:t>November 18, 2010,</w:t>
      </w:r>
      <w:r w:rsidRPr="0079515C">
        <w:rPr>
          <w:rFonts w:cs="Arial"/>
          <w:bCs/>
          <w:color w:val="000000" w:themeColor="text1"/>
          <w:spacing w:val="-4"/>
          <w:sz w:val="16"/>
          <w:szCs w:val="16"/>
          <w:shd w:val="clear" w:color="auto" w:fill="FFFFFF"/>
          <w:lang w:val="en-US"/>
        </w:rPr>
        <w:t xml:space="preserve"> para.</w:t>
      </w:r>
      <w:proofErr w:type="gramEnd"/>
      <w:r w:rsidRPr="0079515C">
        <w:rPr>
          <w:rFonts w:cs="Arial"/>
          <w:bCs/>
          <w:color w:val="000000" w:themeColor="text1"/>
          <w:spacing w:val="-4"/>
          <w:sz w:val="16"/>
          <w:szCs w:val="16"/>
          <w:shd w:val="clear" w:color="auto" w:fill="FFFFFF"/>
          <w:lang w:val="en-US"/>
        </w:rPr>
        <w:t xml:space="preserve"> 44</w:t>
      </w:r>
      <w:r w:rsidRPr="0079515C">
        <w:rPr>
          <w:spacing w:val="-4"/>
          <w:sz w:val="16"/>
          <w:szCs w:val="16"/>
          <w:lang w:val="en-US"/>
        </w:rPr>
        <w:t>.</w:t>
      </w:r>
    </w:p>
  </w:footnote>
  <w:footnote w:id="228">
    <w:p w14:paraId="4299EF41" w14:textId="39DC22C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color w:val="000000" w:themeColor="text1"/>
          <w:spacing w:val="-4"/>
          <w:lang w:val="en-US"/>
        </w:rPr>
        <w:t xml:space="preserve">ECHR, </w:t>
      </w:r>
      <w:r w:rsidRPr="0079515C">
        <w:rPr>
          <w:i/>
          <w:color w:val="000000" w:themeColor="text1"/>
          <w:spacing w:val="-4"/>
          <w:lang w:val="en-US"/>
        </w:rPr>
        <w:t xml:space="preserve">Case of </w:t>
      </w:r>
      <w:proofErr w:type="spellStart"/>
      <w:r w:rsidRPr="0079515C">
        <w:rPr>
          <w:i/>
          <w:color w:val="000000" w:themeColor="text1"/>
          <w:spacing w:val="-4"/>
          <w:lang w:val="en-US"/>
        </w:rPr>
        <w:t>Nizomkhon</w:t>
      </w:r>
      <w:proofErr w:type="spellEnd"/>
      <w:r w:rsidRPr="0079515C">
        <w:rPr>
          <w:i/>
          <w:color w:val="000000" w:themeColor="text1"/>
          <w:spacing w:val="-4"/>
          <w:lang w:val="en-US"/>
        </w:rPr>
        <w:t xml:space="preserve"> </w:t>
      </w:r>
      <w:proofErr w:type="spellStart"/>
      <w:r w:rsidRPr="0079515C">
        <w:rPr>
          <w:i/>
          <w:color w:val="000000" w:themeColor="text1"/>
          <w:spacing w:val="-4"/>
          <w:lang w:val="en-US"/>
        </w:rPr>
        <w:t>Dzhurayev</w:t>
      </w:r>
      <w:proofErr w:type="spellEnd"/>
      <w:r w:rsidRPr="0079515C">
        <w:rPr>
          <w:i/>
          <w:color w:val="000000" w:themeColor="text1"/>
          <w:spacing w:val="-4"/>
          <w:lang w:val="en-US"/>
        </w:rPr>
        <w:t xml:space="preserve"> v. Russia</w:t>
      </w:r>
      <w:r w:rsidRPr="0079515C">
        <w:rPr>
          <w:color w:val="000000" w:themeColor="text1"/>
          <w:spacing w:val="-4"/>
          <w:lang w:val="en-US"/>
        </w:rPr>
        <w:t xml:space="preserve">, </w:t>
      </w:r>
      <w:r w:rsidRPr="0079515C">
        <w:rPr>
          <w:rFonts w:cs="Arial"/>
          <w:iCs/>
          <w:color w:val="000000" w:themeColor="text1"/>
          <w:spacing w:val="-4"/>
          <w:shd w:val="clear" w:color="auto" w:fill="FFFFFF"/>
          <w:lang w:val="en-US"/>
        </w:rPr>
        <w:t>No.</w:t>
      </w:r>
      <w:r w:rsidRPr="0079515C">
        <w:rPr>
          <w:rStyle w:val="apple-converted-space"/>
          <w:rFonts w:cs="Arial"/>
          <w:iCs/>
          <w:color w:val="000000" w:themeColor="text1"/>
          <w:spacing w:val="-4"/>
          <w:shd w:val="clear" w:color="auto" w:fill="FFFFFF"/>
          <w:lang w:val="en-US"/>
        </w:rPr>
        <w:t> </w:t>
      </w:r>
      <w:hyperlink r:id="rId50" w:anchor="{&quot;appno&quot;:[&quot;31890/11&quot;]}" w:tgtFrame="_blank" w:history="1">
        <w:proofErr w:type="gramStart"/>
        <w:r w:rsidRPr="0079515C">
          <w:rPr>
            <w:rStyle w:val="Hyperlink"/>
            <w:rFonts w:cs="Arial"/>
            <w:iCs/>
            <w:color w:val="000000" w:themeColor="text1"/>
            <w:spacing w:val="-4"/>
            <w:u w:val="none"/>
            <w:shd w:val="clear" w:color="auto" w:fill="FFFFFF"/>
            <w:lang w:val="en-US"/>
          </w:rPr>
          <w:t>31890/11</w:t>
        </w:r>
      </w:hyperlink>
      <w:r w:rsidRPr="0079515C">
        <w:rPr>
          <w:color w:val="000000" w:themeColor="text1"/>
          <w:spacing w:val="-4"/>
          <w:lang w:val="en-US"/>
        </w:rPr>
        <w:t>, Judgment of October 3, 2013, para.</w:t>
      </w:r>
      <w:proofErr w:type="gramEnd"/>
      <w:r w:rsidRPr="0079515C">
        <w:rPr>
          <w:color w:val="000000" w:themeColor="text1"/>
          <w:spacing w:val="-4"/>
          <w:lang w:val="en-US"/>
        </w:rPr>
        <w:t xml:space="preserve"> 109. See also, </w:t>
      </w:r>
      <w:r w:rsidRPr="0079515C">
        <w:rPr>
          <w:i/>
          <w:color w:val="000000" w:themeColor="text1"/>
          <w:spacing w:val="-4"/>
          <w:lang w:val="en-US"/>
        </w:rPr>
        <w:t xml:space="preserve">Case of </w:t>
      </w:r>
      <w:proofErr w:type="spellStart"/>
      <w:r w:rsidRPr="0079515C">
        <w:rPr>
          <w:i/>
          <w:color w:val="000000" w:themeColor="text1"/>
          <w:spacing w:val="-4"/>
          <w:lang w:val="en-US"/>
        </w:rPr>
        <w:t>Saadi</w:t>
      </w:r>
      <w:proofErr w:type="spellEnd"/>
      <w:r w:rsidRPr="0079515C">
        <w:rPr>
          <w:i/>
          <w:color w:val="000000" w:themeColor="text1"/>
          <w:spacing w:val="-4"/>
          <w:lang w:val="en-US"/>
        </w:rPr>
        <w:t xml:space="preserve"> v. Italy </w:t>
      </w:r>
      <w:r w:rsidRPr="0079515C">
        <w:rPr>
          <w:color w:val="000000" w:themeColor="text1"/>
          <w:spacing w:val="-4"/>
          <w:lang w:val="en-US"/>
        </w:rPr>
        <w:t xml:space="preserve">[GS], No. 37201/06. </w:t>
      </w:r>
      <w:proofErr w:type="gramStart"/>
      <w:r w:rsidRPr="0079515C">
        <w:rPr>
          <w:color w:val="000000" w:themeColor="text1"/>
          <w:spacing w:val="-4"/>
          <w:lang w:val="en-US"/>
        </w:rPr>
        <w:t>Judgment of February 28, 2008, para.</w:t>
      </w:r>
      <w:proofErr w:type="gramEnd"/>
      <w:r w:rsidRPr="0079515C">
        <w:rPr>
          <w:color w:val="000000" w:themeColor="text1"/>
          <w:spacing w:val="-4"/>
          <w:lang w:val="en-US"/>
        </w:rPr>
        <w:t xml:space="preserve"> </w:t>
      </w:r>
      <w:proofErr w:type="gramStart"/>
      <w:r w:rsidRPr="0079515C">
        <w:rPr>
          <w:spacing w:val="-4"/>
          <w:lang w:val="en-US"/>
        </w:rPr>
        <w:t xml:space="preserve">131, and </w:t>
      </w:r>
      <w:r w:rsidRPr="0079515C">
        <w:rPr>
          <w:i/>
          <w:spacing w:val="-4"/>
          <w:lang w:val="en-US"/>
        </w:rPr>
        <w:t>Case of</w:t>
      </w:r>
      <w:r w:rsidRPr="0079515C">
        <w:rPr>
          <w:spacing w:val="-4"/>
          <w:lang w:val="en-US"/>
        </w:rPr>
        <w:t xml:space="preserve"> </w:t>
      </w:r>
      <w:proofErr w:type="spellStart"/>
      <w:r w:rsidRPr="0079515C">
        <w:rPr>
          <w:i/>
          <w:spacing w:val="-4"/>
          <w:lang w:val="en-US"/>
        </w:rPr>
        <w:t>Shamayev</w:t>
      </w:r>
      <w:proofErr w:type="spellEnd"/>
      <w:r w:rsidRPr="0079515C">
        <w:rPr>
          <w:i/>
          <w:spacing w:val="-4"/>
          <w:lang w:val="en-US"/>
        </w:rPr>
        <w:t xml:space="preserve"> </w:t>
      </w:r>
      <w:r>
        <w:rPr>
          <w:i/>
          <w:spacing w:val="-4"/>
          <w:lang w:val="en-US"/>
        </w:rPr>
        <w:t>and Others</w:t>
      </w:r>
      <w:r w:rsidRPr="0079515C">
        <w:rPr>
          <w:i/>
          <w:spacing w:val="-4"/>
          <w:lang w:val="en-US"/>
        </w:rPr>
        <w:t xml:space="preserve"> v. Georgia and Russia</w:t>
      </w:r>
      <w:r w:rsidRPr="0079515C">
        <w:rPr>
          <w:spacing w:val="-4"/>
          <w:lang w:val="en-US"/>
        </w:rPr>
        <w:t>, No. 36378/02.</w:t>
      </w:r>
      <w:proofErr w:type="gramEnd"/>
      <w:r w:rsidRPr="0079515C">
        <w:rPr>
          <w:spacing w:val="-4"/>
          <w:lang w:val="en-US"/>
        </w:rPr>
        <w:t xml:space="preserve"> </w:t>
      </w:r>
      <w:proofErr w:type="gramStart"/>
      <w:r w:rsidRPr="0079515C">
        <w:rPr>
          <w:spacing w:val="-4"/>
          <w:lang w:val="en-US"/>
        </w:rPr>
        <w:t>Judgment of April 12, 2005, para.</w:t>
      </w:r>
      <w:proofErr w:type="gramEnd"/>
      <w:r w:rsidRPr="0079515C">
        <w:rPr>
          <w:spacing w:val="-4"/>
          <w:lang w:val="en-US"/>
        </w:rPr>
        <w:t xml:space="preserve"> 337.</w:t>
      </w:r>
    </w:p>
  </w:footnote>
  <w:footnote w:id="229">
    <w:p w14:paraId="267C637C" w14:textId="1C661B9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color w:val="000000" w:themeColor="text1"/>
          <w:spacing w:val="-4"/>
          <w:lang w:val="en-US"/>
        </w:rPr>
        <w:t xml:space="preserve">ECHR, </w:t>
      </w:r>
      <w:r w:rsidRPr="0079515C">
        <w:rPr>
          <w:i/>
          <w:color w:val="000000" w:themeColor="text1"/>
          <w:spacing w:val="-4"/>
          <w:lang w:val="en-US"/>
        </w:rPr>
        <w:t xml:space="preserve">Case of </w:t>
      </w:r>
      <w:proofErr w:type="spellStart"/>
      <w:r w:rsidRPr="0079515C">
        <w:rPr>
          <w:i/>
          <w:color w:val="000000" w:themeColor="text1"/>
          <w:spacing w:val="-4"/>
          <w:lang w:val="en-US"/>
        </w:rPr>
        <w:t>Nizomkhon</w:t>
      </w:r>
      <w:proofErr w:type="spellEnd"/>
      <w:r w:rsidRPr="0079515C">
        <w:rPr>
          <w:i/>
          <w:color w:val="000000" w:themeColor="text1"/>
          <w:spacing w:val="-4"/>
          <w:lang w:val="en-US"/>
        </w:rPr>
        <w:t xml:space="preserve"> </w:t>
      </w:r>
      <w:proofErr w:type="spellStart"/>
      <w:r w:rsidRPr="0079515C">
        <w:rPr>
          <w:i/>
          <w:color w:val="000000" w:themeColor="text1"/>
          <w:spacing w:val="-4"/>
          <w:lang w:val="en-US"/>
        </w:rPr>
        <w:t>Dzhurayev</w:t>
      </w:r>
      <w:proofErr w:type="spellEnd"/>
      <w:r w:rsidRPr="0079515C">
        <w:rPr>
          <w:i/>
          <w:color w:val="000000" w:themeColor="text1"/>
          <w:spacing w:val="-4"/>
          <w:lang w:val="en-US"/>
        </w:rPr>
        <w:t xml:space="preserve"> v. Russia</w:t>
      </w:r>
      <w:r w:rsidRPr="0079515C">
        <w:rPr>
          <w:color w:val="000000" w:themeColor="text1"/>
          <w:spacing w:val="-4"/>
          <w:lang w:val="en-US"/>
        </w:rPr>
        <w:t xml:space="preserve">, </w:t>
      </w:r>
      <w:r w:rsidRPr="0079515C">
        <w:rPr>
          <w:rFonts w:cs="Arial"/>
          <w:iCs/>
          <w:color w:val="000000" w:themeColor="text1"/>
          <w:spacing w:val="-4"/>
          <w:shd w:val="clear" w:color="auto" w:fill="FFFFFF"/>
          <w:lang w:val="en-US"/>
        </w:rPr>
        <w:t>No.</w:t>
      </w:r>
      <w:r w:rsidRPr="0079515C">
        <w:rPr>
          <w:rStyle w:val="apple-converted-space"/>
          <w:rFonts w:cs="Arial"/>
          <w:iCs/>
          <w:color w:val="000000" w:themeColor="text1"/>
          <w:spacing w:val="-4"/>
          <w:shd w:val="clear" w:color="auto" w:fill="FFFFFF"/>
          <w:lang w:val="en-US"/>
        </w:rPr>
        <w:t> </w:t>
      </w:r>
      <w:hyperlink r:id="rId51" w:anchor="{&quot;appno&quot;:[&quot;31890/11&quot;]}" w:tgtFrame="_blank" w:history="1">
        <w:proofErr w:type="gramStart"/>
        <w:r w:rsidRPr="0079515C">
          <w:rPr>
            <w:rStyle w:val="Hyperlink"/>
            <w:rFonts w:cs="Arial"/>
            <w:iCs/>
            <w:color w:val="000000" w:themeColor="text1"/>
            <w:spacing w:val="-4"/>
            <w:u w:val="none"/>
            <w:shd w:val="clear" w:color="auto" w:fill="FFFFFF"/>
            <w:lang w:val="en-US"/>
          </w:rPr>
          <w:t>31890/11</w:t>
        </w:r>
      </w:hyperlink>
      <w:r w:rsidRPr="0079515C">
        <w:rPr>
          <w:color w:val="000000" w:themeColor="text1"/>
          <w:spacing w:val="-4"/>
          <w:lang w:val="en-US"/>
        </w:rPr>
        <w:t>, Judgment of October 3, 2013, para.</w:t>
      </w:r>
      <w:proofErr w:type="gramEnd"/>
      <w:r w:rsidRPr="0079515C">
        <w:rPr>
          <w:color w:val="000000" w:themeColor="text1"/>
          <w:spacing w:val="-4"/>
          <w:lang w:val="en-US"/>
        </w:rPr>
        <w:t xml:space="preserve"> 110. See also: </w:t>
      </w:r>
      <w:proofErr w:type="spellStart"/>
      <w:r w:rsidRPr="0079515C">
        <w:rPr>
          <w:i/>
          <w:iCs/>
          <w:color w:val="000000" w:themeColor="text1"/>
          <w:spacing w:val="-4"/>
          <w:lang w:val="en-US"/>
        </w:rPr>
        <w:t>Dzhaksybergenov</w:t>
      </w:r>
      <w:proofErr w:type="spellEnd"/>
      <w:r w:rsidRPr="0079515C">
        <w:rPr>
          <w:i/>
          <w:iCs/>
          <w:color w:val="000000" w:themeColor="text1"/>
          <w:spacing w:val="-4"/>
          <w:lang w:val="en-US"/>
        </w:rPr>
        <w:t xml:space="preserve"> v. Ukraine</w:t>
      </w:r>
      <w:r w:rsidRPr="0079515C">
        <w:rPr>
          <w:i/>
          <w:color w:val="000000" w:themeColor="text1"/>
          <w:spacing w:val="-4"/>
          <w:lang w:val="en-US"/>
        </w:rPr>
        <w:t>,</w:t>
      </w:r>
      <w:r w:rsidRPr="0079515C">
        <w:rPr>
          <w:color w:val="000000" w:themeColor="text1"/>
          <w:spacing w:val="-4"/>
          <w:lang w:val="en-US"/>
        </w:rPr>
        <w:t xml:space="preserve"> No. </w:t>
      </w:r>
      <w:hyperlink r:id="rId52" w:anchor="{&quot;appno&quot;:[&quot;12343/10&quot;]}" w:tgtFrame="_blank" w:history="1">
        <w:proofErr w:type="gramStart"/>
        <w:r w:rsidRPr="0079515C">
          <w:rPr>
            <w:rStyle w:val="Hyperlink"/>
            <w:color w:val="000000" w:themeColor="text1"/>
            <w:spacing w:val="-4"/>
            <w:u w:val="none"/>
            <w:lang w:val="en-US"/>
          </w:rPr>
          <w:t>12343/10</w:t>
        </w:r>
      </w:hyperlink>
      <w:r w:rsidRPr="0079515C">
        <w:rPr>
          <w:color w:val="000000" w:themeColor="text1"/>
          <w:spacing w:val="-4"/>
          <w:lang w:val="en-US"/>
        </w:rPr>
        <w:t>.</w:t>
      </w:r>
      <w:proofErr w:type="gramEnd"/>
      <w:r w:rsidRPr="0079515C">
        <w:rPr>
          <w:color w:val="000000" w:themeColor="text1"/>
          <w:spacing w:val="-4"/>
          <w:lang w:val="en-US"/>
        </w:rPr>
        <w:t xml:space="preserve"> </w:t>
      </w:r>
      <w:proofErr w:type="gramStart"/>
      <w:r w:rsidRPr="0079515C">
        <w:rPr>
          <w:color w:val="000000" w:themeColor="text1"/>
          <w:spacing w:val="-4"/>
          <w:lang w:val="en-US"/>
        </w:rPr>
        <w:t>Judgment of February 10, 2011, para.</w:t>
      </w:r>
      <w:proofErr w:type="gramEnd"/>
      <w:r w:rsidRPr="0079515C">
        <w:rPr>
          <w:color w:val="000000" w:themeColor="text1"/>
          <w:spacing w:val="-4"/>
          <w:lang w:val="en-US"/>
        </w:rPr>
        <w:t xml:space="preserve"> </w:t>
      </w:r>
      <w:proofErr w:type="gramStart"/>
      <w:r w:rsidRPr="0079515C">
        <w:rPr>
          <w:color w:val="000000" w:themeColor="text1"/>
          <w:spacing w:val="-4"/>
          <w:lang w:val="en-US"/>
        </w:rPr>
        <w:t xml:space="preserve">37; </w:t>
      </w:r>
      <w:r w:rsidRPr="0079515C">
        <w:rPr>
          <w:rStyle w:val="sb8d990e2"/>
          <w:rFonts w:cs="Arial"/>
          <w:i/>
          <w:color w:val="000000"/>
          <w:spacing w:val="-4"/>
          <w:shd w:val="clear" w:color="auto" w:fill="FFFFFF"/>
          <w:lang w:val="en-US"/>
        </w:rPr>
        <w:t>Case of</w:t>
      </w:r>
      <w:r w:rsidRPr="0079515C">
        <w:rPr>
          <w:rStyle w:val="sb8d990e2"/>
          <w:rFonts w:cs="Arial"/>
          <w:color w:val="000000"/>
          <w:spacing w:val="-4"/>
          <w:shd w:val="clear" w:color="auto" w:fill="FFFFFF"/>
          <w:lang w:val="en-US"/>
        </w:rPr>
        <w:t xml:space="preserve"> </w:t>
      </w:r>
      <w:proofErr w:type="spellStart"/>
      <w:r w:rsidRPr="0079515C">
        <w:rPr>
          <w:rStyle w:val="s6b621b36"/>
          <w:rFonts w:cs="Arial"/>
          <w:i/>
          <w:iCs/>
          <w:color w:val="000000"/>
          <w:spacing w:val="-4"/>
          <w:shd w:val="clear" w:color="auto" w:fill="FFFFFF"/>
          <w:lang w:val="en-US"/>
        </w:rPr>
        <w:t>Mamatkulov</w:t>
      </w:r>
      <w:proofErr w:type="spellEnd"/>
      <w:r w:rsidRPr="0079515C">
        <w:rPr>
          <w:rStyle w:val="s6b621b36"/>
          <w:rFonts w:cs="Arial"/>
          <w:i/>
          <w:iCs/>
          <w:color w:val="000000"/>
          <w:spacing w:val="-4"/>
          <w:shd w:val="clear" w:color="auto" w:fill="FFFFFF"/>
          <w:lang w:val="en-US"/>
        </w:rPr>
        <w:t xml:space="preserve"> and </w:t>
      </w:r>
      <w:proofErr w:type="spellStart"/>
      <w:r w:rsidRPr="0079515C">
        <w:rPr>
          <w:rStyle w:val="s6b621b36"/>
          <w:rFonts w:cs="Arial"/>
          <w:i/>
          <w:iCs/>
          <w:color w:val="000000"/>
          <w:spacing w:val="-4"/>
          <w:shd w:val="clear" w:color="auto" w:fill="FFFFFF"/>
          <w:lang w:val="en-US"/>
        </w:rPr>
        <w:t>Askarov</w:t>
      </w:r>
      <w:proofErr w:type="spellEnd"/>
      <w:r w:rsidRPr="0079515C">
        <w:rPr>
          <w:rStyle w:val="s6b621b36"/>
          <w:rFonts w:cs="Arial"/>
          <w:i/>
          <w:iCs/>
          <w:color w:val="000000"/>
          <w:spacing w:val="-4"/>
          <w:shd w:val="clear" w:color="auto" w:fill="FFFFFF"/>
          <w:lang w:val="en-US"/>
        </w:rPr>
        <w:t xml:space="preserve"> v. Turkey </w:t>
      </w:r>
      <w:r w:rsidRPr="0079515C">
        <w:rPr>
          <w:rStyle w:val="s6b621b36"/>
          <w:rFonts w:cs="Arial"/>
          <w:iCs/>
          <w:color w:val="000000"/>
          <w:spacing w:val="-4"/>
          <w:shd w:val="clear" w:color="auto" w:fill="FFFFFF"/>
          <w:lang w:val="en-US"/>
        </w:rPr>
        <w:t>[GS]</w:t>
      </w:r>
      <w:r w:rsidRPr="0079515C">
        <w:rPr>
          <w:rStyle w:val="sb8d990e2"/>
          <w:rFonts w:cs="Arial"/>
          <w:color w:val="000000"/>
          <w:spacing w:val="-4"/>
          <w:shd w:val="clear" w:color="auto" w:fill="FFFFFF"/>
          <w:lang w:val="en-US"/>
        </w:rPr>
        <w:t xml:space="preserve">, </w:t>
      </w:r>
      <w:r w:rsidRPr="0079515C">
        <w:rPr>
          <w:rStyle w:val="sb8d990e2"/>
          <w:rFonts w:cs="Arial"/>
          <w:spacing w:val="-4"/>
          <w:shd w:val="clear" w:color="auto" w:fill="FFFFFF"/>
          <w:lang w:val="en-US"/>
        </w:rPr>
        <w:t>Nos.</w:t>
      </w:r>
      <w:proofErr w:type="gramEnd"/>
      <w:r w:rsidRPr="0079515C">
        <w:rPr>
          <w:rStyle w:val="apple-converted-space"/>
          <w:rFonts w:cs="Arial"/>
          <w:spacing w:val="-4"/>
          <w:shd w:val="clear" w:color="auto" w:fill="FFFFFF"/>
          <w:lang w:val="en-US"/>
        </w:rPr>
        <w:t> </w:t>
      </w:r>
      <w:hyperlink r:id="rId53" w:anchor="{&quot;appno&quot;:[&quot;46827/99&quot;]}" w:tgtFrame="_blank" w:history="1">
        <w:proofErr w:type="gramStart"/>
        <w:r w:rsidRPr="0079515C">
          <w:rPr>
            <w:rStyle w:val="Hyperlink"/>
            <w:rFonts w:cs="Arial"/>
            <w:color w:val="auto"/>
            <w:spacing w:val="-4"/>
            <w:u w:val="none"/>
            <w:shd w:val="clear" w:color="auto" w:fill="FFFFFF"/>
            <w:lang w:val="en-US"/>
          </w:rPr>
          <w:t>46827/99</w:t>
        </w:r>
      </w:hyperlink>
      <w:r w:rsidRPr="0079515C">
        <w:rPr>
          <w:rStyle w:val="apple-converted-space"/>
          <w:rFonts w:cs="Arial"/>
          <w:spacing w:val="-4"/>
          <w:shd w:val="clear" w:color="auto" w:fill="FFFFFF"/>
          <w:lang w:val="en-US"/>
        </w:rPr>
        <w:t> </w:t>
      </w:r>
      <w:r w:rsidRPr="0079515C">
        <w:rPr>
          <w:rStyle w:val="sb8d990e2"/>
          <w:rFonts w:cs="Arial"/>
          <w:spacing w:val="-4"/>
          <w:shd w:val="clear" w:color="auto" w:fill="FFFFFF"/>
          <w:lang w:val="en-US"/>
        </w:rPr>
        <w:t>and</w:t>
      </w:r>
      <w:r w:rsidRPr="0079515C">
        <w:rPr>
          <w:rStyle w:val="apple-converted-space"/>
          <w:rFonts w:cs="Arial"/>
          <w:spacing w:val="-4"/>
          <w:shd w:val="clear" w:color="auto" w:fill="FFFFFF"/>
          <w:lang w:val="en-US"/>
        </w:rPr>
        <w:t> </w:t>
      </w:r>
      <w:hyperlink r:id="rId54" w:anchor="{&quot;appno&quot;:[&quot;46951/99&quot;]}" w:tgtFrame="_blank" w:history="1">
        <w:r w:rsidRPr="0079515C">
          <w:rPr>
            <w:rStyle w:val="Hyperlink"/>
            <w:rFonts w:cs="Arial"/>
            <w:color w:val="auto"/>
            <w:spacing w:val="-4"/>
            <w:u w:val="none"/>
            <w:shd w:val="clear" w:color="auto" w:fill="FFFFFF"/>
            <w:lang w:val="en-US"/>
          </w:rPr>
          <w:t>46951/99</w:t>
        </w:r>
      </w:hyperlink>
      <w:r w:rsidRPr="0079515C">
        <w:rPr>
          <w:rStyle w:val="sb8d990e2"/>
          <w:rFonts w:cs="Arial"/>
          <w:spacing w:val="-4"/>
          <w:shd w:val="clear" w:color="auto" w:fill="FFFFFF"/>
          <w:lang w:val="en-US"/>
        </w:rPr>
        <w:t>.</w:t>
      </w:r>
      <w:proofErr w:type="gramEnd"/>
      <w:r w:rsidRPr="0079515C">
        <w:rPr>
          <w:rStyle w:val="sb8d990e2"/>
          <w:rFonts w:cs="Arial"/>
          <w:spacing w:val="-4"/>
          <w:shd w:val="clear" w:color="auto" w:fill="FFFFFF"/>
          <w:lang w:val="en-US"/>
        </w:rPr>
        <w:t xml:space="preserve"> </w:t>
      </w:r>
      <w:proofErr w:type="gramStart"/>
      <w:r w:rsidRPr="0079515C">
        <w:rPr>
          <w:rStyle w:val="sb8d990e2"/>
          <w:rFonts w:cs="Arial"/>
          <w:spacing w:val="-4"/>
          <w:shd w:val="clear" w:color="auto" w:fill="FFFFFF"/>
          <w:lang w:val="en-US"/>
        </w:rPr>
        <w:t>Judgment of February 4, 2005, para.</w:t>
      </w:r>
      <w:proofErr w:type="gramEnd"/>
      <w:r w:rsidRPr="0079515C">
        <w:rPr>
          <w:rStyle w:val="sb8d990e2"/>
          <w:rFonts w:cs="Arial"/>
          <w:spacing w:val="-4"/>
          <w:shd w:val="clear" w:color="auto" w:fill="FFFFFF"/>
          <w:lang w:val="en-US"/>
        </w:rPr>
        <w:t xml:space="preserve"> </w:t>
      </w:r>
      <w:r w:rsidRPr="0079515C">
        <w:rPr>
          <w:color w:val="000000" w:themeColor="text1"/>
          <w:spacing w:val="-4"/>
          <w:lang w:val="en-US"/>
        </w:rPr>
        <w:t xml:space="preserve">73. </w:t>
      </w:r>
    </w:p>
  </w:footnote>
  <w:footnote w:id="230">
    <w:p w14:paraId="0D0161D8" w14:textId="7FB725A2" w:rsidR="002306C1" w:rsidRPr="0079515C" w:rsidRDefault="002306C1" w:rsidP="00853044">
      <w:pPr>
        <w:widowControl w:val="0"/>
        <w:tabs>
          <w:tab w:val="left" w:pos="426"/>
        </w:tabs>
        <w:autoSpaceDE w:val="0"/>
        <w:autoSpaceDN w:val="0"/>
        <w:adjustRightInd w:val="0"/>
        <w:spacing w:before="120" w:after="120"/>
        <w:rPr>
          <w:rFonts w:cs="Helvetica Neue"/>
          <w:color w:val="303030"/>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 xml:space="preserve">Cf. </w:t>
      </w:r>
      <w:r w:rsidRPr="0079515C">
        <w:rPr>
          <w:color w:val="000000" w:themeColor="text1"/>
          <w:spacing w:val="-4"/>
          <w:sz w:val="16"/>
          <w:szCs w:val="16"/>
          <w:lang w:val="en-US"/>
        </w:rPr>
        <w:t xml:space="preserve">UN, Committee against Torture, </w:t>
      </w:r>
      <w:r w:rsidRPr="0079515C">
        <w:rPr>
          <w:i/>
          <w:color w:val="000000" w:themeColor="text1"/>
          <w:spacing w:val="-4"/>
          <w:sz w:val="16"/>
          <w:szCs w:val="16"/>
          <w:lang w:val="en-US"/>
        </w:rPr>
        <w:t xml:space="preserve">Case of </w:t>
      </w:r>
      <w:r w:rsidRPr="0079515C">
        <w:rPr>
          <w:rFonts w:cs="Helvetica Neue"/>
          <w:i/>
          <w:iCs/>
          <w:color w:val="000000" w:themeColor="text1"/>
          <w:spacing w:val="-4"/>
          <w:sz w:val="16"/>
          <w:szCs w:val="16"/>
          <w:lang w:val="en-US"/>
        </w:rPr>
        <w:t>G.K. v. Switzerland</w:t>
      </w:r>
      <w:r w:rsidRPr="0079515C">
        <w:rPr>
          <w:rFonts w:cs="Helvetica Neue"/>
          <w:color w:val="000000" w:themeColor="text1"/>
          <w:spacing w:val="-4"/>
          <w:sz w:val="16"/>
          <w:szCs w:val="16"/>
          <w:lang w:val="en-US"/>
        </w:rPr>
        <w:t xml:space="preserve">, Communication </w:t>
      </w:r>
      <w:r w:rsidRPr="0079515C">
        <w:rPr>
          <w:bCs/>
          <w:color w:val="000000" w:themeColor="text1"/>
          <w:spacing w:val="-4"/>
          <w:sz w:val="16"/>
          <w:szCs w:val="16"/>
          <w:shd w:val="clear" w:color="auto" w:fill="FFFFFF"/>
          <w:lang w:val="en-US"/>
        </w:rPr>
        <w:t>No.</w:t>
      </w:r>
      <w:r w:rsidRPr="0079515C">
        <w:rPr>
          <w:rStyle w:val="apple-converted-space"/>
          <w:bCs/>
          <w:color w:val="000000" w:themeColor="text1"/>
          <w:spacing w:val="-4"/>
          <w:sz w:val="16"/>
          <w:szCs w:val="16"/>
          <w:shd w:val="clear" w:color="auto" w:fill="FFFFFF"/>
          <w:lang w:val="en-US"/>
        </w:rPr>
        <w:t> </w:t>
      </w:r>
      <w:r w:rsidRPr="0079515C">
        <w:rPr>
          <w:bCs/>
          <w:color w:val="000000" w:themeColor="text1"/>
          <w:spacing w:val="-4"/>
          <w:sz w:val="16"/>
          <w:szCs w:val="16"/>
          <w:shd w:val="clear" w:color="auto" w:fill="FFFFFF"/>
          <w:lang w:val="en-US"/>
        </w:rPr>
        <w:t xml:space="preserve">219/2002, UN. </w:t>
      </w:r>
      <w:proofErr w:type="gramStart"/>
      <w:r w:rsidRPr="0079515C">
        <w:rPr>
          <w:bCs/>
          <w:color w:val="000000" w:themeColor="text1"/>
          <w:spacing w:val="-4"/>
          <w:sz w:val="16"/>
          <w:szCs w:val="16"/>
          <w:shd w:val="clear" w:color="auto" w:fill="FFFFFF"/>
          <w:lang w:val="en-US"/>
        </w:rPr>
        <w:t xml:space="preserve">Doc. </w:t>
      </w:r>
      <w:r w:rsidRPr="0079515C">
        <w:rPr>
          <w:rFonts w:cs="Helvetica Neue"/>
          <w:color w:val="000000" w:themeColor="text1"/>
          <w:spacing w:val="-4"/>
          <w:sz w:val="16"/>
          <w:szCs w:val="16"/>
          <w:lang w:val="en-US"/>
        </w:rPr>
        <w:t>CAT/C/30/D/219/2002, May 12, 2003, para.</w:t>
      </w:r>
      <w:proofErr w:type="gramEnd"/>
      <w:r w:rsidRPr="0079515C">
        <w:rPr>
          <w:rFonts w:cs="Helvetica Neue"/>
          <w:color w:val="000000" w:themeColor="text1"/>
          <w:spacing w:val="-4"/>
          <w:sz w:val="16"/>
          <w:szCs w:val="16"/>
          <w:lang w:val="en-US"/>
        </w:rPr>
        <w:t xml:space="preserve"> 6.4. Similarly, Affidavit made by Ben Saul on August 18, 2014 (evidence file, folio 6961).</w:t>
      </w:r>
    </w:p>
  </w:footnote>
  <w:footnote w:id="231">
    <w:p w14:paraId="7662D730" w14:textId="348D6A1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In this regard, they underlined that the Committee against Torture, in its 2008 Concluding Observations on China, as well as the former Special Rapporteur on torture and other cruel, inhuman or degrading treatment or punishment, Manfred Nowak, in 2006, indicated shortcoming</w:t>
      </w:r>
      <w:r>
        <w:rPr>
          <w:spacing w:val="-4"/>
          <w:lang w:val="en-US"/>
        </w:rPr>
        <w:t>s</w:t>
      </w:r>
      <w:r w:rsidRPr="0079515C">
        <w:rPr>
          <w:spacing w:val="-4"/>
          <w:lang w:val="en-US"/>
        </w:rPr>
        <w:t xml:space="preserve"> in the legal framework relating to torture, especially the failure to include its basic constituent elements. </w:t>
      </w:r>
      <w:r w:rsidRPr="0079515C">
        <w:rPr>
          <w:i/>
          <w:spacing w:val="-4"/>
          <w:lang w:val="en-US"/>
        </w:rPr>
        <w:t>Cf.</w:t>
      </w:r>
      <w:r w:rsidRPr="0079515C">
        <w:rPr>
          <w:spacing w:val="-4"/>
          <w:lang w:val="en-US"/>
        </w:rPr>
        <w:t xml:space="preserve"> UN, Committee against Torture, Concluding Observations. China. </w:t>
      </w:r>
      <w:proofErr w:type="gramStart"/>
      <w:r w:rsidRPr="0079515C">
        <w:rPr>
          <w:spacing w:val="-4"/>
          <w:lang w:val="en-US"/>
        </w:rPr>
        <w:t>CAT/C/CHN/CO/4, December 12, 2008, para.</w:t>
      </w:r>
      <w:proofErr w:type="gramEnd"/>
      <w:r w:rsidRPr="0079515C">
        <w:rPr>
          <w:spacing w:val="-4"/>
          <w:lang w:val="en-US"/>
        </w:rPr>
        <w:t xml:space="preserve"> 32, Available at: </w:t>
      </w:r>
      <w:hyperlink r:id="rId55" w:history="1">
        <w:r w:rsidRPr="0079515C">
          <w:rPr>
            <w:rStyle w:val="Hyperlink"/>
            <w:spacing w:val="-4"/>
            <w:lang w:val="en-US"/>
          </w:rPr>
          <w:t>http://www2.ohchr.org/english/bodies/cat/docs/CAT.C.CHN.CO.4.pdf</w:t>
        </w:r>
      </w:hyperlink>
      <w:r w:rsidRPr="0079515C">
        <w:rPr>
          <w:color w:val="000000" w:themeColor="text1"/>
          <w:spacing w:val="-4"/>
          <w:lang w:val="en-US"/>
        </w:rPr>
        <w:t>;</w:t>
      </w:r>
      <w:r w:rsidRPr="0079515C">
        <w:rPr>
          <w:spacing w:val="-4"/>
          <w:lang w:val="en-US"/>
        </w:rPr>
        <w:t xml:space="preserve"> UN, </w:t>
      </w:r>
      <w:r>
        <w:rPr>
          <w:spacing w:val="-4"/>
          <w:lang w:val="en-US"/>
        </w:rPr>
        <w:t xml:space="preserve">Report of the </w:t>
      </w:r>
      <w:r w:rsidRPr="0079515C">
        <w:rPr>
          <w:spacing w:val="-4"/>
          <w:lang w:val="en-US"/>
        </w:rPr>
        <w:t>Special Rapporteur on torture and other cruel, inhuman or degrading trea</w:t>
      </w:r>
      <w:r>
        <w:rPr>
          <w:spacing w:val="-4"/>
          <w:lang w:val="en-US"/>
        </w:rPr>
        <w:t xml:space="preserve">tment or punishment. </w:t>
      </w:r>
      <w:proofErr w:type="gramStart"/>
      <w:r>
        <w:rPr>
          <w:spacing w:val="-4"/>
          <w:lang w:val="en-US"/>
        </w:rPr>
        <w:t>M</w:t>
      </w:r>
      <w:r w:rsidRPr="0079515C">
        <w:rPr>
          <w:spacing w:val="-4"/>
          <w:lang w:val="en-US"/>
        </w:rPr>
        <w:t>ission to China.</w:t>
      </w:r>
      <w:proofErr w:type="gramEnd"/>
      <w:r w:rsidRPr="0079515C">
        <w:rPr>
          <w:spacing w:val="-4"/>
          <w:lang w:val="en-US"/>
        </w:rPr>
        <w:t xml:space="preserve"> </w:t>
      </w:r>
      <w:proofErr w:type="gramStart"/>
      <w:r w:rsidRPr="0079515C">
        <w:rPr>
          <w:spacing w:val="-4"/>
          <w:lang w:val="en-US"/>
        </w:rPr>
        <w:t>E/CN.4/2006/6/Add.6, March 10, 2006, para.</w:t>
      </w:r>
      <w:proofErr w:type="gramEnd"/>
      <w:r w:rsidRPr="0079515C">
        <w:rPr>
          <w:spacing w:val="-4"/>
          <w:lang w:val="en-US"/>
        </w:rPr>
        <w:t xml:space="preserve"> 17, Available at: </w:t>
      </w:r>
      <w:hyperlink r:id="rId56" w:history="1">
        <w:r w:rsidRPr="00AD5169">
          <w:rPr>
            <w:rStyle w:val="Hyperlink"/>
            <w:spacing w:val="-4"/>
            <w:lang w:val="en-US"/>
          </w:rPr>
          <w:t>http://daccess-dds-ny.un.org/doc/UNDOC/GEN/G06/117/50/PDF/G0611750.pdf?OpenElement</w:t>
        </w:r>
      </w:hyperlink>
      <w:r>
        <w:rPr>
          <w:spacing w:val="-4"/>
          <w:lang w:val="en-US"/>
        </w:rPr>
        <w:t xml:space="preserve">. </w:t>
      </w:r>
      <w:r w:rsidRPr="0079515C">
        <w:rPr>
          <w:spacing w:val="-4"/>
          <w:lang w:val="en-US"/>
        </w:rPr>
        <w:t xml:space="preserve">Also, in 2008, </w:t>
      </w:r>
      <w:r w:rsidRPr="0079515C">
        <w:rPr>
          <w:rFonts w:cs="Callibri"/>
          <w:spacing w:val="-4"/>
          <w:lang w:val="en-US"/>
        </w:rPr>
        <w:t xml:space="preserve">Amnesty International indicated that domestic law was not adapted to the provisions of the Convention against Torture, and, in 2012, several non-governmental organizations </w:t>
      </w:r>
      <w:r>
        <w:rPr>
          <w:rFonts w:cs="Callibri"/>
          <w:spacing w:val="-4"/>
          <w:lang w:val="en-US"/>
        </w:rPr>
        <w:t>mentioned</w:t>
      </w:r>
      <w:r w:rsidRPr="0079515C">
        <w:rPr>
          <w:rFonts w:cs="Callibri"/>
          <w:spacing w:val="-4"/>
          <w:lang w:val="en-US"/>
        </w:rPr>
        <w:t xml:space="preserve"> this to the former Special Rapporteur Manfred Nowak.</w:t>
      </w:r>
      <w:r w:rsidRPr="0079515C">
        <w:rPr>
          <w:i/>
          <w:spacing w:val="-4"/>
          <w:lang w:val="en-US"/>
        </w:rPr>
        <w:t xml:space="preserve"> Cf.</w:t>
      </w:r>
      <w:r w:rsidRPr="0079515C">
        <w:rPr>
          <w:spacing w:val="-4"/>
          <w:lang w:val="en-US"/>
        </w:rPr>
        <w:t xml:space="preserve"> Amnesty International, Summary presented to the </w:t>
      </w:r>
      <w:r w:rsidRPr="0079515C">
        <w:rPr>
          <w:color w:val="000000" w:themeColor="text1"/>
          <w:spacing w:val="-4"/>
          <w:lang w:val="en-US"/>
        </w:rPr>
        <w:t xml:space="preserve">Committee against Torture prior to its consideration of the fourth periodic report of China, November 3-21, 2008, p. 1, Available at: </w:t>
      </w:r>
      <w:hyperlink r:id="rId57" w:history="1">
        <w:r w:rsidRPr="00AD5169">
          <w:rPr>
            <w:rStyle w:val="Hyperlink"/>
            <w:spacing w:val="-4"/>
            <w:lang w:val="en-US"/>
          </w:rPr>
          <w:t>http://www2.ohchr.org/english/bodies/cat/docs/ngos/ AI_China_41.pdf</w:t>
        </w:r>
      </w:hyperlink>
      <w:r w:rsidRPr="0079515C">
        <w:rPr>
          <w:color w:val="000000" w:themeColor="text1"/>
          <w:spacing w:val="-4"/>
          <w:lang w:val="en-US"/>
        </w:rPr>
        <w:t xml:space="preserve">; UN, Special Rapporteur on torture and other cruel, inhuman or degrading treatment or punishment. </w:t>
      </w:r>
      <w:proofErr w:type="gramStart"/>
      <w:r w:rsidRPr="0079515C">
        <w:rPr>
          <w:color w:val="000000" w:themeColor="text1"/>
          <w:spacing w:val="-4"/>
          <w:lang w:val="en-US"/>
        </w:rPr>
        <w:t>Follow-up to the recommendations.</w:t>
      </w:r>
      <w:proofErr w:type="gramEnd"/>
      <w:r w:rsidRPr="0079515C">
        <w:rPr>
          <w:color w:val="000000" w:themeColor="text1"/>
          <w:spacing w:val="-4"/>
          <w:lang w:val="en-US"/>
        </w:rPr>
        <w:t xml:space="preserve"> China. A/HRC/13/39/Add.6, February 26, 2010, p. 38, Available at: </w:t>
      </w:r>
      <w:hyperlink r:id="rId58" w:history="1">
        <w:r w:rsidRPr="00AD5169">
          <w:rPr>
            <w:rStyle w:val="Hyperlink"/>
            <w:spacing w:val="-4"/>
            <w:lang w:val="en-US"/>
          </w:rPr>
          <w:t>http://www2.ohchr.org/english/bodies/hrcouncil/docs/13session/A.HRC.13.39.Add%206_EFS.pdf</w:t>
        </w:r>
      </w:hyperlink>
      <w:r w:rsidRPr="0079515C">
        <w:rPr>
          <w:color w:val="000000" w:themeColor="text1"/>
          <w:spacing w:val="-4"/>
          <w:lang w:val="en-US"/>
        </w:rPr>
        <w:t>.</w:t>
      </w:r>
    </w:p>
  </w:footnote>
  <w:footnote w:id="232">
    <w:p w14:paraId="44A8CD02" w14:textId="34E6331D" w:rsidR="002306C1" w:rsidRPr="0079515C" w:rsidRDefault="002306C1" w:rsidP="00DD0822">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Pr>
          <w:rFonts w:cs="Callibri"/>
          <w:color w:val="000000" w:themeColor="text1"/>
          <w:spacing w:val="-4"/>
          <w:lang w:val="en-US"/>
        </w:rPr>
        <w:t>Regarding this</w:t>
      </w:r>
      <w:r w:rsidRPr="0079515C">
        <w:rPr>
          <w:rFonts w:cs="Callibri"/>
          <w:color w:val="000000" w:themeColor="text1"/>
          <w:spacing w:val="-4"/>
          <w:lang w:val="en-US"/>
        </w:rPr>
        <w:t xml:space="preserve"> use of confessions obtained by torture, in 2006, the former Special Rapporteur</w:t>
      </w:r>
      <w:r w:rsidRPr="0079515C">
        <w:rPr>
          <w:rFonts w:cs="Callibri"/>
          <w:color w:val="000000" w:themeColor="text1"/>
          <w:spacing w:val="-4"/>
          <w:shd w:val="clear" w:color="auto" w:fill="FFFFFF"/>
          <w:lang w:val="en-US"/>
        </w:rPr>
        <w:t xml:space="preserve"> Manfred Nowak indicated that the use of confessions extracted through torture as evidence before the court was not explicitly prohibited, while, in 2008, the Comm</w:t>
      </w:r>
      <w:r w:rsidRPr="0079515C">
        <w:rPr>
          <w:rFonts w:cs="Callibri"/>
          <w:color w:val="000000" w:themeColor="text1"/>
          <w:spacing w:val="-4"/>
          <w:lang w:val="en-US"/>
        </w:rPr>
        <w:t>ittee against Torture, and the former Special Rapporteur</w:t>
      </w:r>
      <w:r w:rsidRPr="0079515C">
        <w:rPr>
          <w:rFonts w:cs="Callibri"/>
          <w:color w:val="000000" w:themeColor="text1"/>
          <w:spacing w:val="-4"/>
          <w:shd w:val="clear" w:color="auto" w:fill="FFFFFF"/>
          <w:lang w:val="en-US"/>
        </w:rPr>
        <w:t xml:space="preserve"> Manfred Nowak </w:t>
      </w:r>
      <w:r w:rsidRPr="0079515C">
        <w:rPr>
          <w:rFonts w:cs="Callibri"/>
          <w:color w:val="000000" w:themeColor="text1"/>
          <w:spacing w:val="-4"/>
          <w:lang w:val="en-US"/>
        </w:rPr>
        <w:t xml:space="preserve">in his 2010 report </w:t>
      </w:r>
      <w:r>
        <w:rPr>
          <w:rFonts w:cs="Callibri"/>
          <w:color w:val="000000" w:themeColor="text1"/>
          <w:spacing w:val="-4"/>
          <w:lang w:val="en-US"/>
        </w:rPr>
        <w:t>on</w:t>
      </w:r>
      <w:r w:rsidRPr="0079515C">
        <w:rPr>
          <w:rFonts w:cs="Callibri"/>
          <w:color w:val="000000" w:themeColor="text1"/>
          <w:spacing w:val="-4"/>
          <w:lang w:val="en-US"/>
        </w:rPr>
        <w:t xml:space="preserve"> the follow-up to </w:t>
      </w:r>
      <w:r>
        <w:rPr>
          <w:rFonts w:cs="Callibri"/>
          <w:color w:val="000000" w:themeColor="text1"/>
          <w:spacing w:val="-4"/>
          <w:lang w:val="en-US"/>
        </w:rPr>
        <w:t>his visit to China</w:t>
      </w:r>
      <w:r w:rsidRPr="0079515C">
        <w:rPr>
          <w:rFonts w:cs="Callibri"/>
          <w:color w:val="000000" w:themeColor="text1"/>
          <w:spacing w:val="-4"/>
          <w:lang w:val="en-US"/>
        </w:rPr>
        <w:t xml:space="preserve"> indicated that they had received continued allegations of the widespread use of</w:t>
      </w:r>
      <w:r>
        <w:rPr>
          <w:rFonts w:cs="Callibri"/>
          <w:color w:val="000000" w:themeColor="text1"/>
          <w:spacing w:val="-4"/>
          <w:lang w:val="en-US"/>
        </w:rPr>
        <w:t xml:space="preserve"> the </w:t>
      </w:r>
      <w:r w:rsidRPr="0079515C">
        <w:rPr>
          <w:rFonts w:cs="Callibri"/>
          <w:color w:val="000000" w:themeColor="text1"/>
          <w:spacing w:val="-4"/>
          <w:lang w:val="en-US"/>
        </w:rPr>
        <w:t>torture and ill-treatment of suspects in police custody, especially to extract confessions or information to be used in criminal proceedings. Non-governmental organizations had also emphasized the use of evidence extorted through torture which, according to Amnesty International is not specifically prohibited by domestic law.</w:t>
      </w:r>
      <w:r w:rsidRPr="0079515C">
        <w:rPr>
          <w:i/>
          <w:color w:val="000000" w:themeColor="text1"/>
          <w:spacing w:val="-4"/>
          <w:lang w:val="en-US"/>
        </w:rPr>
        <w:t xml:space="preserve"> </w:t>
      </w:r>
      <w:r w:rsidRPr="0079515C">
        <w:rPr>
          <w:rFonts w:cs="Callibri"/>
          <w:i/>
          <w:color w:val="000000" w:themeColor="text1"/>
          <w:spacing w:val="-4"/>
          <w:lang w:val="en-US"/>
        </w:rPr>
        <w:t>Cf.</w:t>
      </w:r>
      <w:r w:rsidRPr="0079515C">
        <w:rPr>
          <w:rFonts w:cs="Callibri"/>
          <w:color w:val="000000" w:themeColor="text1"/>
          <w:spacing w:val="-4"/>
          <w:lang w:val="en-US"/>
        </w:rPr>
        <w:t xml:space="preserve"> </w:t>
      </w:r>
      <w:r w:rsidRPr="0079515C">
        <w:rPr>
          <w:spacing w:val="-4"/>
          <w:lang w:val="en-US"/>
        </w:rPr>
        <w:t xml:space="preserve">UN, Special Rapporteur on torture and other cruel, inhuman or degrading treatment or punishment. Report on mission to China. </w:t>
      </w:r>
      <w:proofErr w:type="gramStart"/>
      <w:r w:rsidRPr="0079515C">
        <w:rPr>
          <w:spacing w:val="-4"/>
          <w:lang w:val="en-US"/>
        </w:rPr>
        <w:t>March 10, 2006, E/CN.4/2006/6/Add.6, paras.</w:t>
      </w:r>
      <w:proofErr w:type="gramEnd"/>
      <w:r w:rsidRPr="0079515C">
        <w:rPr>
          <w:spacing w:val="-4"/>
          <w:lang w:val="en-US"/>
        </w:rPr>
        <w:t xml:space="preserve"> 37 and 73, Available at: </w:t>
      </w:r>
      <w:hyperlink r:id="rId59" w:history="1">
        <w:r w:rsidRPr="00AD5169">
          <w:rPr>
            <w:rStyle w:val="Hyperlink"/>
            <w:spacing w:val="-4"/>
            <w:lang w:val="en-US"/>
          </w:rPr>
          <w:t>http://daccess-dds-ny.un.org/doc/UNDOC/GEN/G06/117/50/PDF/G0611750.pdf?OpenElement</w:t>
        </w:r>
      </w:hyperlink>
      <w:r w:rsidRPr="0079515C">
        <w:rPr>
          <w:color w:val="000000" w:themeColor="text1"/>
          <w:spacing w:val="-4"/>
          <w:lang w:val="en-US"/>
        </w:rPr>
        <w:t xml:space="preserve">; </w:t>
      </w:r>
      <w:r w:rsidRPr="0079515C">
        <w:rPr>
          <w:spacing w:val="-4"/>
          <w:lang w:val="en-US"/>
        </w:rPr>
        <w:t xml:space="preserve">UN, Committee against Torture, Concluding Observations on China, December 12, 2008, CAT/C/CHN/CO/4, para. 11. Available at: </w:t>
      </w:r>
      <w:hyperlink r:id="rId60" w:history="1">
        <w:r w:rsidRPr="0079515C">
          <w:rPr>
            <w:rStyle w:val="Hyperlink"/>
            <w:spacing w:val="-4"/>
            <w:lang w:val="en-US"/>
          </w:rPr>
          <w:t>http://www2.ohchr.org/english/bodies/cat/docs/CAT.C.CHN.CO.4.pdf</w:t>
        </w:r>
      </w:hyperlink>
      <w:r w:rsidRPr="0079515C">
        <w:rPr>
          <w:spacing w:val="-4"/>
          <w:lang w:val="en-US"/>
        </w:rPr>
        <w:t>;</w:t>
      </w:r>
      <w:r w:rsidRPr="0079515C">
        <w:rPr>
          <w:rFonts w:cs="Callibri"/>
          <w:color w:val="000000" w:themeColor="text1"/>
          <w:spacing w:val="-4"/>
          <w:shd w:val="clear" w:color="auto" w:fill="FFFFFF"/>
          <w:lang w:val="en-US"/>
        </w:rPr>
        <w:t xml:space="preserve"> </w:t>
      </w:r>
      <w:r w:rsidRPr="0079515C">
        <w:rPr>
          <w:rFonts w:cs="Callibri"/>
          <w:color w:val="000000" w:themeColor="text1"/>
          <w:spacing w:val="-4"/>
          <w:lang w:val="en-US"/>
        </w:rPr>
        <w:t xml:space="preserve">UN, </w:t>
      </w:r>
      <w:r w:rsidRPr="0079515C">
        <w:rPr>
          <w:color w:val="000000" w:themeColor="text1"/>
          <w:spacing w:val="-4"/>
          <w:lang w:val="en-US"/>
        </w:rPr>
        <w:t xml:space="preserve">Special Rapporteur on torture and other cruel, inhuman or degrading treatment or punishment. </w:t>
      </w:r>
      <w:proofErr w:type="gramStart"/>
      <w:r w:rsidRPr="0079515C">
        <w:rPr>
          <w:color w:val="000000" w:themeColor="text1"/>
          <w:spacing w:val="-4"/>
          <w:lang w:val="en-US"/>
        </w:rPr>
        <w:t>Follow-up on recommendations.</w:t>
      </w:r>
      <w:proofErr w:type="gramEnd"/>
      <w:r w:rsidRPr="0079515C">
        <w:rPr>
          <w:color w:val="000000" w:themeColor="text1"/>
          <w:spacing w:val="-4"/>
          <w:lang w:val="en-US"/>
        </w:rPr>
        <w:t xml:space="preserve"> China. </w:t>
      </w:r>
      <w:proofErr w:type="gramStart"/>
      <w:r w:rsidRPr="0079515C">
        <w:rPr>
          <w:color w:val="000000" w:themeColor="text1"/>
          <w:spacing w:val="-4"/>
          <w:lang w:val="en-US"/>
        </w:rPr>
        <w:t xml:space="preserve">A/HRC/13/39/Add.6, February 26, 2010, </w:t>
      </w:r>
      <w:r w:rsidRPr="0079515C">
        <w:rPr>
          <w:rFonts w:cs="Callibri"/>
          <w:color w:val="000000" w:themeColor="text1"/>
          <w:spacing w:val="-4"/>
          <w:lang w:val="en-US"/>
        </w:rPr>
        <w:t>paras.</w:t>
      </w:r>
      <w:proofErr w:type="gramEnd"/>
      <w:r w:rsidRPr="0079515C">
        <w:rPr>
          <w:rFonts w:cs="Callibri"/>
          <w:color w:val="000000" w:themeColor="text1"/>
          <w:spacing w:val="-4"/>
          <w:lang w:val="en-US"/>
        </w:rPr>
        <w:t xml:space="preserve"> 19 and 41</w:t>
      </w:r>
      <w:r w:rsidRPr="0079515C">
        <w:rPr>
          <w:color w:val="000000" w:themeColor="text1"/>
          <w:spacing w:val="-4"/>
          <w:lang w:val="en-US"/>
        </w:rPr>
        <w:t xml:space="preserve">, Available at: </w:t>
      </w:r>
      <w:hyperlink r:id="rId61" w:history="1">
        <w:r w:rsidRPr="007956BB">
          <w:rPr>
            <w:rStyle w:val="Hyperlink"/>
            <w:spacing w:val="-4"/>
            <w:lang w:val="en-US"/>
          </w:rPr>
          <w:t>http://www2.ohchr.org/english/bodies/hrcouncil/docs/13session/ A.HRC.13.39.Add%206_EFS.pdf</w:t>
        </w:r>
      </w:hyperlink>
      <w:r w:rsidRPr="007956BB">
        <w:rPr>
          <w:color w:val="000000" w:themeColor="text1"/>
          <w:spacing w:val="-4"/>
          <w:lang w:val="en-US"/>
        </w:rPr>
        <w:t xml:space="preserve">; UN, Office of the High Commissioner for Human Rights, </w:t>
      </w:r>
      <w:r w:rsidRPr="007956BB">
        <w:rPr>
          <w:lang w:val="en-US"/>
        </w:rPr>
        <w:t>Compilation prepared by the Office of the High Commissioner for Human Rights, in accordance with paragraph 15(b) of the annex to Human Rights Council resolution 5/1</w:t>
      </w:r>
      <w:r w:rsidRPr="007956BB">
        <w:rPr>
          <w:spacing w:val="-4"/>
          <w:lang w:val="en-US"/>
        </w:rPr>
        <w:t xml:space="preserve">. </w:t>
      </w:r>
      <w:proofErr w:type="gramStart"/>
      <w:r w:rsidRPr="007956BB">
        <w:rPr>
          <w:spacing w:val="-4"/>
          <w:lang w:val="en-US"/>
        </w:rPr>
        <w:t>People’s Republic of China (including Hong Kong and Macao Special Ad</w:t>
      </w:r>
      <w:r>
        <w:rPr>
          <w:spacing w:val="-4"/>
          <w:lang w:val="en-US"/>
        </w:rPr>
        <w:t xml:space="preserve">ministrative Regions </w:t>
      </w:r>
      <w:r w:rsidRPr="0079515C">
        <w:rPr>
          <w:spacing w:val="-4"/>
          <w:lang w:val="en-US"/>
        </w:rPr>
        <w:t>(</w:t>
      </w:r>
      <w:r>
        <w:rPr>
          <w:spacing w:val="-4"/>
          <w:lang w:val="en-US"/>
        </w:rPr>
        <w:t>HKSAR</w:t>
      </w:r>
      <w:r w:rsidRPr="0079515C">
        <w:rPr>
          <w:spacing w:val="-4"/>
          <w:lang w:val="en-US"/>
        </w:rPr>
        <w:t xml:space="preserve"> and </w:t>
      </w:r>
      <w:r>
        <w:rPr>
          <w:spacing w:val="-4"/>
          <w:lang w:val="en-US"/>
        </w:rPr>
        <w:t>MSAR</w:t>
      </w:r>
      <w:r w:rsidRPr="0079515C">
        <w:rPr>
          <w:spacing w:val="-4"/>
          <w:lang w:val="en-US"/>
        </w:rPr>
        <w:t xml:space="preserve">)), January 6, 2009, </w:t>
      </w:r>
      <w:r w:rsidRPr="0079515C">
        <w:rPr>
          <w:color w:val="000000" w:themeColor="text1"/>
          <w:spacing w:val="-4"/>
          <w:lang w:val="en-US"/>
        </w:rPr>
        <w:t>para.</w:t>
      </w:r>
      <w:proofErr w:type="gramEnd"/>
      <w:r w:rsidRPr="0079515C">
        <w:rPr>
          <w:color w:val="000000" w:themeColor="text1"/>
          <w:spacing w:val="-4"/>
          <w:lang w:val="en-US"/>
        </w:rPr>
        <w:t xml:space="preserve"> 15, Available at:</w:t>
      </w:r>
      <w:r w:rsidRPr="0079515C">
        <w:rPr>
          <w:spacing w:val="-4"/>
          <w:lang w:val="en-US"/>
        </w:rPr>
        <w:t xml:space="preserve"> </w:t>
      </w:r>
      <w:hyperlink r:id="rId62" w:history="1">
        <w:r w:rsidRPr="00AD5169">
          <w:rPr>
            <w:rStyle w:val="Hyperlink"/>
            <w:spacing w:val="-4"/>
            <w:lang w:val="en-US"/>
          </w:rPr>
          <w:t>http://lib.ohchr.org/HRBodies/UPR/Documents/Session4/CN/ A_HRC_WG6_4_CHN_3_E.pdf</w:t>
        </w:r>
      </w:hyperlink>
      <w:r w:rsidRPr="0079515C">
        <w:rPr>
          <w:color w:val="000000" w:themeColor="text1"/>
          <w:spacing w:val="-4"/>
          <w:lang w:val="en-US"/>
        </w:rPr>
        <w:t xml:space="preserve">; Human Rights Watch, World Report 2012. </w:t>
      </w:r>
      <w:proofErr w:type="gramStart"/>
      <w:r w:rsidRPr="0079515C">
        <w:rPr>
          <w:color w:val="000000" w:themeColor="text1"/>
          <w:spacing w:val="-4"/>
          <w:lang w:val="en-US"/>
        </w:rPr>
        <w:t>Evens of 2011.</w:t>
      </w:r>
      <w:proofErr w:type="gramEnd"/>
      <w:r w:rsidRPr="0079515C">
        <w:rPr>
          <w:color w:val="000000" w:themeColor="text1"/>
          <w:spacing w:val="-4"/>
          <w:lang w:val="en-US"/>
        </w:rPr>
        <w:t xml:space="preserve"> China, p. 2, Available at: </w:t>
      </w:r>
      <w:hyperlink r:id="rId63" w:history="1">
        <w:r w:rsidRPr="0079515C">
          <w:rPr>
            <w:rStyle w:val="Hyperlink"/>
            <w:color w:val="000000" w:themeColor="text1"/>
            <w:spacing w:val="-4"/>
            <w:u w:val="none"/>
            <w:lang w:val="en-US"/>
          </w:rPr>
          <w:t>http://www.hrw.org/sites/default/files/related_material/china_2012_0.pdf</w:t>
        </w:r>
      </w:hyperlink>
      <w:r w:rsidRPr="0079515C">
        <w:rPr>
          <w:color w:val="000000" w:themeColor="text1"/>
          <w:spacing w:val="-4"/>
          <w:lang w:val="en-US"/>
        </w:rPr>
        <w:t xml:space="preserve">, and Amnesty International, Summary presented to the Committee against Torture prior to its consideration of the fourth periodic report of China, November 3-21, 2008, p. 16, Available at: </w:t>
      </w:r>
      <w:hyperlink r:id="rId64" w:history="1">
        <w:r w:rsidRPr="0079515C">
          <w:rPr>
            <w:rStyle w:val="Hyperlink"/>
            <w:color w:val="000000" w:themeColor="text1"/>
            <w:spacing w:val="-4"/>
            <w:u w:val="none"/>
            <w:lang w:val="en-US"/>
          </w:rPr>
          <w:t>http://www2.ohchr.org/english/bodies/cat/docs/ngos/AI_China_41.pdf</w:t>
        </w:r>
      </w:hyperlink>
      <w:r w:rsidRPr="0079515C">
        <w:rPr>
          <w:rStyle w:val="Hyperlink"/>
          <w:color w:val="000000" w:themeColor="text1"/>
          <w:spacing w:val="-4"/>
          <w:u w:val="none"/>
          <w:lang w:val="en-US"/>
        </w:rPr>
        <w:t xml:space="preserve">. </w:t>
      </w:r>
    </w:p>
  </w:footnote>
  <w:footnote w:id="233">
    <w:p w14:paraId="1ACDA616" w14:textId="1E19A21D" w:rsidR="002306C1" w:rsidRPr="0079515C" w:rsidRDefault="002306C1" w:rsidP="00853044">
      <w:pPr>
        <w:pStyle w:val="FootnoteText"/>
        <w:tabs>
          <w:tab w:val="clear" w:pos="567"/>
          <w:tab w:val="left" w:pos="426"/>
        </w:tabs>
        <w:spacing w:before="120" w:after="120"/>
        <w:rPr>
          <w:color w:val="000000" w:themeColor="text1"/>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color w:val="000000" w:themeColor="text1"/>
          <w:spacing w:val="-4"/>
          <w:lang w:val="en-US"/>
        </w:rPr>
        <w:t>Cf.</w:t>
      </w:r>
      <w:r w:rsidRPr="0079515C">
        <w:rPr>
          <w:color w:val="000000" w:themeColor="text1"/>
          <w:spacing w:val="-4"/>
          <w:lang w:val="en-US"/>
        </w:rPr>
        <w:t xml:space="preserve"> UN, Special Rapporteur on torture and other cruel, inhuman or degrading treatment or punishment. </w:t>
      </w:r>
      <w:r>
        <w:rPr>
          <w:color w:val="000000" w:themeColor="text1"/>
          <w:spacing w:val="-4"/>
          <w:lang w:val="en-US"/>
        </w:rPr>
        <w:t xml:space="preserve">Report on mission to China. </w:t>
      </w:r>
      <w:proofErr w:type="gramStart"/>
      <w:r w:rsidRPr="0079515C">
        <w:rPr>
          <w:color w:val="000000" w:themeColor="text1"/>
          <w:spacing w:val="-4"/>
          <w:lang w:val="en-US"/>
        </w:rPr>
        <w:t>E/CN.4/2006/6/Add.6, March 10, 2006, para.</w:t>
      </w:r>
      <w:proofErr w:type="gramEnd"/>
      <w:r w:rsidRPr="0079515C">
        <w:rPr>
          <w:color w:val="000000" w:themeColor="text1"/>
          <w:spacing w:val="-4"/>
          <w:lang w:val="en-US"/>
        </w:rPr>
        <w:t xml:space="preserve"> 37 and 73, Available at: </w:t>
      </w:r>
      <w:hyperlink r:id="rId65" w:history="1">
        <w:r w:rsidRPr="00AD5169">
          <w:rPr>
            <w:rStyle w:val="Hyperlink"/>
            <w:spacing w:val="-4"/>
            <w:lang w:val="en-US"/>
          </w:rPr>
          <w:t>http://daccess-dds-ny.un.org/doc/UNDOC/GEN/G06/117/50/PDF/G0611750.pdf?OpenElement</w:t>
        </w:r>
      </w:hyperlink>
      <w:r w:rsidRPr="0079515C">
        <w:rPr>
          <w:color w:val="000000" w:themeColor="text1"/>
          <w:spacing w:val="-4"/>
          <w:lang w:val="en-US"/>
        </w:rPr>
        <w:t xml:space="preserve">; UN, Committee against Torture, Concluding Observations. China. </w:t>
      </w:r>
      <w:proofErr w:type="gramStart"/>
      <w:r w:rsidRPr="0079515C">
        <w:rPr>
          <w:color w:val="000000" w:themeColor="text1"/>
          <w:spacing w:val="-4"/>
          <w:lang w:val="en-US"/>
        </w:rPr>
        <w:t>CAT/C/CHN/CO/4, December 12, 2008, para.</w:t>
      </w:r>
      <w:proofErr w:type="gramEnd"/>
      <w:r w:rsidRPr="0079515C">
        <w:rPr>
          <w:color w:val="000000" w:themeColor="text1"/>
          <w:spacing w:val="-4"/>
          <w:lang w:val="en-US"/>
        </w:rPr>
        <w:t xml:space="preserve"> 11, Available at: </w:t>
      </w:r>
      <w:hyperlink r:id="rId66" w:history="1">
        <w:r w:rsidRPr="0079515C">
          <w:rPr>
            <w:rStyle w:val="Hyperlink"/>
            <w:spacing w:val="-4"/>
            <w:lang w:val="en-US"/>
          </w:rPr>
          <w:t>http://www2.ohchr.org/english/bodies/cat/docs/CAT.C.CHN.CO.4.pdf</w:t>
        </w:r>
      </w:hyperlink>
      <w:r w:rsidRPr="0079515C">
        <w:rPr>
          <w:color w:val="000000" w:themeColor="text1"/>
          <w:spacing w:val="-4"/>
          <w:lang w:val="en-US"/>
        </w:rPr>
        <w:t xml:space="preserve">; UN, Special Rapporteur on torture and other cruel, inhuman or degrading treatment or punishment. </w:t>
      </w:r>
      <w:proofErr w:type="gramStart"/>
      <w:r w:rsidRPr="0079515C">
        <w:rPr>
          <w:color w:val="000000" w:themeColor="text1"/>
          <w:spacing w:val="-4"/>
          <w:lang w:val="en-US"/>
        </w:rPr>
        <w:t>Follow-up on recommendations.</w:t>
      </w:r>
      <w:proofErr w:type="gramEnd"/>
      <w:r w:rsidRPr="0079515C">
        <w:rPr>
          <w:color w:val="000000" w:themeColor="text1"/>
          <w:spacing w:val="-4"/>
          <w:lang w:val="en-US"/>
        </w:rPr>
        <w:t xml:space="preserve"> China. </w:t>
      </w:r>
      <w:proofErr w:type="gramStart"/>
      <w:r w:rsidRPr="0079515C">
        <w:rPr>
          <w:color w:val="000000" w:themeColor="text1"/>
          <w:spacing w:val="-4"/>
          <w:lang w:val="en-US"/>
        </w:rPr>
        <w:t>A/HRC/13/39/Add.6, February 26, 2010, para.</w:t>
      </w:r>
      <w:proofErr w:type="gramEnd"/>
      <w:r w:rsidRPr="0079515C">
        <w:rPr>
          <w:color w:val="000000" w:themeColor="text1"/>
          <w:spacing w:val="-4"/>
          <w:lang w:val="en-US"/>
        </w:rPr>
        <w:t xml:space="preserve"> 19, Available at: </w:t>
      </w:r>
      <w:hyperlink r:id="rId67" w:history="1">
        <w:r w:rsidRPr="0079515C">
          <w:rPr>
            <w:rStyle w:val="Hyperlink"/>
            <w:color w:val="000000" w:themeColor="text1"/>
            <w:spacing w:val="-4"/>
            <w:u w:val="none"/>
            <w:lang w:val="en-US"/>
          </w:rPr>
          <w:t>http://www2.ohchr.org/english/bodies/hrcouncil/docs/13session/A.HRC.13.39.Add%206_EFS.pdf</w:t>
        </w:r>
      </w:hyperlink>
      <w:r w:rsidRPr="0079515C">
        <w:rPr>
          <w:rStyle w:val="Hyperlink"/>
          <w:color w:val="000000" w:themeColor="text1"/>
          <w:spacing w:val="-4"/>
          <w:u w:val="none"/>
          <w:lang w:val="en-US"/>
        </w:rPr>
        <w:t>.</w:t>
      </w:r>
    </w:p>
  </w:footnote>
  <w:footnote w:id="234">
    <w:p w14:paraId="5E696418" w14:textId="1A6DD77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color w:val="000000" w:themeColor="text1"/>
          <w:spacing w:val="-4"/>
          <w:lang w:val="en-US"/>
        </w:rPr>
        <w:t>Cf.</w:t>
      </w:r>
      <w:r w:rsidRPr="0079515C">
        <w:rPr>
          <w:color w:val="000000" w:themeColor="text1"/>
          <w:spacing w:val="-4"/>
          <w:lang w:val="en-US"/>
        </w:rPr>
        <w:t xml:space="preserve"> UN, Committee against Torture, Concluding Observations. China. </w:t>
      </w:r>
      <w:proofErr w:type="gramStart"/>
      <w:r w:rsidRPr="0079515C">
        <w:rPr>
          <w:color w:val="000000" w:themeColor="text1"/>
          <w:spacing w:val="-4"/>
          <w:lang w:val="en-US"/>
        </w:rPr>
        <w:t>CAT/C/CHN/CO/4, December 12, 2008, paras.</w:t>
      </w:r>
      <w:proofErr w:type="gramEnd"/>
      <w:r w:rsidRPr="0079515C">
        <w:rPr>
          <w:color w:val="000000" w:themeColor="text1"/>
          <w:spacing w:val="-4"/>
          <w:lang w:val="en-US"/>
        </w:rPr>
        <w:t xml:space="preserve"> 20, 31 and 33, Available at: </w:t>
      </w:r>
      <w:hyperlink r:id="rId68" w:history="1">
        <w:r w:rsidRPr="0079515C">
          <w:rPr>
            <w:rStyle w:val="Hyperlink"/>
            <w:spacing w:val="-4"/>
            <w:lang w:val="en-US"/>
          </w:rPr>
          <w:t>http://www2.ohchr.org/english/bodies/cat/docs/CAT.C.CHN.CO.4.pdf</w:t>
        </w:r>
      </w:hyperlink>
      <w:r>
        <w:rPr>
          <w:rStyle w:val="Hyperlink"/>
          <w:spacing w:val="-4"/>
          <w:lang w:val="en-US"/>
        </w:rPr>
        <w:t xml:space="preserve">; </w:t>
      </w:r>
      <w:r w:rsidRPr="0079515C">
        <w:rPr>
          <w:color w:val="000000" w:themeColor="text1"/>
          <w:spacing w:val="-4"/>
          <w:lang w:val="en-US"/>
        </w:rPr>
        <w:t xml:space="preserve">UN, Special Rapporteur on torture and other cruel, inhuman or degrading treatment or punishment. </w:t>
      </w:r>
      <w:proofErr w:type="gramStart"/>
      <w:r w:rsidRPr="0079515C">
        <w:rPr>
          <w:color w:val="000000" w:themeColor="text1"/>
          <w:spacing w:val="-4"/>
          <w:lang w:val="en-US"/>
        </w:rPr>
        <w:t>Follow-up on recommendations.</w:t>
      </w:r>
      <w:proofErr w:type="gramEnd"/>
      <w:r w:rsidRPr="0079515C">
        <w:rPr>
          <w:color w:val="000000" w:themeColor="text1"/>
          <w:spacing w:val="-4"/>
          <w:lang w:val="en-US"/>
        </w:rPr>
        <w:t xml:space="preserve"> China. </w:t>
      </w:r>
      <w:proofErr w:type="gramStart"/>
      <w:r w:rsidRPr="0079515C">
        <w:rPr>
          <w:color w:val="000000" w:themeColor="text1"/>
          <w:spacing w:val="-4"/>
          <w:lang w:val="en-US"/>
        </w:rPr>
        <w:t>A/HRC/13/39/Add.6, February 26, 2010, para.</w:t>
      </w:r>
      <w:proofErr w:type="gramEnd"/>
      <w:r w:rsidRPr="0079515C">
        <w:rPr>
          <w:color w:val="000000" w:themeColor="text1"/>
          <w:spacing w:val="-4"/>
          <w:lang w:val="en-US"/>
        </w:rPr>
        <w:t xml:space="preserve"> 19, Available at: </w:t>
      </w:r>
      <w:hyperlink r:id="rId69" w:history="1">
        <w:r w:rsidRPr="0079515C">
          <w:rPr>
            <w:rStyle w:val="Hyperlink"/>
            <w:color w:val="000000" w:themeColor="text1"/>
            <w:spacing w:val="-4"/>
            <w:u w:val="none"/>
            <w:lang w:val="en-US"/>
          </w:rPr>
          <w:t>http://www2.ohchr.org/english/bodies/hrcouncil/docs/13session/A.HRC.13.39.Add%206_EFS.pdf</w:t>
        </w:r>
      </w:hyperlink>
      <w:r w:rsidRPr="0079515C">
        <w:rPr>
          <w:color w:val="000000" w:themeColor="text1"/>
          <w:spacing w:val="-4"/>
          <w:lang w:val="en-US"/>
        </w:rPr>
        <w:t>.</w:t>
      </w:r>
    </w:p>
  </w:footnote>
  <w:footnote w:id="235">
    <w:p w14:paraId="0C31DF36" w14:textId="6995631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This expert witness underscored that the Criminal Code, the Code of Criminal Procedure and the Law on the People’s Police of the People’s Republic of China contain explicit prohibitions of torture and ill-treatment, and the new Code of Criminal Procedure includes provisions that exclude evidence obtained unlawfully; for example, through torture or other acts of violence, such as threats. In addition, he reported that there are numerous norms which establish the steps to follow when investigating unlawful practices to obtain evidence or forced confessions or the physical punishment of detainees, such as the Code of Criminal Procedure, the Law on Administrative Supervision, the Law on the People’s Police, the Commission for the Disciplinary Supervision and Control of the Public Security Body, and the Organic Law of People’s Prosecutors. In addition, he clarified that rapid channels of communication exist for accusations or reports of torture or ill-treatment; that audio and video records are being promoted in investigation and interrogation procedures, and that frequent physical examinations are performed on detainees. He also highlighted several programs that are being implemented to prevent torture. </w:t>
      </w:r>
      <w:r w:rsidRPr="0079515C">
        <w:rPr>
          <w:i/>
          <w:spacing w:val="-4"/>
          <w:lang w:val="en-US"/>
        </w:rPr>
        <w:t>Cf.</w:t>
      </w:r>
      <w:r w:rsidRPr="0079515C">
        <w:rPr>
          <w:spacing w:val="-4"/>
          <w:lang w:val="en-US"/>
        </w:rPr>
        <w:t xml:space="preserve"> Affidavit made by Liu </w:t>
      </w:r>
      <w:proofErr w:type="spellStart"/>
      <w:r w:rsidRPr="0079515C">
        <w:rPr>
          <w:spacing w:val="-4"/>
          <w:lang w:val="en-US"/>
        </w:rPr>
        <w:t>Huawen</w:t>
      </w:r>
      <w:proofErr w:type="spellEnd"/>
      <w:r w:rsidRPr="0079515C">
        <w:rPr>
          <w:spacing w:val="-4"/>
          <w:lang w:val="en-US"/>
        </w:rPr>
        <w:t xml:space="preserve"> on August 19, 2014 (evidence file, folios 6787, 6790, 6798, 6799, 6816 to 6818, 6824, 6830 to 6834, 6836 and 6837).</w:t>
      </w:r>
    </w:p>
  </w:footnote>
  <w:footnote w:id="236">
    <w:p w14:paraId="704CE312" w14:textId="78955A53" w:rsidR="002306C1" w:rsidRPr="0079515C" w:rsidRDefault="002306C1" w:rsidP="00030FA9">
      <w:pPr>
        <w:rPr>
          <w:rFonts w:ascii="Times New Roman" w:eastAsia="Times New Roman" w:hAnsi="Times New Roman" w:cs="Times New Roman"/>
          <w:sz w:val="30"/>
          <w:szCs w:val="30"/>
          <w:lang w:val="en-US" w:eastAsia="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According to expert witness Ben Saul, diplomatic assurances or guarantees “are typically political promises, rather than binding legal safeguards, and therefore they must be </w:t>
      </w:r>
      <w:r w:rsidRPr="00A7171B">
        <w:rPr>
          <w:spacing w:val="-4"/>
          <w:sz w:val="16"/>
          <w:szCs w:val="16"/>
          <w:lang w:val="en-US"/>
        </w:rPr>
        <w:t xml:space="preserve">considered prudently.” Affidavit made by Ben Saul on August 18, 2014 (evidence file, folio 6977). The United Nations High Commissioner for Refugees (UNHCR) has indicated that “the term “diplomatic assurances,” </w:t>
      </w:r>
      <w:r w:rsidRPr="00A7171B">
        <w:rPr>
          <w:rFonts w:eastAsia="Times New Roman" w:cs="Times New Roman"/>
          <w:sz w:val="16"/>
          <w:szCs w:val="16"/>
          <w:lang w:val="en-US" w:eastAsia="en-US"/>
        </w:rPr>
        <w:t>as used in the context of the transfer of a person from one State to another, refers to an undertaking by the receiving State to the effect that the person concerned will be treated in accordance with conditions set by the sending State or, more generally, in keeping with its human rights obligations under international law.”</w:t>
      </w:r>
      <w:r w:rsidRPr="0079515C">
        <w:rPr>
          <w:rFonts w:eastAsia="Times New Roman" w:cs="Times New Roman"/>
          <w:sz w:val="16"/>
          <w:szCs w:val="16"/>
          <w:lang w:val="en-US" w:eastAsia="en-US"/>
        </w:rPr>
        <w:t xml:space="preserve"> </w:t>
      </w:r>
      <w:r w:rsidRPr="0079515C">
        <w:rPr>
          <w:i/>
          <w:spacing w:val="-4"/>
          <w:sz w:val="16"/>
          <w:szCs w:val="16"/>
          <w:lang w:val="en-US" w:eastAsia="en-US"/>
        </w:rPr>
        <w:t>Cf.</w:t>
      </w:r>
      <w:r w:rsidRPr="0079515C">
        <w:rPr>
          <w:spacing w:val="-4"/>
          <w:sz w:val="16"/>
          <w:szCs w:val="16"/>
          <w:lang w:val="en-US" w:eastAsia="en-US"/>
        </w:rPr>
        <w:t xml:space="preserve"> UNHCR Note on Diplomatic Assurances and International Refugee Protection, August 2006, para. 1.</w:t>
      </w:r>
      <w:r w:rsidRPr="0079515C">
        <w:rPr>
          <w:spacing w:val="-4"/>
          <w:lang w:val="en-US" w:eastAsia="en-US"/>
        </w:rPr>
        <w:t xml:space="preserve"> </w:t>
      </w:r>
    </w:p>
  </w:footnote>
  <w:footnote w:id="237">
    <w:p w14:paraId="72CE0EF0" w14:textId="30A4D5A2" w:rsidR="002306C1" w:rsidRPr="0079515C" w:rsidRDefault="002306C1" w:rsidP="00853044">
      <w:pPr>
        <w:pStyle w:val="FootnoteText"/>
        <w:tabs>
          <w:tab w:val="clear" w:pos="567"/>
          <w:tab w:val="left" w:pos="426"/>
        </w:tabs>
        <w:spacing w:before="120" w:after="120"/>
        <w:rPr>
          <w:color w:val="000000"/>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In this regard, see 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w:t>
      </w:r>
      <w:r w:rsidRPr="0079515C">
        <w:rPr>
          <w:rStyle w:val="sb8d990e2"/>
          <w:color w:val="000000"/>
          <w:spacing w:val="-4"/>
          <w:lang w:val="en-US"/>
        </w:rPr>
        <w:t xml:space="preserve">187, and the Human Rights Committee, </w:t>
      </w:r>
      <w:r w:rsidRPr="0079515C">
        <w:rPr>
          <w:i/>
          <w:color w:val="000000"/>
          <w:spacing w:val="-4"/>
          <w:lang w:val="en-US"/>
        </w:rPr>
        <w:t xml:space="preserve">Mohammed </w:t>
      </w:r>
      <w:proofErr w:type="spellStart"/>
      <w:r w:rsidRPr="0079515C">
        <w:rPr>
          <w:i/>
          <w:color w:val="000000"/>
          <w:spacing w:val="-4"/>
          <w:lang w:val="en-US"/>
        </w:rPr>
        <w:t>Alzery</w:t>
      </w:r>
      <w:proofErr w:type="spellEnd"/>
      <w:r w:rsidRPr="0079515C">
        <w:rPr>
          <w:i/>
          <w:color w:val="000000"/>
          <w:spacing w:val="-4"/>
          <w:lang w:val="en-US"/>
        </w:rPr>
        <w:t xml:space="preserve"> v. Sweden</w:t>
      </w:r>
      <w:r w:rsidRPr="0079515C">
        <w:rPr>
          <w:color w:val="000000"/>
          <w:spacing w:val="-4"/>
          <w:lang w:val="en-US"/>
        </w:rPr>
        <w:t>, Communication No. 1416/2005, U.N. Doc. CCPR/C/88/D/1416/2005, November 10, 2006, para. 11.5.</w:t>
      </w:r>
    </w:p>
  </w:footnote>
  <w:footnote w:id="238">
    <w:p w14:paraId="0F35E742" w14:textId="3EA467D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rStyle w:val="sf8bfa2bc"/>
          <w:rFonts w:cs="Arial"/>
          <w:color w:val="000000"/>
          <w:spacing w:val="-4"/>
          <w:shd w:val="clear" w:color="auto" w:fill="FFFFFF"/>
          <w:lang w:val="en-US"/>
        </w:rPr>
        <w:t xml:space="preserve">ECHR, </w:t>
      </w:r>
      <w:r w:rsidRPr="0079515C">
        <w:rPr>
          <w:i/>
          <w:spacing w:val="-4"/>
          <w:lang w:val="en-US"/>
        </w:rPr>
        <w:t xml:space="preserve">Case of </w:t>
      </w:r>
      <w:proofErr w:type="spellStart"/>
      <w:r w:rsidRPr="0079515C">
        <w:rPr>
          <w:i/>
          <w:spacing w:val="-4"/>
          <w:lang w:val="en-US"/>
        </w:rPr>
        <w:t>Nizomkhon</w:t>
      </w:r>
      <w:proofErr w:type="spellEnd"/>
      <w:r w:rsidRPr="0079515C">
        <w:rPr>
          <w:i/>
          <w:spacing w:val="-4"/>
          <w:lang w:val="en-US"/>
        </w:rPr>
        <w:t xml:space="preserve"> </w:t>
      </w:r>
      <w:proofErr w:type="spellStart"/>
      <w:r w:rsidRPr="0079515C">
        <w:rPr>
          <w:i/>
          <w:spacing w:val="-4"/>
          <w:lang w:val="en-US"/>
        </w:rPr>
        <w:t>Dzhurayev</w:t>
      </w:r>
      <w:proofErr w:type="spellEnd"/>
      <w:r w:rsidRPr="0079515C">
        <w:rPr>
          <w:i/>
          <w:spacing w:val="-4"/>
          <w:lang w:val="en-US"/>
        </w:rPr>
        <w:t xml:space="preserve"> v. Russia, </w:t>
      </w:r>
      <w:r w:rsidRPr="0079515C">
        <w:rPr>
          <w:rFonts w:cs="Arial"/>
          <w:iCs/>
          <w:spacing w:val="-4"/>
          <w:shd w:val="clear" w:color="auto" w:fill="FFFFFF"/>
          <w:lang w:val="en-US"/>
        </w:rPr>
        <w:t>No.</w:t>
      </w:r>
      <w:r w:rsidRPr="0079515C">
        <w:rPr>
          <w:rStyle w:val="apple-converted-space"/>
          <w:rFonts w:cs="Arial"/>
          <w:iCs/>
          <w:spacing w:val="-4"/>
          <w:shd w:val="clear" w:color="auto" w:fill="FFFFFF"/>
          <w:lang w:val="en-US"/>
        </w:rPr>
        <w:t> </w:t>
      </w:r>
      <w:hyperlink r:id="rId70" w:anchor="{&quot;appno&quot;:[&quot;31890/11&quot;]}" w:tgtFrame="_blank" w:history="1">
        <w:proofErr w:type="gramStart"/>
        <w:r w:rsidRPr="0079515C">
          <w:rPr>
            <w:rStyle w:val="Hyperlink"/>
            <w:rFonts w:cs="Arial"/>
            <w:iCs/>
            <w:color w:val="auto"/>
            <w:spacing w:val="-4"/>
            <w:u w:val="none"/>
            <w:shd w:val="clear" w:color="auto" w:fill="FFFFFF"/>
            <w:lang w:val="en-US"/>
          </w:rPr>
          <w:t>31890/11</w:t>
        </w:r>
      </w:hyperlink>
      <w:r w:rsidRPr="0079515C">
        <w:rPr>
          <w:rFonts w:cs="Arial"/>
          <w:iCs/>
          <w:spacing w:val="-4"/>
          <w:shd w:val="clear" w:color="auto" w:fill="FFFFFF"/>
          <w:lang w:val="en-US"/>
        </w:rPr>
        <w:t>.</w:t>
      </w:r>
      <w:proofErr w:type="gramEnd"/>
      <w:r w:rsidRPr="0079515C">
        <w:rPr>
          <w:rFonts w:cs="Arial"/>
          <w:iCs/>
          <w:spacing w:val="-4"/>
          <w:shd w:val="clear" w:color="auto" w:fill="FFFFFF"/>
          <w:lang w:val="en-US"/>
        </w:rPr>
        <w:t xml:space="preserve"> </w:t>
      </w:r>
      <w:proofErr w:type="gramStart"/>
      <w:r w:rsidRPr="0079515C">
        <w:rPr>
          <w:rFonts w:cs="Arial"/>
          <w:iCs/>
          <w:spacing w:val="-4"/>
          <w:shd w:val="clear" w:color="auto" w:fill="FFFFFF"/>
          <w:lang w:val="en-US"/>
        </w:rPr>
        <w:t>Judgment of October 3, 2013, para.</w:t>
      </w:r>
      <w:proofErr w:type="gramEnd"/>
      <w:r w:rsidRPr="0079515C">
        <w:rPr>
          <w:rFonts w:cs="Arial"/>
          <w:iCs/>
          <w:spacing w:val="-4"/>
          <w:shd w:val="clear" w:color="auto" w:fill="FFFFFF"/>
          <w:lang w:val="en-US"/>
        </w:rPr>
        <w:t xml:space="preserve"> </w:t>
      </w:r>
      <w:r w:rsidRPr="0079515C">
        <w:rPr>
          <w:spacing w:val="-4"/>
          <w:lang w:val="en-US"/>
        </w:rPr>
        <w:t xml:space="preserve">111. See also, </w:t>
      </w:r>
      <w:r w:rsidRPr="0079515C">
        <w:rPr>
          <w:i/>
          <w:color w:val="000000" w:themeColor="text1"/>
          <w:spacing w:val="-4"/>
          <w:lang w:val="en-US"/>
        </w:rPr>
        <w:t xml:space="preserve">Case of </w:t>
      </w:r>
      <w:proofErr w:type="spellStart"/>
      <w:r w:rsidRPr="0079515C">
        <w:rPr>
          <w:i/>
          <w:color w:val="000000" w:themeColor="text1"/>
          <w:spacing w:val="-4"/>
          <w:lang w:val="en-US"/>
        </w:rPr>
        <w:t>Saadi</w:t>
      </w:r>
      <w:proofErr w:type="spellEnd"/>
      <w:r w:rsidRPr="0079515C">
        <w:rPr>
          <w:i/>
          <w:color w:val="000000" w:themeColor="text1"/>
          <w:spacing w:val="-4"/>
          <w:lang w:val="en-US"/>
        </w:rPr>
        <w:t xml:space="preserve"> v. Italy </w:t>
      </w:r>
      <w:r w:rsidRPr="0079515C">
        <w:rPr>
          <w:color w:val="000000" w:themeColor="text1"/>
          <w:spacing w:val="-4"/>
          <w:lang w:val="en-US"/>
        </w:rPr>
        <w:t xml:space="preserve">[GS], No. 37201/06. </w:t>
      </w:r>
      <w:proofErr w:type="gramStart"/>
      <w:r w:rsidRPr="0079515C">
        <w:rPr>
          <w:color w:val="000000" w:themeColor="text1"/>
          <w:spacing w:val="-4"/>
          <w:lang w:val="en-US"/>
        </w:rPr>
        <w:t>Judgment of February 28, 2008, para.</w:t>
      </w:r>
      <w:proofErr w:type="gramEnd"/>
      <w:r w:rsidRPr="0079515C">
        <w:rPr>
          <w:color w:val="000000" w:themeColor="text1"/>
          <w:spacing w:val="-4"/>
          <w:lang w:val="en-US"/>
        </w:rPr>
        <w:t xml:space="preserve"> </w:t>
      </w:r>
      <w:proofErr w:type="gramStart"/>
      <w:r w:rsidRPr="0079515C">
        <w:rPr>
          <w:color w:val="000000" w:themeColor="text1"/>
          <w:spacing w:val="-4"/>
          <w:lang w:val="en-US"/>
        </w:rPr>
        <w:t>148,</w:t>
      </w:r>
      <w:proofErr w:type="gramEnd"/>
      <w:r w:rsidRPr="0079515C">
        <w:rPr>
          <w:color w:val="000000" w:themeColor="text1"/>
          <w:spacing w:val="-4"/>
          <w:lang w:val="en-US"/>
        </w:rPr>
        <w:t xml:space="preserve"> and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187.</w:t>
      </w:r>
    </w:p>
  </w:footnote>
  <w:footnote w:id="239">
    <w:p w14:paraId="21F57A96" w14:textId="23069AC2" w:rsidR="002306C1" w:rsidRPr="00D8084A" w:rsidRDefault="002306C1" w:rsidP="00853044">
      <w:pPr>
        <w:pStyle w:val="NormalWeb"/>
        <w:tabs>
          <w:tab w:val="left" w:pos="426"/>
        </w:tabs>
        <w:spacing w:before="120" w:beforeAutospacing="0" w:after="120" w:afterAutospacing="0"/>
        <w:jc w:val="both"/>
        <w:rPr>
          <w:rFonts w:ascii="Verdana" w:eastAsiaTheme="minorHAnsi" w:hAnsi="Verdana"/>
          <w:spacing w:val="-4"/>
          <w:sz w:val="16"/>
          <w:szCs w:val="16"/>
          <w:lang w:val="en-US" w:eastAsia="en-US"/>
        </w:rPr>
      </w:pPr>
      <w:r w:rsidRPr="0079515C">
        <w:rPr>
          <w:rStyle w:val="FootnoteReference"/>
          <w:rFonts w:ascii="Verdana" w:hAnsi="Verdana"/>
          <w:spacing w:val="-4"/>
          <w:sz w:val="16"/>
          <w:szCs w:val="16"/>
          <w:lang w:val="en-US"/>
        </w:rPr>
        <w:footnoteRef/>
      </w:r>
      <w:r w:rsidRPr="0079515C">
        <w:rPr>
          <w:rFonts w:ascii="Verdana" w:hAnsi="Verdana"/>
          <w:spacing w:val="-4"/>
          <w:sz w:val="16"/>
          <w:szCs w:val="16"/>
          <w:lang w:val="en-US"/>
        </w:rPr>
        <w:t xml:space="preserve"> </w:t>
      </w:r>
      <w:r w:rsidRPr="0079515C">
        <w:rPr>
          <w:rFonts w:ascii="Verdana" w:hAnsi="Verdana"/>
          <w:spacing w:val="-4"/>
          <w:sz w:val="16"/>
          <w:szCs w:val="16"/>
          <w:lang w:val="en-US"/>
        </w:rPr>
        <w:tab/>
      </w:r>
      <w:r w:rsidRPr="0079515C">
        <w:rPr>
          <w:rFonts w:ascii="Verdana" w:hAnsi="Verdana"/>
          <w:i/>
          <w:spacing w:val="-4"/>
          <w:sz w:val="16"/>
          <w:szCs w:val="16"/>
          <w:lang w:val="en-US"/>
        </w:rPr>
        <w:t xml:space="preserve">Cf. </w:t>
      </w:r>
      <w:r w:rsidRPr="0079515C">
        <w:rPr>
          <w:rFonts w:ascii="Verdana" w:hAnsi="Verdana"/>
          <w:spacing w:val="-4"/>
          <w:sz w:val="16"/>
          <w:szCs w:val="16"/>
          <w:lang w:val="en-US"/>
        </w:rPr>
        <w:t xml:space="preserve">Affidavit made by Ben Saul on August 18, 2014 (evidence file, folio 6977), and Affidavit made by Jean Carlo </w:t>
      </w:r>
      <w:r w:rsidRPr="0079515C">
        <w:rPr>
          <w:rFonts w:ascii="Verdana" w:hAnsi="Verdana"/>
          <w:vanish/>
          <w:spacing w:val="-4"/>
          <w:sz w:val="16"/>
          <w:szCs w:val="16"/>
          <w:lang w:val="en-US"/>
        </w:rPr>
        <w:t>chos humanos del Estado requerido. erido de que la persona solicitada en exMejíaM</w:t>
      </w:r>
      <w:proofErr w:type="spellStart"/>
      <w:r w:rsidRPr="0079515C">
        <w:rPr>
          <w:rFonts w:ascii="Verdana" w:hAnsi="Verdana"/>
          <w:spacing w:val="-4"/>
          <w:sz w:val="16"/>
          <w:szCs w:val="16"/>
          <w:lang w:val="en-US"/>
        </w:rPr>
        <w:t>Mejía</w:t>
      </w:r>
      <w:proofErr w:type="spellEnd"/>
      <w:r w:rsidRPr="0079515C">
        <w:rPr>
          <w:rFonts w:ascii="Verdana" w:hAnsi="Verdana"/>
          <w:spacing w:val="-4"/>
          <w:sz w:val="16"/>
          <w:szCs w:val="16"/>
          <w:lang w:val="en-US"/>
        </w:rPr>
        <w:t xml:space="preserve"> </w:t>
      </w:r>
      <w:proofErr w:type="spellStart"/>
      <w:r w:rsidRPr="0079515C">
        <w:rPr>
          <w:rFonts w:ascii="Verdana" w:hAnsi="Verdana"/>
          <w:spacing w:val="-4"/>
          <w:sz w:val="16"/>
          <w:szCs w:val="16"/>
          <w:lang w:val="en-US"/>
        </w:rPr>
        <w:t>Azuero</w:t>
      </w:r>
      <w:proofErr w:type="spellEnd"/>
      <w:r w:rsidRPr="0079515C">
        <w:rPr>
          <w:rFonts w:ascii="Verdana" w:hAnsi="Verdana"/>
          <w:spacing w:val="-4"/>
          <w:sz w:val="16"/>
          <w:szCs w:val="16"/>
          <w:lang w:val="en-US"/>
        </w:rPr>
        <w:t xml:space="preserve"> on August 15, 2014 (evidence file, folios 6566, 6592y 6593).  </w:t>
      </w:r>
      <w:r w:rsidRPr="00D8084A">
        <w:rPr>
          <w:rFonts w:ascii="Verdana" w:hAnsi="Verdana"/>
          <w:vanish/>
          <w:spacing w:val="-4"/>
          <w:sz w:val="16"/>
          <w:szCs w:val="16"/>
          <w:lang w:val="en-US"/>
        </w:rPr>
        <w:t>chos humanos del Estado requerido. erido de que la persona solicitada en exchos humanos del Estado requerido. erido de que la persona solicitada en ex</w:t>
      </w:r>
    </w:p>
  </w:footnote>
  <w:footnote w:id="240">
    <w:p w14:paraId="616C9B64" w14:textId="73A99BA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In this regard, see, 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In addition, the Human Rights Committee has indicated that: “The existence of diplomatic assurances, their content and the existence and implementation of enforcement mechanisms are all factual elements relevant to the overall determination of whether, in fact, a real risk of proscribed ill-treatment exists”. UN, Human Rights Committee, </w:t>
      </w:r>
      <w:r w:rsidRPr="0079515C">
        <w:rPr>
          <w:i/>
          <w:spacing w:val="-4"/>
          <w:lang w:val="en-US"/>
        </w:rPr>
        <w:t xml:space="preserve">Case of Mohammed </w:t>
      </w:r>
      <w:proofErr w:type="spellStart"/>
      <w:r w:rsidRPr="0079515C">
        <w:rPr>
          <w:i/>
          <w:spacing w:val="-4"/>
          <w:lang w:val="en-US"/>
        </w:rPr>
        <w:t>Alzery</w:t>
      </w:r>
      <w:proofErr w:type="spellEnd"/>
      <w:r w:rsidRPr="0079515C">
        <w:rPr>
          <w:i/>
          <w:spacing w:val="-4"/>
          <w:lang w:val="en-US"/>
        </w:rPr>
        <w:t xml:space="preserve"> v. Sweden</w:t>
      </w:r>
      <w:r w:rsidRPr="0079515C">
        <w:rPr>
          <w:spacing w:val="-4"/>
          <w:lang w:val="en-US"/>
        </w:rPr>
        <w:t>, Communication No.1416/2005, U.N. Doc. CCPR/C/88/D/1416/2005, November 10, 2006, para. 11.5.</w:t>
      </w:r>
    </w:p>
  </w:footnote>
  <w:footnote w:id="241">
    <w:p w14:paraId="1E922F6F" w14:textId="52C48CA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xml:space="preserve">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w:t>
      </w:r>
    </w:p>
  </w:footnote>
  <w:footnote w:id="242">
    <w:p w14:paraId="69328293" w14:textId="0CE216A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 </w:t>
      </w:r>
      <w:r w:rsidRPr="0079515C">
        <w:rPr>
          <w:i/>
          <w:spacing w:val="-4"/>
          <w:lang w:val="en-US"/>
        </w:rPr>
        <w:t>inter alia</w:t>
      </w:r>
      <w:r w:rsidRPr="0079515C">
        <w:rPr>
          <w:spacing w:val="-4"/>
          <w:lang w:val="en-US"/>
        </w:rPr>
        <w:t>:</w:t>
      </w:r>
      <w:r w:rsidRPr="0079515C">
        <w:rPr>
          <w:i/>
          <w:spacing w:val="-4"/>
          <w:lang w:val="en-US"/>
        </w:rPr>
        <w:t xml:space="preserve"> </w:t>
      </w:r>
      <w:r w:rsidRPr="0079515C">
        <w:rPr>
          <w:spacing w:val="-4"/>
          <w:lang w:val="en-US"/>
        </w:rPr>
        <w:t xml:space="preserve">ECHR,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xml:space="preserve">, No. 8320/04.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119,</w:t>
      </w:r>
      <w:proofErr w:type="gramEnd"/>
      <w:r w:rsidRPr="0079515C">
        <w:rPr>
          <w:spacing w:val="-4"/>
          <w:lang w:val="en-US"/>
        </w:rPr>
        <w:t xml:space="preserve"> and </w:t>
      </w:r>
      <w:r>
        <w:rPr>
          <w:i/>
          <w:spacing w:val="-4"/>
          <w:lang w:val="en-US"/>
        </w:rPr>
        <w:t>Case of</w:t>
      </w:r>
      <w:r w:rsidRPr="0079515C">
        <w:rPr>
          <w:i/>
          <w:spacing w:val="-4"/>
          <w:lang w:val="en-US"/>
        </w:rPr>
        <w:t xml:space="preserve"> </w:t>
      </w:r>
      <w:proofErr w:type="spellStart"/>
      <w:r w:rsidRPr="0079515C">
        <w:rPr>
          <w:i/>
          <w:spacing w:val="-4"/>
          <w:lang w:val="en-US"/>
        </w:rPr>
        <w:t>Muminov</w:t>
      </w:r>
      <w:proofErr w:type="spellEnd"/>
      <w:r w:rsidRPr="0079515C">
        <w:rPr>
          <w:i/>
          <w:spacing w:val="-4"/>
          <w:lang w:val="en-US"/>
        </w:rPr>
        <w:t xml:space="preserve"> v. Russia,</w:t>
      </w:r>
      <w:r w:rsidRPr="0079515C">
        <w:rPr>
          <w:spacing w:val="-4"/>
          <w:lang w:val="en-US"/>
        </w:rPr>
        <w:t xml:space="preserve"> No. 42502/06. </w:t>
      </w:r>
      <w:proofErr w:type="gramStart"/>
      <w:r w:rsidRPr="0079515C">
        <w:rPr>
          <w:spacing w:val="-4"/>
          <w:lang w:val="en-US"/>
        </w:rPr>
        <w:t>Judgment of December 11, 2008, para.</w:t>
      </w:r>
      <w:proofErr w:type="gramEnd"/>
      <w:r w:rsidRPr="0079515C">
        <w:rPr>
          <w:spacing w:val="-4"/>
          <w:lang w:val="en-US"/>
        </w:rPr>
        <w:t xml:space="preserve"> 97.</w:t>
      </w:r>
    </w:p>
  </w:footnote>
  <w:footnote w:id="243">
    <w:p w14:paraId="51C825A8" w14:textId="1097021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 ECHR, </w:t>
      </w:r>
      <w:r w:rsidRPr="0079515C">
        <w:rPr>
          <w:i/>
          <w:color w:val="000000" w:themeColor="text1"/>
          <w:spacing w:val="-4"/>
          <w:lang w:val="en-US"/>
        </w:rPr>
        <w:t xml:space="preserve">Case of </w:t>
      </w:r>
      <w:proofErr w:type="spellStart"/>
      <w:r w:rsidRPr="0079515C">
        <w:rPr>
          <w:i/>
          <w:color w:val="000000" w:themeColor="text1"/>
          <w:spacing w:val="-4"/>
          <w:lang w:val="en-US"/>
        </w:rPr>
        <w:t>Saadi</w:t>
      </w:r>
      <w:proofErr w:type="spellEnd"/>
      <w:r w:rsidRPr="0079515C">
        <w:rPr>
          <w:i/>
          <w:color w:val="000000" w:themeColor="text1"/>
          <w:spacing w:val="-4"/>
          <w:lang w:val="en-US"/>
        </w:rPr>
        <w:t xml:space="preserve"> v. Italy </w:t>
      </w:r>
      <w:r w:rsidRPr="0079515C">
        <w:rPr>
          <w:color w:val="000000" w:themeColor="text1"/>
          <w:spacing w:val="-4"/>
          <w:lang w:val="en-US"/>
        </w:rPr>
        <w:t xml:space="preserve">[GS], No. 37201/06. </w:t>
      </w:r>
      <w:proofErr w:type="gramStart"/>
      <w:r w:rsidRPr="0079515C">
        <w:rPr>
          <w:color w:val="000000" w:themeColor="text1"/>
          <w:spacing w:val="-4"/>
          <w:lang w:val="en-US"/>
        </w:rPr>
        <w:t>Judgment of February 28, 2008, para.</w:t>
      </w:r>
      <w:proofErr w:type="gramEnd"/>
      <w:r w:rsidRPr="0079515C">
        <w:rPr>
          <w:color w:val="000000" w:themeColor="text1"/>
          <w:spacing w:val="-4"/>
          <w:lang w:val="en-US"/>
        </w:rPr>
        <w:t xml:space="preserve"> </w:t>
      </w:r>
      <w:proofErr w:type="gramStart"/>
      <w:r w:rsidRPr="0079515C">
        <w:rPr>
          <w:rStyle w:val="sb8d990e2"/>
          <w:rFonts w:cs="Arial"/>
          <w:color w:val="000000" w:themeColor="text1"/>
          <w:spacing w:val="-4"/>
          <w:shd w:val="clear" w:color="auto" w:fill="FFFFFF"/>
          <w:lang w:val="en-US"/>
        </w:rPr>
        <w:t xml:space="preserve">147; </w:t>
      </w:r>
      <w:r w:rsidRPr="0079515C">
        <w:rPr>
          <w:i/>
          <w:spacing w:val="-4"/>
          <w:lang w:val="en-US"/>
        </w:rPr>
        <w:t>Case of Klein v. Russia</w:t>
      </w:r>
      <w:r w:rsidRPr="0079515C">
        <w:rPr>
          <w:spacing w:val="-4"/>
          <w:lang w:val="en-US"/>
        </w:rPr>
        <w:t>, No. 24268/08.</w:t>
      </w:r>
      <w:proofErr w:type="gramEnd"/>
      <w:r w:rsidRPr="0079515C">
        <w:rPr>
          <w:spacing w:val="-4"/>
          <w:lang w:val="en-US"/>
        </w:rPr>
        <w:t xml:space="preserve"> </w:t>
      </w:r>
      <w:proofErr w:type="gramStart"/>
      <w:r w:rsidRPr="0079515C">
        <w:rPr>
          <w:spacing w:val="-4"/>
          <w:lang w:val="en-US"/>
        </w:rPr>
        <w:t>Judgment of April 1, 2010, para.</w:t>
      </w:r>
      <w:proofErr w:type="gramEnd"/>
      <w:r w:rsidRPr="0079515C">
        <w:rPr>
          <w:spacing w:val="-4"/>
          <w:lang w:val="en-US"/>
        </w:rPr>
        <w:t xml:space="preserve"> </w:t>
      </w:r>
      <w:proofErr w:type="gramStart"/>
      <w:r w:rsidRPr="0079515C">
        <w:rPr>
          <w:spacing w:val="-4"/>
          <w:lang w:val="en-US"/>
        </w:rPr>
        <w:t>55,</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Khaydarov</w:t>
      </w:r>
      <w:proofErr w:type="spellEnd"/>
      <w:r w:rsidRPr="0079515C">
        <w:rPr>
          <w:i/>
          <w:spacing w:val="-4"/>
          <w:lang w:val="en-US"/>
        </w:rPr>
        <w:t xml:space="preserve"> v. Russia</w:t>
      </w:r>
      <w:r w:rsidRPr="0079515C">
        <w:rPr>
          <w:spacing w:val="-4"/>
          <w:lang w:val="en-US"/>
        </w:rPr>
        <w:t xml:space="preserve">, No. 21055/09. </w:t>
      </w:r>
      <w:proofErr w:type="gramStart"/>
      <w:r w:rsidRPr="0079515C">
        <w:rPr>
          <w:spacing w:val="-4"/>
          <w:lang w:val="en-US"/>
        </w:rPr>
        <w:t>Judgment of May 20, 2010, para.</w:t>
      </w:r>
      <w:proofErr w:type="gramEnd"/>
      <w:r w:rsidRPr="0079515C">
        <w:rPr>
          <w:spacing w:val="-4"/>
          <w:lang w:val="en-US"/>
        </w:rPr>
        <w:t xml:space="preserve"> 111. </w:t>
      </w:r>
    </w:p>
  </w:footnote>
  <w:footnote w:id="244">
    <w:p w14:paraId="386CF5FB" w14:textId="2858F70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 ECHR, </w:t>
      </w:r>
      <w:r w:rsidRPr="0079515C">
        <w:rPr>
          <w:i/>
          <w:spacing w:val="-4"/>
          <w:lang w:val="en-US"/>
        </w:rPr>
        <w:t xml:space="preserve">Case of </w:t>
      </w:r>
      <w:proofErr w:type="spellStart"/>
      <w:r w:rsidRPr="0079515C">
        <w:rPr>
          <w:i/>
          <w:spacing w:val="-4"/>
          <w:lang w:val="en-US"/>
        </w:rPr>
        <w:t>Shamayev</w:t>
      </w:r>
      <w:proofErr w:type="spellEnd"/>
      <w:r w:rsidRPr="0079515C">
        <w:rPr>
          <w:i/>
          <w:spacing w:val="-4"/>
          <w:lang w:val="en-US"/>
        </w:rPr>
        <w:t xml:space="preserve"> and Others v. Georgia and Russia</w:t>
      </w:r>
      <w:r w:rsidRPr="0079515C">
        <w:rPr>
          <w:spacing w:val="-4"/>
          <w:lang w:val="en-US"/>
        </w:rPr>
        <w:t xml:space="preserve">, No. 36378/02. </w:t>
      </w:r>
      <w:proofErr w:type="gramStart"/>
      <w:r w:rsidRPr="0079515C">
        <w:rPr>
          <w:spacing w:val="-4"/>
          <w:lang w:val="en-US"/>
        </w:rPr>
        <w:t>Judgment of April 12, 2005, para.</w:t>
      </w:r>
      <w:proofErr w:type="gramEnd"/>
      <w:r w:rsidRPr="0079515C">
        <w:rPr>
          <w:spacing w:val="-4"/>
          <w:lang w:val="en-US"/>
        </w:rPr>
        <w:t xml:space="preserve"> </w:t>
      </w:r>
      <w:proofErr w:type="gramStart"/>
      <w:r w:rsidRPr="0079515C">
        <w:rPr>
          <w:spacing w:val="-4"/>
          <w:lang w:val="en-US"/>
        </w:rPr>
        <w:t xml:space="preserve">344; </w:t>
      </w:r>
      <w:r w:rsidRPr="0079515C">
        <w:rPr>
          <w:i/>
          <w:spacing w:val="-4"/>
          <w:lang w:val="en-US"/>
        </w:rPr>
        <w:t xml:space="preserve">Case of </w:t>
      </w:r>
      <w:proofErr w:type="spellStart"/>
      <w:r w:rsidRPr="0079515C">
        <w:rPr>
          <w:i/>
          <w:iCs/>
          <w:spacing w:val="-4"/>
          <w:lang w:val="en-US"/>
        </w:rPr>
        <w:t>Kordian</w:t>
      </w:r>
      <w:proofErr w:type="spellEnd"/>
      <w:r w:rsidRPr="0079515C">
        <w:rPr>
          <w:i/>
          <w:iCs/>
          <w:spacing w:val="-4"/>
          <w:lang w:val="en-US"/>
        </w:rPr>
        <w:t xml:space="preserve"> v. Turkey</w:t>
      </w:r>
      <w:r w:rsidRPr="0079515C">
        <w:rPr>
          <w:spacing w:val="-4"/>
          <w:lang w:val="en-US"/>
        </w:rPr>
        <w:t>, No. 6575/06.</w:t>
      </w:r>
      <w:proofErr w:type="gramEnd"/>
      <w:r w:rsidRPr="0079515C">
        <w:rPr>
          <w:spacing w:val="-4"/>
          <w:lang w:val="en-US"/>
        </w:rPr>
        <w:t xml:space="preserve"> </w:t>
      </w:r>
      <w:proofErr w:type="gramStart"/>
      <w:r w:rsidRPr="0079515C">
        <w:rPr>
          <w:spacing w:val="-4"/>
          <w:lang w:val="en-US"/>
        </w:rPr>
        <w:t>Decision of July 4, 2006; </w:t>
      </w:r>
      <w:r w:rsidRPr="0079515C">
        <w:rPr>
          <w:i/>
          <w:spacing w:val="-4"/>
          <w:lang w:val="en-US"/>
        </w:rPr>
        <w:t>Case of</w:t>
      </w:r>
      <w:r w:rsidRPr="0079515C">
        <w:rPr>
          <w:spacing w:val="-4"/>
          <w:lang w:val="en-US"/>
        </w:rPr>
        <w:t xml:space="preserve"> </w:t>
      </w:r>
      <w:r w:rsidRPr="0079515C">
        <w:rPr>
          <w:i/>
          <w:iCs/>
          <w:spacing w:val="-4"/>
          <w:lang w:val="en-US"/>
        </w:rPr>
        <w:t>Abu Salem v. Portugal</w:t>
      </w:r>
      <w:r w:rsidRPr="0079515C">
        <w:rPr>
          <w:spacing w:val="-4"/>
          <w:lang w:val="en-US"/>
        </w:rPr>
        <w:t>, No. 26844/04.</w:t>
      </w:r>
      <w:proofErr w:type="gramEnd"/>
      <w:r w:rsidRPr="0079515C">
        <w:rPr>
          <w:spacing w:val="-4"/>
          <w:lang w:val="en-US"/>
        </w:rPr>
        <w:t xml:space="preserve"> </w:t>
      </w:r>
      <w:proofErr w:type="gramStart"/>
      <w:r w:rsidRPr="0079515C">
        <w:rPr>
          <w:spacing w:val="-4"/>
          <w:lang w:val="en-US"/>
        </w:rPr>
        <w:t xml:space="preserve">Decision of May 9, 2006, and, to the contrary, </w:t>
      </w:r>
      <w:r w:rsidRPr="0079515C">
        <w:rPr>
          <w:i/>
          <w:spacing w:val="-4"/>
          <w:lang w:val="en-US"/>
        </w:rPr>
        <w:t xml:space="preserve">Case of </w:t>
      </w:r>
      <w:r w:rsidRPr="0079515C">
        <w:rPr>
          <w:rStyle w:val="s6b621b36"/>
          <w:rFonts w:cs="Arial"/>
          <w:i/>
          <w:iCs/>
          <w:color w:val="000000"/>
          <w:spacing w:val="-4"/>
          <w:shd w:val="clear" w:color="auto" w:fill="FFFFFF"/>
          <w:lang w:val="en-US"/>
        </w:rPr>
        <w:t xml:space="preserve">Ben </w:t>
      </w:r>
      <w:proofErr w:type="spellStart"/>
      <w:r w:rsidRPr="0079515C">
        <w:rPr>
          <w:rStyle w:val="s6b621b36"/>
          <w:rFonts w:cs="Arial"/>
          <w:i/>
          <w:iCs/>
          <w:color w:val="000000"/>
          <w:spacing w:val="-4"/>
          <w:shd w:val="clear" w:color="auto" w:fill="FFFFFF"/>
          <w:lang w:val="en-US"/>
        </w:rPr>
        <w:t>Khemais</w:t>
      </w:r>
      <w:proofErr w:type="spellEnd"/>
      <w:r w:rsidRPr="0079515C">
        <w:rPr>
          <w:rStyle w:val="s6b621b36"/>
          <w:rFonts w:cs="Arial"/>
          <w:i/>
          <w:iCs/>
          <w:color w:val="000000"/>
          <w:spacing w:val="-4"/>
          <w:shd w:val="clear" w:color="auto" w:fill="FFFFFF"/>
          <w:lang w:val="en-US"/>
        </w:rPr>
        <w:t xml:space="preserve"> v. Italy</w:t>
      </w:r>
      <w:r w:rsidRPr="0079515C">
        <w:rPr>
          <w:rStyle w:val="sb8d990e2"/>
          <w:rFonts w:cs="Arial"/>
          <w:color w:val="000000"/>
          <w:spacing w:val="-4"/>
          <w:shd w:val="clear" w:color="auto" w:fill="FFFFFF"/>
          <w:lang w:val="en-US"/>
        </w:rPr>
        <w:t>, No.</w:t>
      </w:r>
      <w:proofErr w:type="gramEnd"/>
      <w:r w:rsidRPr="0079515C">
        <w:rPr>
          <w:rStyle w:val="apple-converted-space"/>
          <w:rFonts w:cs="Arial"/>
          <w:color w:val="000000"/>
          <w:spacing w:val="-4"/>
          <w:shd w:val="clear" w:color="auto" w:fill="FFFFFF"/>
          <w:lang w:val="en-US"/>
        </w:rPr>
        <w:t> </w:t>
      </w:r>
      <w:hyperlink r:id="rId71" w:anchor="{&quot;appno&quot;:[&quot;246/07&quot;]}" w:tgtFrame="_blank" w:history="1">
        <w:proofErr w:type="gramStart"/>
        <w:r w:rsidRPr="0079515C">
          <w:rPr>
            <w:rStyle w:val="Hyperlink"/>
            <w:rFonts w:cs="Arial"/>
            <w:color w:val="000000" w:themeColor="text1"/>
            <w:spacing w:val="-4"/>
            <w:u w:val="none"/>
            <w:shd w:val="clear" w:color="auto" w:fill="FFFFFF"/>
            <w:lang w:val="en-US"/>
          </w:rPr>
          <w:t>246/07</w:t>
        </w:r>
      </w:hyperlink>
      <w:r w:rsidRPr="0079515C">
        <w:rPr>
          <w:rStyle w:val="sb8d990e2"/>
          <w:rFonts w:cs="Arial"/>
          <w:color w:val="000000" w:themeColor="text1"/>
          <w:spacing w:val="-4"/>
          <w:shd w:val="clear" w:color="auto" w:fill="FFFFFF"/>
          <w:lang w:val="en-US"/>
        </w:rPr>
        <w:t>.</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Judgment of February 24, 2009, para.</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spacing w:val="-4"/>
          <w:shd w:val="clear" w:color="auto" w:fill="FFFFFF"/>
          <w:lang w:val="en-US"/>
        </w:rPr>
        <w:t>59;</w:t>
      </w:r>
      <w:r w:rsidRPr="0079515C">
        <w:rPr>
          <w:i/>
          <w:spacing w:val="-4"/>
          <w:lang w:val="en-US"/>
        </w:rPr>
        <w:t xml:space="preserve"> Case of </w:t>
      </w:r>
      <w:proofErr w:type="spellStart"/>
      <w:r w:rsidRPr="0079515C">
        <w:rPr>
          <w:i/>
          <w:spacing w:val="-4"/>
          <w:lang w:val="en-US"/>
        </w:rPr>
        <w:t>Garayev</w:t>
      </w:r>
      <w:proofErr w:type="spellEnd"/>
      <w:r w:rsidRPr="0079515C">
        <w:rPr>
          <w:i/>
          <w:spacing w:val="-4"/>
          <w:lang w:val="en-US"/>
        </w:rPr>
        <w:t xml:space="preserve"> v. Azerbaijan</w:t>
      </w:r>
      <w:r w:rsidRPr="0079515C">
        <w:rPr>
          <w:spacing w:val="-4"/>
          <w:lang w:val="en-US"/>
        </w:rPr>
        <w:t>, No. 53688/08.</w:t>
      </w:r>
      <w:proofErr w:type="gramEnd"/>
      <w:r w:rsidRPr="0079515C">
        <w:rPr>
          <w:spacing w:val="-4"/>
          <w:lang w:val="en-US"/>
        </w:rPr>
        <w:t xml:space="preserve"> </w:t>
      </w:r>
      <w:proofErr w:type="gramStart"/>
      <w:r w:rsidRPr="0079515C">
        <w:rPr>
          <w:spacing w:val="-4"/>
          <w:lang w:val="en-US"/>
        </w:rPr>
        <w:t>Judgment of June 10, 2010, para.</w:t>
      </w:r>
      <w:proofErr w:type="gramEnd"/>
      <w:r w:rsidRPr="0079515C">
        <w:rPr>
          <w:spacing w:val="-4"/>
          <w:lang w:val="en-US"/>
        </w:rPr>
        <w:t xml:space="preserve"> </w:t>
      </w:r>
      <w:proofErr w:type="gramStart"/>
      <w:r w:rsidRPr="0079515C">
        <w:rPr>
          <w:spacing w:val="-4"/>
          <w:lang w:val="en-US"/>
        </w:rPr>
        <w:t xml:space="preserve">74; </w:t>
      </w:r>
      <w:r>
        <w:rPr>
          <w:i/>
          <w:spacing w:val="-4"/>
          <w:lang w:val="en-US"/>
        </w:rPr>
        <w:t xml:space="preserve">Case of </w:t>
      </w:r>
      <w:proofErr w:type="spellStart"/>
      <w:r>
        <w:rPr>
          <w:i/>
          <w:spacing w:val="-4"/>
          <w:lang w:val="en-US"/>
        </w:rPr>
        <w:t>B</w:t>
      </w:r>
      <w:r w:rsidRPr="0079515C">
        <w:rPr>
          <w:i/>
          <w:spacing w:val="-4"/>
          <w:lang w:val="en-US"/>
        </w:rPr>
        <w:t>aysakov</w:t>
      </w:r>
      <w:proofErr w:type="spellEnd"/>
      <w:r w:rsidRPr="0079515C">
        <w:rPr>
          <w:i/>
          <w:spacing w:val="-4"/>
          <w:lang w:val="en-US"/>
        </w:rPr>
        <w:t xml:space="preserve"> and Others v. Ukraine,</w:t>
      </w:r>
      <w:r w:rsidRPr="0079515C">
        <w:rPr>
          <w:spacing w:val="-4"/>
          <w:lang w:val="en-US"/>
        </w:rPr>
        <w:t xml:space="preserve"> No. 54131/08.</w:t>
      </w:r>
      <w:proofErr w:type="gramEnd"/>
      <w:r w:rsidRPr="0079515C">
        <w:rPr>
          <w:spacing w:val="-4"/>
          <w:lang w:val="en-US"/>
        </w:rPr>
        <w:t xml:space="preserve"> </w:t>
      </w:r>
      <w:proofErr w:type="gramStart"/>
      <w:r w:rsidRPr="0079515C">
        <w:rPr>
          <w:spacing w:val="-4"/>
          <w:lang w:val="en-US"/>
        </w:rPr>
        <w:t>Judgment of February 18, 2010, para.</w:t>
      </w:r>
      <w:proofErr w:type="gramEnd"/>
      <w:r w:rsidRPr="0079515C">
        <w:rPr>
          <w:spacing w:val="-4"/>
          <w:lang w:val="en-US"/>
        </w:rPr>
        <w:t xml:space="preserve"> </w:t>
      </w:r>
      <w:proofErr w:type="gramStart"/>
      <w:r w:rsidRPr="0079515C">
        <w:rPr>
          <w:spacing w:val="-4"/>
          <w:lang w:val="en-US"/>
        </w:rPr>
        <w:t>51,</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Soldatenko</w:t>
      </w:r>
      <w:proofErr w:type="spellEnd"/>
      <w:r w:rsidRPr="0079515C">
        <w:rPr>
          <w:i/>
          <w:spacing w:val="-4"/>
          <w:lang w:val="en-US"/>
        </w:rPr>
        <w:t xml:space="preserve"> v. Ukraine</w:t>
      </w:r>
      <w:r w:rsidRPr="0079515C">
        <w:rPr>
          <w:spacing w:val="-4"/>
          <w:lang w:val="en-US"/>
        </w:rPr>
        <w:t xml:space="preserve">, No. 2440/07. </w:t>
      </w:r>
      <w:proofErr w:type="gramStart"/>
      <w:r w:rsidRPr="0079515C">
        <w:rPr>
          <w:spacing w:val="-4"/>
          <w:lang w:val="en-US"/>
        </w:rPr>
        <w:t>Judgment of October 23, 2008, para.</w:t>
      </w:r>
      <w:proofErr w:type="gramEnd"/>
      <w:r w:rsidRPr="0079515C">
        <w:rPr>
          <w:spacing w:val="-4"/>
          <w:lang w:val="en-US"/>
        </w:rPr>
        <w:t xml:space="preserve"> 73. </w:t>
      </w:r>
    </w:p>
  </w:footnote>
  <w:footnote w:id="245">
    <w:p w14:paraId="318C355B" w14:textId="0FCB8D53"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spacing w:val="-4"/>
          <w:lang w:val="en-US"/>
        </w:rPr>
        <w:t xml:space="preserve">ECHR, </w:t>
      </w:r>
      <w:r w:rsidRPr="0079515C">
        <w:rPr>
          <w:rStyle w:val="sb8d990e2"/>
          <w:rFonts w:cs="Arial"/>
          <w:i/>
          <w:color w:val="000000"/>
          <w:spacing w:val="-4"/>
          <w:shd w:val="clear" w:color="auto" w:fill="FFFFFF"/>
          <w:lang w:val="en-US"/>
        </w:rPr>
        <w:t xml:space="preserve">Case of </w:t>
      </w:r>
      <w:proofErr w:type="spellStart"/>
      <w:r w:rsidRPr="0079515C">
        <w:rPr>
          <w:rStyle w:val="s6b621b36"/>
          <w:rFonts w:cs="Arial"/>
          <w:i/>
          <w:iCs/>
          <w:color w:val="000000"/>
          <w:spacing w:val="-4"/>
          <w:shd w:val="clear" w:color="auto" w:fill="FFFFFF"/>
          <w:lang w:val="en-US"/>
        </w:rPr>
        <w:t>Chahal</w:t>
      </w:r>
      <w:proofErr w:type="spellEnd"/>
      <w:r w:rsidRPr="0079515C">
        <w:rPr>
          <w:rStyle w:val="s6b621b36"/>
          <w:rFonts w:cs="Arial"/>
          <w:i/>
          <w:iCs/>
          <w:color w:val="000000"/>
          <w:spacing w:val="-4"/>
          <w:shd w:val="clear" w:color="auto" w:fill="FFFFFF"/>
          <w:lang w:val="en-US"/>
        </w:rPr>
        <w:t xml:space="preserve"> v. </w:t>
      </w:r>
      <w:proofErr w:type="gramStart"/>
      <w:r w:rsidRPr="0079515C">
        <w:rPr>
          <w:rStyle w:val="s6b621b36"/>
          <w:rFonts w:cs="Arial"/>
          <w:i/>
          <w:iCs/>
          <w:spacing w:val="-4"/>
          <w:shd w:val="clear" w:color="auto" w:fill="FFFFFF"/>
          <w:lang w:val="en-US"/>
        </w:rPr>
        <w:t xml:space="preserve">The United Kingdom </w:t>
      </w:r>
      <w:r w:rsidRPr="0079515C">
        <w:rPr>
          <w:rStyle w:val="s6b621b36"/>
          <w:rFonts w:cs="Arial"/>
          <w:iCs/>
          <w:spacing w:val="-4"/>
          <w:shd w:val="clear" w:color="auto" w:fill="FFFFFF"/>
          <w:lang w:val="en-US"/>
        </w:rPr>
        <w:t>[GS]</w:t>
      </w:r>
      <w:r w:rsidRPr="0079515C">
        <w:rPr>
          <w:rStyle w:val="sb8d990e2"/>
          <w:rFonts w:cs="Arial"/>
          <w:spacing w:val="-4"/>
          <w:shd w:val="clear" w:color="auto" w:fill="FFFFFF"/>
          <w:lang w:val="en-US"/>
        </w:rPr>
        <w:t>, No.</w:t>
      </w:r>
      <w:proofErr w:type="gramEnd"/>
      <w:r w:rsidRPr="0079515C">
        <w:rPr>
          <w:rStyle w:val="sb8d990e2"/>
          <w:rFonts w:cs="Arial"/>
          <w:spacing w:val="-4"/>
          <w:shd w:val="clear" w:color="auto" w:fill="FFFFFF"/>
          <w:lang w:val="en-US"/>
        </w:rPr>
        <w:t xml:space="preserve"> </w:t>
      </w:r>
      <w:hyperlink r:id="rId72" w:anchor="{&quot;appno&quot;:[&quot;22414/93&quot;]}" w:tgtFrame="_blank" w:history="1">
        <w:proofErr w:type="gramStart"/>
        <w:r w:rsidRPr="0079515C">
          <w:rPr>
            <w:rStyle w:val="Hyperlink"/>
            <w:rFonts w:cs="Arial"/>
            <w:iCs/>
            <w:color w:val="auto"/>
            <w:spacing w:val="-4"/>
            <w:u w:val="none"/>
            <w:shd w:val="clear" w:color="auto" w:fill="FFFFFF"/>
            <w:lang w:val="en-US"/>
          </w:rPr>
          <w:t>22414/93</w:t>
        </w:r>
      </w:hyperlink>
      <w:r w:rsidRPr="0079515C">
        <w:rPr>
          <w:rStyle w:val="s6b621b36"/>
          <w:rFonts w:cs="Arial"/>
          <w:iCs/>
          <w:spacing w:val="-4"/>
          <w:shd w:val="clear" w:color="auto" w:fill="FFFFFF"/>
          <w:lang w:val="en-US"/>
        </w:rPr>
        <w:t>.</w:t>
      </w:r>
      <w:proofErr w:type="gramEnd"/>
      <w:r w:rsidRPr="0079515C">
        <w:rPr>
          <w:rStyle w:val="s6b621b36"/>
          <w:rFonts w:cs="Arial"/>
          <w:iCs/>
          <w:spacing w:val="-4"/>
          <w:shd w:val="clear" w:color="auto" w:fill="FFFFFF"/>
          <w:lang w:val="en-US"/>
        </w:rPr>
        <w:t xml:space="preserve"> </w:t>
      </w:r>
      <w:proofErr w:type="gramStart"/>
      <w:r w:rsidRPr="0079515C">
        <w:rPr>
          <w:rStyle w:val="s6b621b36"/>
          <w:rFonts w:cs="Arial"/>
          <w:iCs/>
          <w:spacing w:val="-4"/>
          <w:shd w:val="clear" w:color="auto" w:fill="FFFFFF"/>
          <w:lang w:val="en-US"/>
        </w:rPr>
        <w:t>Judgment of November 15, 1996,</w:t>
      </w:r>
      <w:r>
        <w:rPr>
          <w:spacing w:val="-4"/>
          <w:lang w:val="en-US"/>
        </w:rPr>
        <w:t xml:space="preserve"> paras.</w:t>
      </w:r>
      <w:proofErr w:type="gramEnd"/>
      <w:r>
        <w:rPr>
          <w:spacing w:val="-4"/>
          <w:lang w:val="en-US"/>
        </w:rPr>
        <w:t xml:space="preserve"> </w:t>
      </w:r>
      <w:proofErr w:type="gramStart"/>
      <w:r>
        <w:rPr>
          <w:spacing w:val="-4"/>
          <w:lang w:val="en-US"/>
        </w:rPr>
        <w:t>105 to</w:t>
      </w:r>
      <w:r w:rsidRPr="0079515C">
        <w:rPr>
          <w:spacing w:val="-4"/>
          <w:lang w:val="en-US"/>
        </w:rPr>
        <w:t xml:space="preserve"> 107.</w:t>
      </w:r>
      <w:proofErr w:type="gramEnd"/>
    </w:p>
  </w:footnote>
  <w:footnote w:id="246">
    <w:p w14:paraId="25815AA7" w14:textId="75205EEB" w:rsidR="002306C1" w:rsidRPr="0079515C" w:rsidRDefault="002306C1" w:rsidP="00853044">
      <w:pPr>
        <w:pStyle w:val="FootnoteText"/>
        <w:tabs>
          <w:tab w:val="clear" w:pos="567"/>
          <w:tab w:val="left" w:pos="426"/>
        </w:tabs>
        <w:spacing w:before="120" w:after="120"/>
        <w:rPr>
          <w:rFonts w:cs="Arial"/>
          <w:color w:val="000000" w:themeColor="text1"/>
          <w:spacing w:val="-4"/>
          <w:shd w:val="clear" w:color="auto" w:fill="FFFFFF"/>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 </w:t>
      </w:r>
      <w:r w:rsidRPr="0079515C">
        <w:rPr>
          <w:i/>
          <w:spacing w:val="-4"/>
          <w:lang w:val="en-US"/>
        </w:rPr>
        <w:t>inter alia</w:t>
      </w:r>
      <w:r w:rsidRPr="0079515C">
        <w:rPr>
          <w:spacing w:val="-4"/>
          <w:lang w:val="en-US"/>
        </w:rPr>
        <w:t>: ECHR</w:t>
      </w:r>
      <w:r w:rsidRPr="0079515C">
        <w:rPr>
          <w:i/>
          <w:spacing w:val="-4"/>
          <w:lang w:val="en-US"/>
        </w:rPr>
        <w:t xml:space="preserve">, </w:t>
      </w:r>
      <w:r w:rsidRPr="0079515C">
        <w:rPr>
          <w:rStyle w:val="sb8d990e2"/>
          <w:rFonts w:cs="Arial"/>
          <w:i/>
          <w:color w:val="000000"/>
          <w:spacing w:val="-4"/>
          <w:shd w:val="clear" w:color="auto" w:fill="FFFFFF"/>
          <w:lang w:val="en-US"/>
        </w:rPr>
        <w:t>Case of</w:t>
      </w:r>
      <w:r w:rsidRPr="0079515C">
        <w:rPr>
          <w:rStyle w:val="sb8d990e2"/>
          <w:rFonts w:cs="Arial"/>
          <w:color w:val="000000"/>
          <w:spacing w:val="-4"/>
          <w:shd w:val="clear" w:color="auto" w:fill="FFFFFF"/>
          <w:lang w:val="en-US"/>
        </w:rPr>
        <w:t xml:space="preserve"> </w:t>
      </w:r>
      <w:proofErr w:type="spellStart"/>
      <w:r w:rsidRPr="0079515C">
        <w:rPr>
          <w:rStyle w:val="s6b621b36"/>
          <w:rFonts w:cs="Arial"/>
          <w:i/>
          <w:iCs/>
          <w:color w:val="000000"/>
          <w:spacing w:val="-4"/>
          <w:shd w:val="clear" w:color="auto" w:fill="FFFFFF"/>
          <w:lang w:val="en-US"/>
        </w:rPr>
        <w:t>Cipriani</w:t>
      </w:r>
      <w:proofErr w:type="spellEnd"/>
      <w:r w:rsidRPr="0079515C">
        <w:rPr>
          <w:rStyle w:val="s6b621b36"/>
          <w:rFonts w:cs="Arial"/>
          <w:i/>
          <w:iCs/>
          <w:color w:val="000000"/>
          <w:spacing w:val="-4"/>
          <w:shd w:val="clear" w:color="auto" w:fill="FFFFFF"/>
          <w:lang w:val="en-US"/>
        </w:rPr>
        <w:t xml:space="preserve"> v. Italy,</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No.</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 xml:space="preserve">221142/07. Decision of March 30, 2010; </w:t>
      </w:r>
      <w:r w:rsidRPr="0079515C">
        <w:rPr>
          <w:rStyle w:val="sb8d990e2"/>
          <w:rFonts w:cs="Arial"/>
          <w:i/>
          <w:color w:val="000000"/>
          <w:spacing w:val="-4"/>
          <w:shd w:val="clear" w:color="auto" w:fill="FFFFFF"/>
          <w:lang w:val="en-US"/>
        </w:rPr>
        <w:t>Case of</w:t>
      </w:r>
      <w:r w:rsidRPr="0079515C">
        <w:rPr>
          <w:rStyle w:val="sb8d990e2"/>
          <w:rFonts w:cs="Arial"/>
          <w:color w:val="000000"/>
          <w:spacing w:val="-4"/>
          <w:shd w:val="clear" w:color="auto" w:fill="FFFFFF"/>
          <w:lang w:val="en-US"/>
        </w:rPr>
        <w:t xml:space="preserve"> </w:t>
      </w:r>
      <w:r w:rsidRPr="0079515C">
        <w:rPr>
          <w:rStyle w:val="s6b621b36"/>
          <w:rFonts w:cs="Arial"/>
          <w:i/>
          <w:iCs/>
          <w:color w:val="000000"/>
          <w:spacing w:val="-4"/>
          <w:shd w:val="clear" w:color="auto" w:fill="FFFFFF"/>
          <w:lang w:val="en-US"/>
        </w:rPr>
        <w:t>Saudi v. Spain,</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 xml:space="preserve">No. 22871/06, Decision of September 18, 2006; </w:t>
      </w:r>
      <w:r w:rsidRPr="0079515C">
        <w:rPr>
          <w:rStyle w:val="sb8d990e2"/>
          <w:rFonts w:cs="Arial"/>
          <w:i/>
          <w:color w:val="000000"/>
          <w:spacing w:val="-4"/>
          <w:shd w:val="clear" w:color="auto" w:fill="FFFFFF"/>
          <w:lang w:val="en-US"/>
        </w:rPr>
        <w:t>Case of</w:t>
      </w:r>
      <w:r w:rsidRPr="0079515C">
        <w:rPr>
          <w:rStyle w:val="apple-converted-space"/>
          <w:rFonts w:cs="Arial"/>
          <w:color w:val="000000"/>
          <w:spacing w:val="-4"/>
          <w:shd w:val="clear" w:color="auto" w:fill="FFFFFF"/>
          <w:lang w:val="en-US"/>
        </w:rPr>
        <w:t> </w:t>
      </w:r>
      <w:proofErr w:type="spellStart"/>
      <w:r w:rsidRPr="0079515C">
        <w:rPr>
          <w:rStyle w:val="s6b621b36"/>
          <w:rFonts w:cs="Arial"/>
          <w:i/>
          <w:iCs/>
          <w:color w:val="000000"/>
          <w:spacing w:val="-4"/>
          <w:shd w:val="clear" w:color="auto" w:fill="FFFFFF"/>
          <w:lang w:val="en-US"/>
        </w:rPr>
        <w:t>Ismaili</w:t>
      </w:r>
      <w:proofErr w:type="spellEnd"/>
      <w:r w:rsidRPr="0079515C">
        <w:rPr>
          <w:rStyle w:val="s6b621b36"/>
          <w:rFonts w:cs="Arial"/>
          <w:i/>
          <w:iCs/>
          <w:color w:val="000000"/>
          <w:spacing w:val="-4"/>
          <w:shd w:val="clear" w:color="auto" w:fill="FFFFFF"/>
          <w:lang w:val="en-US"/>
        </w:rPr>
        <w:t xml:space="preserve"> v. Germany,</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No.</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 xml:space="preserve">58128/00, Decision of March 15, 2001; </w:t>
      </w:r>
      <w:r w:rsidRPr="0079515C">
        <w:rPr>
          <w:i/>
          <w:spacing w:val="-4"/>
          <w:lang w:val="en-US"/>
        </w:rPr>
        <w:t xml:space="preserve">Case of </w:t>
      </w:r>
      <w:proofErr w:type="spellStart"/>
      <w:r w:rsidRPr="0079515C">
        <w:rPr>
          <w:i/>
          <w:spacing w:val="-4"/>
          <w:lang w:val="en-US"/>
        </w:rPr>
        <w:t>Nivette</w:t>
      </w:r>
      <w:proofErr w:type="spellEnd"/>
      <w:r w:rsidRPr="0079515C">
        <w:rPr>
          <w:i/>
          <w:spacing w:val="-4"/>
          <w:lang w:val="en-US"/>
        </w:rPr>
        <w:t xml:space="preserve"> v. France</w:t>
      </w:r>
      <w:r w:rsidRPr="0079515C">
        <w:rPr>
          <w:spacing w:val="-4"/>
          <w:lang w:val="en-US"/>
        </w:rPr>
        <w:t xml:space="preserve">, No. 44190/98. </w:t>
      </w:r>
      <w:proofErr w:type="gramStart"/>
      <w:r w:rsidRPr="0079515C">
        <w:rPr>
          <w:spacing w:val="-4"/>
          <w:lang w:val="en-US"/>
        </w:rPr>
        <w:t xml:space="preserve">Decision of July 3, 2001, and </w:t>
      </w:r>
      <w:r w:rsidRPr="0079515C">
        <w:rPr>
          <w:i/>
          <w:spacing w:val="-4"/>
          <w:lang w:val="en-US"/>
        </w:rPr>
        <w:t xml:space="preserve">Case of </w:t>
      </w:r>
      <w:proofErr w:type="spellStart"/>
      <w:r w:rsidRPr="0079515C">
        <w:rPr>
          <w:rStyle w:val="s6b621b36"/>
          <w:rFonts w:cs="Arial"/>
          <w:i/>
          <w:iCs/>
          <w:color w:val="000000" w:themeColor="text1"/>
          <w:spacing w:val="-4"/>
          <w:shd w:val="clear" w:color="auto" w:fill="FFFFFF"/>
          <w:lang w:val="en-US"/>
        </w:rPr>
        <w:t>Einhorn</w:t>
      </w:r>
      <w:proofErr w:type="spellEnd"/>
      <w:r w:rsidRPr="0079515C">
        <w:rPr>
          <w:rStyle w:val="s6b621b36"/>
          <w:rFonts w:cs="Arial"/>
          <w:i/>
          <w:iCs/>
          <w:color w:val="000000" w:themeColor="text1"/>
          <w:spacing w:val="-4"/>
          <w:shd w:val="clear" w:color="auto" w:fill="FFFFFF"/>
          <w:lang w:val="en-US"/>
        </w:rPr>
        <w:t xml:space="preserve"> v. France</w:t>
      </w:r>
      <w:r w:rsidRPr="0079515C">
        <w:rPr>
          <w:rStyle w:val="apple-converted-space"/>
          <w:rFonts w:cs="Arial"/>
          <w:color w:val="000000" w:themeColor="text1"/>
          <w:spacing w:val="-4"/>
          <w:shd w:val="clear" w:color="auto" w:fill="FFFFFF"/>
          <w:lang w:val="en-US"/>
        </w:rPr>
        <w:t> </w:t>
      </w:r>
      <w:r w:rsidRPr="0079515C">
        <w:rPr>
          <w:rStyle w:val="sb8d990e2"/>
          <w:rFonts w:cs="Arial"/>
          <w:color w:val="000000" w:themeColor="text1"/>
          <w:spacing w:val="-4"/>
          <w:shd w:val="clear" w:color="auto" w:fill="FFFFFF"/>
          <w:lang w:val="en-US"/>
        </w:rPr>
        <w:t>No.</w:t>
      </w:r>
      <w:proofErr w:type="gramEnd"/>
      <w:r w:rsidRPr="0079515C">
        <w:rPr>
          <w:rStyle w:val="sb8d990e2"/>
          <w:rFonts w:cs="Arial"/>
          <w:color w:val="000000" w:themeColor="text1"/>
          <w:spacing w:val="-4"/>
          <w:shd w:val="clear" w:color="auto" w:fill="FFFFFF"/>
          <w:lang w:val="en-US"/>
        </w:rPr>
        <w:t xml:space="preserve"> </w:t>
      </w:r>
      <w:hyperlink r:id="rId73" w:anchor="{&quot;appno&quot;:[&quot;71555/01&quot;]}" w:tgtFrame="_blank" w:history="1">
        <w:proofErr w:type="gramStart"/>
        <w:r w:rsidRPr="0079515C">
          <w:rPr>
            <w:rStyle w:val="Hyperlink"/>
            <w:rFonts w:cs="Arial"/>
            <w:color w:val="000000" w:themeColor="text1"/>
            <w:spacing w:val="-4"/>
            <w:u w:val="none"/>
            <w:shd w:val="clear" w:color="auto" w:fill="FFFFFF"/>
            <w:lang w:val="en-US"/>
          </w:rPr>
          <w:t>71555/01</w:t>
        </w:r>
      </w:hyperlink>
      <w:r w:rsidRPr="0079515C">
        <w:rPr>
          <w:rStyle w:val="sb8d990e2"/>
          <w:rFonts w:cs="Arial"/>
          <w:color w:val="000000" w:themeColor="text1"/>
          <w:spacing w:val="-4"/>
          <w:shd w:val="clear" w:color="auto" w:fill="FFFFFF"/>
          <w:lang w:val="en-US"/>
        </w:rPr>
        <w:t>.</w:t>
      </w:r>
      <w:proofErr w:type="gramEnd"/>
      <w:r w:rsidRPr="0079515C">
        <w:rPr>
          <w:rStyle w:val="sb8d990e2"/>
          <w:rFonts w:cs="Arial"/>
          <w:color w:val="000000" w:themeColor="text1"/>
          <w:spacing w:val="-4"/>
          <w:shd w:val="clear" w:color="auto" w:fill="FFFFFF"/>
          <w:lang w:val="en-US"/>
        </w:rPr>
        <w:t xml:space="preserve"> Decision of October 16, 2001.</w:t>
      </w:r>
    </w:p>
  </w:footnote>
  <w:footnote w:id="247">
    <w:p w14:paraId="180F25A3" w14:textId="1207C50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spacing w:val="-4"/>
          <w:lang w:val="en-US"/>
        </w:rPr>
        <w:t xml:space="preserve">ECHR, </w:t>
      </w:r>
      <w:r w:rsidRPr="0079515C">
        <w:rPr>
          <w:i/>
          <w:spacing w:val="-4"/>
          <w:lang w:val="en-US"/>
        </w:rPr>
        <w:t>Case of</w:t>
      </w:r>
      <w:r w:rsidRPr="0079515C">
        <w:rPr>
          <w:spacing w:val="-4"/>
          <w:lang w:val="en-US"/>
        </w:rPr>
        <w:t xml:space="preserve"> </w:t>
      </w:r>
      <w:proofErr w:type="spellStart"/>
      <w:r w:rsidRPr="0079515C">
        <w:rPr>
          <w:i/>
          <w:spacing w:val="-4"/>
          <w:lang w:val="en-US"/>
        </w:rPr>
        <w:t>Chentiev</w:t>
      </w:r>
      <w:proofErr w:type="spellEnd"/>
      <w:r w:rsidRPr="0079515C">
        <w:rPr>
          <w:i/>
          <w:spacing w:val="-4"/>
          <w:lang w:val="en-US"/>
        </w:rPr>
        <w:t xml:space="preserve"> and </w:t>
      </w:r>
      <w:proofErr w:type="spellStart"/>
      <w:r w:rsidRPr="0079515C">
        <w:rPr>
          <w:i/>
          <w:spacing w:val="-4"/>
          <w:lang w:val="en-US"/>
        </w:rPr>
        <w:t>Ibragimov</w:t>
      </w:r>
      <w:proofErr w:type="spellEnd"/>
      <w:r w:rsidRPr="0079515C">
        <w:rPr>
          <w:i/>
          <w:spacing w:val="-4"/>
          <w:lang w:val="en-US"/>
        </w:rPr>
        <w:t xml:space="preserve"> v. Slovakia</w:t>
      </w:r>
      <w:r w:rsidRPr="0079515C">
        <w:rPr>
          <w:spacing w:val="-4"/>
          <w:lang w:val="en-US"/>
        </w:rPr>
        <w:t xml:space="preserve">, Nos. 21022/08 and 51946/08. </w:t>
      </w:r>
      <w:proofErr w:type="gramStart"/>
      <w:r w:rsidRPr="0079515C">
        <w:rPr>
          <w:spacing w:val="-4"/>
          <w:lang w:val="en-US"/>
        </w:rPr>
        <w:t xml:space="preserve">Decision of September 14, 2010, and </w:t>
      </w:r>
      <w:r w:rsidRPr="0079515C">
        <w:rPr>
          <w:i/>
          <w:spacing w:val="-4"/>
          <w:lang w:val="en-US"/>
        </w:rPr>
        <w:t xml:space="preserve">Case of </w:t>
      </w:r>
      <w:proofErr w:type="spellStart"/>
      <w:r w:rsidRPr="0079515C">
        <w:rPr>
          <w:i/>
          <w:spacing w:val="-4"/>
          <w:lang w:val="en-US"/>
        </w:rPr>
        <w:t>Gasayev</w:t>
      </w:r>
      <w:proofErr w:type="spellEnd"/>
      <w:r w:rsidRPr="0079515C">
        <w:rPr>
          <w:i/>
          <w:spacing w:val="-4"/>
          <w:lang w:val="en-US"/>
        </w:rPr>
        <w:t xml:space="preserve"> v. Spain</w:t>
      </w:r>
      <w:r w:rsidRPr="0079515C">
        <w:rPr>
          <w:spacing w:val="-4"/>
          <w:lang w:val="en-US"/>
        </w:rPr>
        <w:t>, No. 48514/06.</w:t>
      </w:r>
      <w:proofErr w:type="gramEnd"/>
      <w:r w:rsidRPr="0079515C">
        <w:rPr>
          <w:spacing w:val="-4"/>
          <w:lang w:val="en-US"/>
        </w:rPr>
        <w:t xml:space="preserve"> Decision of February 17, 2009.</w:t>
      </w:r>
    </w:p>
  </w:footnote>
  <w:footnote w:id="248">
    <w:p w14:paraId="17BA2D49" w14:textId="18065E9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color w:val="000000" w:themeColor="text1"/>
          <w:spacing w:val="-4"/>
          <w:lang w:val="en-US"/>
        </w:rPr>
        <w:t xml:space="preserve">ECHR, </w:t>
      </w:r>
      <w:r w:rsidRPr="0079515C">
        <w:rPr>
          <w:i/>
          <w:color w:val="000000" w:themeColor="text1"/>
          <w:spacing w:val="-4"/>
          <w:lang w:val="en-US"/>
        </w:rPr>
        <w:t xml:space="preserve">Case of Babar Ahmad </w:t>
      </w:r>
      <w:r>
        <w:rPr>
          <w:i/>
          <w:color w:val="000000" w:themeColor="text1"/>
          <w:spacing w:val="-4"/>
          <w:lang w:val="en-US"/>
        </w:rPr>
        <w:t>and Others</w:t>
      </w:r>
      <w:r w:rsidRPr="0079515C">
        <w:rPr>
          <w:i/>
          <w:color w:val="000000" w:themeColor="text1"/>
          <w:spacing w:val="-4"/>
          <w:lang w:val="en-US"/>
        </w:rPr>
        <w:t xml:space="preserve"> v. The United Kingdom,</w:t>
      </w:r>
      <w:r w:rsidRPr="0079515C">
        <w:rPr>
          <w:color w:val="000000" w:themeColor="text1"/>
          <w:spacing w:val="-4"/>
          <w:lang w:val="en-US"/>
        </w:rPr>
        <w:t xml:space="preserve"> </w:t>
      </w:r>
      <w:r w:rsidRPr="0079515C">
        <w:rPr>
          <w:rStyle w:val="s6b621b36"/>
          <w:rFonts w:cs="Arial"/>
          <w:iCs/>
          <w:color w:val="000000" w:themeColor="text1"/>
          <w:spacing w:val="-4"/>
          <w:shd w:val="clear" w:color="auto" w:fill="FFFFFF"/>
          <w:lang w:val="en-US"/>
        </w:rPr>
        <w:t>Nos.</w:t>
      </w:r>
      <w:r w:rsidRPr="0079515C">
        <w:rPr>
          <w:rStyle w:val="apple-converted-space"/>
          <w:rFonts w:cs="Arial"/>
          <w:iCs/>
          <w:color w:val="000000" w:themeColor="text1"/>
          <w:spacing w:val="-4"/>
          <w:shd w:val="clear" w:color="auto" w:fill="FFFFFF"/>
          <w:lang w:val="en-US"/>
        </w:rPr>
        <w:t> </w:t>
      </w:r>
      <w:hyperlink r:id="rId74" w:anchor="{&quot;appno&quot;:[&quot;24027/07&quot;]}" w:tgtFrame="_blank" w:history="1">
        <w:r w:rsidRPr="0079515C">
          <w:rPr>
            <w:rStyle w:val="Hyperlink"/>
            <w:rFonts w:cs="Arial"/>
            <w:iCs/>
            <w:color w:val="000000" w:themeColor="text1"/>
            <w:spacing w:val="-4"/>
            <w:u w:val="none"/>
            <w:shd w:val="clear" w:color="auto" w:fill="FFFFFF"/>
            <w:lang w:val="en-US"/>
          </w:rPr>
          <w:t>24027/07</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75" w:anchor="{&quot;appno&quot;:[&quot;11949/08&quot;]}" w:tgtFrame="_blank" w:history="1">
        <w:r w:rsidRPr="0079515C">
          <w:rPr>
            <w:rStyle w:val="Hyperlink"/>
            <w:rFonts w:cs="Arial"/>
            <w:iCs/>
            <w:color w:val="000000" w:themeColor="text1"/>
            <w:spacing w:val="-4"/>
            <w:u w:val="none"/>
            <w:shd w:val="clear" w:color="auto" w:fill="FFFFFF"/>
            <w:lang w:val="en-US"/>
          </w:rPr>
          <w:t>11949/08</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76" w:anchor="{&quot;appno&quot;:[&quot;36742/08&quot;]}" w:tgtFrame="_blank" w:history="1">
        <w:r w:rsidRPr="0079515C">
          <w:rPr>
            <w:rStyle w:val="Hyperlink"/>
            <w:rFonts w:cs="Arial"/>
            <w:iCs/>
            <w:color w:val="000000" w:themeColor="text1"/>
            <w:spacing w:val="-4"/>
            <w:u w:val="none"/>
            <w:shd w:val="clear" w:color="auto" w:fill="FFFFFF"/>
            <w:lang w:val="en-US"/>
          </w:rPr>
          <w:t>36742/08</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77" w:anchor="{&quot;appno&quot;:[&quot;66911/09&quot;]}" w:tgtFrame="_blank" w:history="1">
        <w:r w:rsidRPr="0079515C">
          <w:rPr>
            <w:rStyle w:val="Hyperlink"/>
            <w:rFonts w:cs="Arial"/>
            <w:iCs/>
            <w:color w:val="000000" w:themeColor="text1"/>
            <w:spacing w:val="-4"/>
            <w:u w:val="none"/>
            <w:shd w:val="clear" w:color="auto" w:fill="FFFFFF"/>
            <w:lang w:val="en-US"/>
          </w:rPr>
          <w:t>66911/09</w:t>
        </w:r>
      </w:hyperlink>
      <w:r w:rsidRPr="0079515C">
        <w:rPr>
          <w:rStyle w:val="apple-converted-space"/>
          <w:rFonts w:cs="Arial"/>
          <w:iCs/>
          <w:color w:val="000000" w:themeColor="text1"/>
          <w:spacing w:val="-4"/>
          <w:shd w:val="clear" w:color="auto" w:fill="FFFFFF"/>
          <w:lang w:val="en-US"/>
        </w:rPr>
        <w:t> </w:t>
      </w:r>
      <w:r w:rsidRPr="0079515C">
        <w:rPr>
          <w:rStyle w:val="s6b621b36"/>
          <w:rFonts w:cs="Arial"/>
          <w:iCs/>
          <w:color w:val="000000" w:themeColor="text1"/>
          <w:spacing w:val="-4"/>
          <w:shd w:val="clear" w:color="auto" w:fill="FFFFFF"/>
          <w:lang w:val="en-US"/>
        </w:rPr>
        <w:t>and</w:t>
      </w:r>
      <w:r w:rsidRPr="0079515C">
        <w:rPr>
          <w:rStyle w:val="apple-converted-space"/>
          <w:rFonts w:cs="Arial"/>
          <w:iCs/>
          <w:color w:val="000000" w:themeColor="text1"/>
          <w:spacing w:val="-4"/>
          <w:shd w:val="clear" w:color="auto" w:fill="FFFFFF"/>
          <w:lang w:val="en-US"/>
        </w:rPr>
        <w:t> </w:t>
      </w:r>
      <w:hyperlink r:id="rId78" w:anchor="{&quot;appno&quot;:[&quot;67354/09&quot;]}" w:tgtFrame="_blank" w:history="1">
        <w:r w:rsidRPr="0079515C">
          <w:rPr>
            <w:rStyle w:val="Hyperlink"/>
            <w:rFonts w:cs="Arial"/>
            <w:iCs/>
            <w:color w:val="000000" w:themeColor="text1"/>
            <w:spacing w:val="-4"/>
            <w:u w:val="none"/>
            <w:shd w:val="clear" w:color="auto" w:fill="FFFFFF"/>
            <w:lang w:val="en-US"/>
          </w:rPr>
          <w:t>67354/09</w:t>
        </w:r>
      </w:hyperlink>
      <w:r>
        <w:rPr>
          <w:rStyle w:val="s6b621b36"/>
          <w:rFonts w:cs="Arial"/>
          <w:iCs/>
          <w:color w:val="000000" w:themeColor="text1"/>
          <w:spacing w:val="-4"/>
          <w:shd w:val="clear" w:color="auto" w:fill="FFFFFF"/>
          <w:lang w:val="en-US"/>
        </w:rPr>
        <w:t xml:space="preserve">. </w:t>
      </w:r>
      <w:proofErr w:type="gramStart"/>
      <w:r>
        <w:rPr>
          <w:rStyle w:val="s6b621b36"/>
          <w:rFonts w:cs="Arial"/>
          <w:iCs/>
          <w:color w:val="000000" w:themeColor="text1"/>
          <w:spacing w:val="-4"/>
          <w:shd w:val="clear" w:color="auto" w:fill="FFFFFF"/>
          <w:lang w:val="en-US"/>
        </w:rPr>
        <w:t>Judgment of April 10, 2012,</w:t>
      </w:r>
      <w:r w:rsidRPr="0079515C">
        <w:rPr>
          <w:i/>
          <w:spacing w:val="-4"/>
          <w:lang w:val="en-US"/>
        </w:rPr>
        <w:t xml:space="preserve"> </w:t>
      </w:r>
      <w:r w:rsidRPr="0079515C">
        <w:rPr>
          <w:spacing w:val="-4"/>
          <w:lang w:val="en-US"/>
        </w:rPr>
        <w:t>paras.</w:t>
      </w:r>
      <w:proofErr w:type="gramEnd"/>
      <w:r w:rsidRPr="0079515C">
        <w:rPr>
          <w:spacing w:val="-4"/>
          <w:lang w:val="en-US"/>
        </w:rPr>
        <w:t xml:space="preserve"> 107 and 108; </w:t>
      </w:r>
      <w:r w:rsidRPr="0079515C">
        <w:rPr>
          <w:i/>
          <w:spacing w:val="-4"/>
          <w:lang w:val="en-US"/>
        </w:rPr>
        <w:t>Case of Al-</w:t>
      </w:r>
      <w:proofErr w:type="spellStart"/>
      <w:r w:rsidRPr="0079515C">
        <w:rPr>
          <w:i/>
          <w:spacing w:val="-4"/>
          <w:lang w:val="en-US"/>
        </w:rPr>
        <w:t>Moayad</w:t>
      </w:r>
      <w:proofErr w:type="spellEnd"/>
      <w:r w:rsidRPr="0079515C">
        <w:rPr>
          <w:i/>
          <w:spacing w:val="-4"/>
          <w:lang w:val="en-US"/>
        </w:rPr>
        <w:t xml:space="preserve"> v. Germany</w:t>
      </w:r>
      <w:r w:rsidRPr="0079515C">
        <w:rPr>
          <w:spacing w:val="-4"/>
          <w:lang w:val="en-US"/>
        </w:rPr>
        <w:t xml:space="preserve">, No. 35865/03. </w:t>
      </w:r>
      <w:proofErr w:type="gramStart"/>
      <w:r w:rsidRPr="0079515C">
        <w:rPr>
          <w:spacing w:val="-4"/>
          <w:lang w:val="en-US"/>
        </w:rPr>
        <w:t>Decision of February 20, 2007, para.</w:t>
      </w:r>
      <w:proofErr w:type="gramEnd"/>
      <w:r w:rsidRPr="0079515C">
        <w:rPr>
          <w:spacing w:val="-4"/>
          <w:lang w:val="en-US"/>
        </w:rPr>
        <w:t xml:space="preserve"> 68.</w:t>
      </w:r>
    </w:p>
  </w:footnote>
  <w:footnote w:id="249">
    <w:p w14:paraId="15E88E67" w14:textId="25704CF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 </w:t>
      </w:r>
      <w:r w:rsidRPr="0079515C">
        <w:rPr>
          <w:i/>
          <w:spacing w:val="-4"/>
          <w:lang w:val="en-US"/>
        </w:rPr>
        <w:t>inter alia</w:t>
      </w:r>
      <w:r w:rsidRPr="0079515C">
        <w:rPr>
          <w:spacing w:val="-4"/>
          <w:lang w:val="en-US"/>
        </w:rPr>
        <w:t>:</w:t>
      </w:r>
      <w:r w:rsidRPr="0079515C">
        <w:rPr>
          <w:i/>
          <w:spacing w:val="-4"/>
          <w:lang w:val="en-US"/>
        </w:rPr>
        <w:t xml:space="preserve"> </w:t>
      </w:r>
      <w:r w:rsidRPr="0079515C">
        <w:rPr>
          <w:spacing w:val="-4"/>
          <w:lang w:val="en-US"/>
        </w:rPr>
        <w:t xml:space="preserve">ECHR, </w:t>
      </w:r>
      <w:r w:rsidRPr="0079515C">
        <w:rPr>
          <w:i/>
          <w:spacing w:val="-4"/>
          <w:lang w:val="en-US"/>
        </w:rPr>
        <w:t>Case of</w:t>
      </w:r>
      <w:r w:rsidRPr="0079515C">
        <w:rPr>
          <w:spacing w:val="-4"/>
          <w:lang w:val="en-US"/>
        </w:rPr>
        <w:t xml:space="preserve"> </w:t>
      </w:r>
      <w:proofErr w:type="spellStart"/>
      <w:r w:rsidRPr="0079515C">
        <w:rPr>
          <w:i/>
          <w:spacing w:val="-4"/>
          <w:lang w:val="en-US"/>
        </w:rPr>
        <w:t>Chentiev</w:t>
      </w:r>
      <w:proofErr w:type="spellEnd"/>
      <w:r w:rsidRPr="0079515C">
        <w:rPr>
          <w:i/>
          <w:spacing w:val="-4"/>
          <w:lang w:val="en-US"/>
        </w:rPr>
        <w:t xml:space="preserve"> and </w:t>
      </w:r>
      <w:proofErr w:type="spellStart"/>
      <w:r w:rsidRPr="0079515C">
        <w:rPr>
          <w:i/>
          <w:spacing w:val="-4"/>
          <w:lang w:val="en-US"/>
        </w:rPr>
        <w:t>Ibragimov</w:t>
      </w:r>
      <w:proofErr w:type="spellEnd"/>
      <w:r w:rsidRPr="0079515C">
        <w:rPr>
          <w:i/>
          <w:spacing w:val="-4"/>
          <w:lang w:val="en-US"/>
        </w:rPr>
        <w:t xml:space="preserve"> v. Slovakia</w:t>
      </w:r>
      <w:r w:rsidRPr="0079515C">
        <w:rPr>
          <w:spacing w:val="-4"/>
          <w:lang w:val="en-US"/>
        </w:rPr>
        <w:t xml:space="preserve">, Nos. 21022/08 and 51946/08. </w:t>
      </w:r>
      <w:proofErr w:type="gramStart"/>
      <w:r w:rsidRPr="0079515C">
        <w:rPr>
          <w:spacing w:val="-4"/>
          <w:lang w:val="en-US"/>
        </w:rPr>
        <w:t xml:space="preserve">Decision of September 14, 2010, and </w:t>
      </w:r>
      <w:r w:rsidRPr="0079515C">
        <w:rPr>
          <w:i/>
          <w:spacing w:val="-4"/>
          <w:lang w:val="en-US"/>
        </w:rPr>
        <w:t xml:space="preserve">Case of </w:t>
      </w:r>
      <w:proofErr w:type="spellStart"/>
      <w:r w:rsidRPr="0079515C">
        <w:rPr>
          <w:i/>
          <w:spacing w:val="-4"/>
          <w:lang w:val="en-US"/>
        </w:rPr>
        <w:t>Gasayev</w:t>
      </w:r>
      <w:proofErr w:type="spellEnd"/>
      <w:r w:rsidRPr="0079515C">
        <w:rPr>
          <w:i/>
          <w:spacing w:val="-4"/>
          <w:lang w:val="en-US"/>
        </w:rPr>
        <w:t xml:space="preserve"> v. Spain</w:t>
      </w:r>
      <w:r w:rsidRPr="0079515C">
        <w:rPr>
          <w:spacing w:val="-4"/>
          <w:lang w:val="en-US"/>
        </w:rPr>
        <w:t>, No. 48514/06.</w:t>
      </w:r>
      <w:proofErr w:type="gramEnd"/>
      <w:r w:rsidRPr="0079515C">
        <w:rPr>
          <w:spacing w:val="-4"/>
          <w:lang w:val="en-US"/>
        </w:rPr>
        <w:t xml:space="preserve"> </w:t>
      </w:r>
      <w:proofErr w:type="gramStart"/>
      <w:r w:rsidRPr="0079515C">
        <w:rPr>
          <w:spacing w:val="-4"/>
          <w:lang w:val="en-US"/>
        </w:rPr>
        <w:t xml:space="preserve">Decision of February 17, 2009, and, to the contrary, </w:t>
      </w:r>
      <w:r w:rsidRPr="0079515C">
        <w:rPr>
          <w:i/>
          <w:spacing w:val="-4"/>
          <w:lang w:val="en-US"/>
        </w:rPr>
        <w:t xml:space="preserve">Case of </w:t>
      </w:r>
      <w:r w:rsidRPr="0079515C">
        <w:rPr>
          <w:rStyle w:val="s6b621b36"/>
          <w:rFonts w:cs="Arial"/>
          <w:i/>
          <w:iCs/>
          <w:color w:val="000000"/>
          <w:spacing w:val="-4"/>
          <w:shd w:val="clear" w:color="auto" w:fill="FFFFFF"/>
          <w:lang w:val="en-US"/>
        </w:rPr>
        <w:t xml:space="preserve">Ben </w:t>
      </w:r>
      <w:proofErr w:type="spellStart"/>
      <w:r w:rsidRPr="0079515C">
        <w:rPr>
          <w:rStyle w:val="s6b621b36"/>
          <w:rFonts w:cs="Arial"/>
          <w:i/>
          <w:iCs/>
          <w:color w:val="000000"/>
          <w:spacing w:val="-4"/>
          <w:shd w:val="clear" w:color="auto" w:fill="FFFFFF"/>
          <w:lang w:val="en-US"/>
        </w:rPr>
        <w:t>Khemais</w:t>
      </w:r>
      <w:proofErr w:type="spellEnd"/>
      <w:r w:rsidRPr="0079515C">
        <w:rPr>
          <w:rStyle w:val="s6b621b36"/>
          <w:rFonts w:cs="Arial"/>
          <w:i/>
          <w:iCs/>
          <w:color w:val="000000"/>
          <w:spacing w:val="-4"/>
          <w:shd w:val="clear" w:color="auto" w:fill="FFFFFF"/>
          <w:lang w:val="en-US"/>
        </w:rPr>
        <w:t xml:space="preserve"> v. Italy</w:t>
      </w:r>
      <w:r w:rsidRPr="0079515C">
        <w:rPr>
          <w:rStyle w:val="sb8d990e2"/>
          <w:rFonts w:cs="Arial"/>
          <w:color w:val="000000"/>
          <w:spacing w:val="-4"/>
          <w:shd w:val="clear" w:color="auto" w:fill="FFFFFF"/>
          <w:lang w:val="en-US"/>
        </w:rPr>
        <w:t>, No.</w:t>
      </w:r>
      <w:proofErr w:type="gramEnd"/>
      <w:r w:rsidRPr="0079515C">
        <w:rPr>
          <w:rStyle w:val="apple-converted-space"/>
          <w:rFonts w:cs="Arial"/>
          <w:color w:val="000000"/>
          <w:spacing w:val="-4"/>
          <w:shd w:val="clear" w:color="auto" w:fill="FFFFFF"/>
          <w:lang w:val="en-US"/>
        </w:rPr>
        <w:t> </w:t>
      </w:r>
      <w:hyperlink r:id="rId79" w:anchor="{&quot;appno&quot;:[&quot;246/07&quot;]}" w:tgtFrame="_blank" w:history="1">
        <w:proofErr w:type="gramStart"/>
        <w:r w:rsidRPr="0079515C">
          <w:rPr>
            <w:rStyle w:val="Hyperlink"/>
            <w:rFonts w:cs="Arial"/>
            <w:color w:val="000000" w:themeColor="text1"/>
            <w:spacing w:val="-4"/>
            <w:u w:val="none"/>
            <w:shd w:val="clear" w:color="auto" w:fill="FFFFFF"/>
            <w:lang w:val="en-US"/>
          </w:rPr>
          <w:t>246/07</w:t>
        </w:r>
      </w:hyperlink>
      <w:r w:rsidRPr="0079515C">
        <w:rPr>
          <w:rStyle w:val="sb8d990e2"/>
          <w:rFonts w:cs="Arial"/>
          <w:color w:val="000000" w:themeColor="text1"/>
          <w:spacing w:val="-4"/>
          <w:shd w:val="clear" w:color="auto" w:fill="FFFFFF"/>
          <w:lang w:val="en-US"/>
        </w:rPr>
        <w:t>.</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Judgment of February 24, 2009, para.</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spacing w:val="-4"/>
          <w:shd w:val="clear" w:color="auto" w:fill="FFFFFF"/>
          <w:lang w:val="en-US"/>
        </w:rPr>
        <w:t>61;</w:t>
      </w:r>
      <w:r w:rsidRPr="0079515C">
        <w:rPr>
          <w:i/>
          <w:spacing w:val="-4"/>
          <w:lang w:val="en-US"/>
        </w:rPr>
        <w:t xml:space="preserve"> 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No. 8320/04.</w:t>
      </w:r>
      <w:proofErr w:type="gramEnd"/>
      <w:r w:rsidRPr="0079515C">
        <w:rPr>
          <w:spacing w:val="-4"/>
          <w:lang w:val="en-US"/>
        </w:rPr>
        <w:t xml:space="preserve">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119,</w:t>
      </w:r>
      <w:proofErr w:type="gramEnd"/>
      <w:r w:rsidRPr="0079515C">
        <w:rPr>
          <w:spacing w:val="-4"/>
          <w:lang w:val="en-US"/>
        </w:rPr>
        <w:t xml:space="preserve"> and Case of </w:t>
      </w:r>
      <w:proofErr w:type="spellStart"/>
      <w:r w:rsidRPr="0079515C">
        <w:rPr>
          <w:rStyle w:val="s6b621b36"/>
          <w:rFonts w:cs="Arial"/>
          <w:i/>
          <w:iCs/>
          <w:color w:val="000000"/>
          <w:spacing w:val="-4"/>
          <w:shd w:val="clear" w:color="auto" w:fill="FFFFFF"/>
          <w:lang w:val="en-US"/>
        </w:rPr>
        <w:t>Kolesnik</w:t>
      </w:r>
      <w:proofErr w:type="spellEnd"/>
      <w:r w:rsidRPr="0079515C">
        <w:rPr>
          <w:rStyle w:val="s6b621b36"/>
          <w:rFonts w:cs="Arial"/>
          <w:i/>
          <w:iCs/>
          <w:color w:val="000000"/>
          <w:spacing w:val="-4"/>
          <w:shd w:val="clear" w:color="auto" w:fill="FFFFFF"/>
          <w:lang w:val="en-US"/>
        </w:rPr>
        <w:t xml:space="preserve"> v. Russia</w:t>
      </w:r>
      <w:r w:rsidRPr="0079515C">
        <w:rPr>
          <w:rStyle w:val="sb8d990e2"/>
          <w:rFonts w:cs="Arial"/>
          <w:color w:val="000000"/>
          <w:spacing w:val="-4"/>
          <w:shd w:val="clear" w:color="auto" w:fill="FFFFFF"/>
          <w:lang w:val="en-US"/>
        </w:rPr>
        <w:t>, No.</w:t>
      </w:r>
      <w:r w:rsidRPr="0079515C">
        <w:rPr>
          <w:rStyle w:val="apple-converted-space"/>
          <w:rFonts w:cs="Arial"/>
          <w:color w:val="000000"/>
          <w:spacing w:val="-4"/>
          <w:shd w:val="clear" w:color="auto" w:fill="FFFFFF"/>
          <w:lang w:val="en-US"/>
        </w:rPr>
        <w:t> </w:t>
      </w:r>
      <w:r w:rsidRPr="0079515C">
        <w:rPr>
          <w:rStyle w:val="sb8d990e2"/>
          <w:rFonts w:cs="Arial"/>
          <w:color w:val="000000"/>
          <w:spacing w:val="-4"/>
          <w:shd w:val="clear" w:color="auto" w:fill="FFFFFF"/>
          <w:lang w:val="en-US"/>
        </w:rPr>
        <w:t xml:space="preserve">26876/08, Judgment of June 17, 2010, para. 73. </w:t>
      </w:r>
    </w:p>
  </w:footnote>
  <w:footnote w:id="250">
    <w:p w14:paraId="40B2326A" w14:textId="3CED472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spacing w:val="-4"/>
          <w:lang w:val="en-US"/>
        </w:rPr>
        <w:t xml:space="preserve">ECHR, </w:t>
      </w:r>
      <w:r w:rsidRPr="0079515C">
        <w:rPr>
          <w:i/>
          <w:spacing w:val="-4"/>
          <w:lang w:val="en-US"/>
        </w:rPr>
        <w:t xml:space="preserve">Case of </w:t>
      </w:r>
      <w:r w:rsidRPr="0079515C">
        <w:rPr>
          <w:rStyle w:val="s6b621b36"/>
          <w:rFonts w:cs="Arial"/>
          <w:i/>
          <w:iCs/>
          <w:color w:val="000000"/>
          <w:spacing w:val="-4"/>
          <w:shd w:val="clear" w:color="auto" w:fill="FFFFFF"/>
          <w:lang w:val="en-US"/>
        </w:rPr>
        <w:t xml:space="preserve">Ben </w:t>
      </w:r>
      <w:proofErr w:type="spellStart"/>
      <w:r w:rsidRPr="0079515C">
        <w:rPr>
          <w:rStyle w:val="s6b621b36"/>
          <w:rFonts w:cs="Arial"/>
          <w:i/>
          <w:iCs/>
          <w:color w:val="000000"/>
          <w:spacing w:val="-4"/>
          <w:shd w:val="clear" w:color="auto" w:fill="FFFFFF"/>
          <w:lang w:val="en-US"/>
        </w:rPr>
        <w:t>Khemais</w:t>
      </w:r>
      <w:proofErr w:type="spellEnd"/>
      <w:r w:rsidRPr="0079515C">
        <w:rPr>
          <w:rStyle w:val="s6b621b36"/>
          <w:rFonts w:cs="Arial"/>
          <w:i/>
          <w:iCs/>
          <w:color w:val="000000"/>
          <w:spacing w:val="-4"/>
          <w:shd w:val="clear" w:color="auto" w:fill="FFFFFF"/>
          <w:lang w:val="en-US"/>
        </w:rPr>
        <w:t xml:space="preserve"> v. Italy</w:t>
      </w:r>
      <w:r w:rsidRPr="0079515C">
        <w:rPr>
          <w:rStyle w:val="sb8d990e2"/>
          <w:rFonts w:cs="Arial"/>
          <w:color w:val="000000"/>
          <w:spacing w:val="-4"/>
          <w:shd w:val="clear" w:color="auto" w:fill="FFFFFF"/>
          <w:lang w:val="en-US"/>
        </w:rPr>
        <w:t>, No.</w:t>
      </w:r>
      <w:r w:rsidRPr="0079515C">
        <w:rPr>
          <w:rStyle w:val="apple-converted-space"/>
          <w:rFonts w:cs="Arial"/>
          <w:color w:val="000000"/>
          <w:spacing w:val="-4"/>
          <w:shd w:val="clear" w:color="auto" w:fill="FFFFFF"/>
          <w:lang w:val="en-US"/>
        </w:rPr>
        <w:t> </w:t>
      </w:r>
      <w:hyperlink r:id="rId80" w:anchor="{&quot;appno&quot;:[&quot;246/07&quot;]}" w:tgtFrame="_blank" w:history="1">
        <w:proofErr w:type="gramStart"/>
        <w:r w:rsidRPr="0079515C">
          <w:rPr>
            <w:rStyle w:val="Hyperlink"/>
            <w:rFonts w:cs="Arial"/>
            <w:color w:val="000000" w:themeColor="text1"/>
            <w:spacing w:val="-4"/>
            <w:u w:val="none"/>
            <w:shd w:val="clear" w:color="auto" w:fill="FFFFFF"/>
            <w:lang w:val="en-US"/>
          </w:rPr>
          <w:t>246/07</w:t>
        </w:r>
      </w:hyperlink>
      <w:r w:rsidRPr="0079515C">
        <w:rPr>
          <w:rStyle w:val="sb8d990e2"/>
          <w:rFonts w:cs="Arial"/>
          <w:color w:val="000000" w:themeColor="text1"/>
          <w:spacing w:val="-4"/>
          <w:shd w:val="clear" w:color="auto" w:fill="FFFFFF"/>
          <w:lang w:val="en-US"/>
        </w:rPr>
        <w:t>.</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Judgment of February 24, 2009, paras.</w:t>
      </w:r>
      <w:proofErr w:type="gramEnd"/>
      <w:r w:rsidRPr="0079515C">
        <w:rPr>
          <w:rStyle w:val="sb8d990e2"/>
          <w:rFonts w:cs="Arial"/>
          <w:color w:val="000000" w:themeColor="text1"/>
          <w:spacing w:val="-4"/>
          <w:shd w:val="clear" w:color="auto" w:fill="FFFFFF"/>
          <w:lang w:val="en-US"/>
        </w:rPr>
        <w:t xml:space="preserve"> </w:t>
      </w:r>
      <w:proofErr w:type="gramStart"/>
      <w:r w:rsidRPr="0079515C">
        <w:rPr>
          <w:rStyle w:val="sb8d990e2"/>
          <w:rFonts w:cs="Arial"/>
          <w:color w:val="000000" w:themeColor="text1"/>
          <w:spacing w:val="-4"/>
          <w:shd w:val="clear" w:color="auto" w:fill="FFFFFF"/>
          <w:lang w:val="en-US"/>
        </w:rPr>
        <w:t xml:space="preserve">59 and 60; </w:t>
      </w:r>
      <w:r w:rsidRPr="0079515C">
        <w:rPr>
          <w:i/>
          <w:spacing w:val="-4"/>
          <w:lang w:val="en-US"/>
        </w:rPr>
        <w:t xml:space="preserve">Case of </w:t>
      </w:r>
      <w:proofErr w:type="spellStart"/>
      <w:r w:rsidRPr="0079515C">
        <w:rPr>
          <w:i/>
          <w:spacing w:val="-4"/>
          <w:lang w:val="en-US"/>
        </w:rPr>
        <w:t>Soldatenko</w:t>
      </w:r>
      <w:proofErr w:type="spellEnd"/>
      <w:r w:rsidRPr="0079515C">
        <w:rPr>
          <w:i/>
          <w:spacing w:val="-4"/>
          <w:lang w:val="en-US"/>
        </w:rPr>
        <w:t xml:space="preserve"> v. Ukraine</w:t>
      </w:r>
      <w:r w:rsidRPr="0079515C">
        <w:rPr>
          <w:spacing w:val="-4"/>
          <w:lang w:val="en-US"/>
        </w:rPr>
        <w:t>, No. 2440/07.</w:t>
      </w:r>
      <w:proofErr w:type="gramEnd"/>
      <w:r w:rsidRPr="0079515C">
        <w:rPr>
          <w:spacing w:val="-4"/>
          <w:lang w:val="en-US"/>
        </w:rPr>
        <w:t xml:space="preserve"> </w:t>
      </w:r>
      <w:proofErr w:type="gramStart"/>
      <w:r w:rsidRPr="0079515C">
        <w:rPr>
          <w:spacing w:val="-4"/>
          <w:lang w:val="en-US"/>
        </w:rPr>
        <w:t>Judgment of October 23, 2008, para.</w:t>
      </w:r>
      <w:proofErr w:type="gramEnd"/>
      <w:r w:rsidRPr="0079515C">
        <w:rPr>
          <w:spacing w:val="-4"/>
          <w:lang w:val="en-US"/>
        </w:rPr>
        <w:t xml:space="preserve"> </w:t>
      </w:r>
      <w:proofErr w:type="gramStart"/>
      <w:r w:rsidRPr="0079515C">
        <w:rPr>
          <w:spacing w:val="-4"/>
          <w:lang w:val="en-US"/>
        </w:rPr>
        <w:t>73,</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Koktysh</w:t>
      </w:r>
      <w:proofErr w:type="spellEnd"/>
      <w:r w:rsidRPr="0079515C">
        <w:rPr>
          <w:i/>
          <w:spacing w:val="-4"/>
          <w:lang w:val="en-US"/>
        </w:rPr>
        <w:t xml:space="preserve"> v. Ukraine</w:t>
      </w:r>
      <w:r w:rsidRPr="0079515C">
        <w:rPr>
          <w:spacing w:val="-4"/>
          <w:lang w:val="en-US"/>
        </w:rPr>
        <w:t xml:space="preserve">, No. 43707/07. </w:t>
      </w:r>
      <w:proofErr w:type="gramStart"/>
      <w:r w:rsidRPr="0079515C">
        <w:rPr>
          <w:spacing w:val="-4"/>
          <w:lang w:val="en-US"/>
        </w:rPr>
        <w:t>Judgment of December 10, 2009, para.</w:t>
      </w:r>
      <w:proofErr w:type="gramEnd"/>
      <w:r w:rsidRPr="0079515C">
        <w:rPr>
          <w:spacing w:val="-4"/>
          <w:lang w:val="en-US"/>
        </w:rPr>
        <w:t xml:space="preserve"> 63.</w:t>
      </w:r>
    </w:p>
  </w:footnote>
  <w:footnote w:id="251">
    <w:p w14:paraId="09B20B11" w14:textId="5289078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spacing w:val="-4"/>
          <w:lang w:val="en-US"/>
        </w:rPr>
        <w:t>ECHR,</w:t>
      </w:r>
      <w:r w:rsidRPr="0079515C">
        <w:rPr>
          <w:i/>
          <w:spacing w:val="-4"/>
          <w:lang w:val="en-US"/>
        </w:rPr>
        <w:t xml:space="preserve"> Case of </w:t>
      </w:r>
      <w:proofErr w:type="spellStart"/>
      <w:r w:rsidRPr="0079515C">
        <w:rPr>
          <w:i/>
          <w:spacing w:val="-4"/>
          <w:lang w:val="en-US"/>
        </w:rPr>
        <w:t>Koktysh</w:t>
      </w:r>
      <w:proofErr w:type="spellEnd"/>
      <w:r w:rsidRPr="0079515C">
        <w:rPr>
          <w:i/>
          <w:spacing w:val="-4"/>
          <w:lang w:val="en-US"/>
        </w:rPr>
        <w:t xml:space="preserve"> v. Ukraine</w:t>
      </w:r>
      <w:r w:rsidRPr="0079515C">
        <w:rPr>
          <w:spacing w:val="-4"/>
          <w:lang w:val="en-US"/>
        </w:rPr>
        <w:t xml:space="preserve">, No. 43707/07. </w:t>
      </w:r>
      <w:proofErr w:type="gramStart"/>
      <w:r w:rsidRPr="0079515C">
        <w:rPr>
          <w:spacing w:val="-4"/>
          <w:lang w:val="en-US"/>
        </w:rPr>
        <w:t>Judgment of December 10, 2009, para.</w:t>
      </w:r>
      <w:proofErr w:type="gramEnd"/>
      <w:r w:rsidRPr="0079515C">
        <w:rPr>
          <w:spacing w:val="-4"/>
          <w:lang w:val="en-US"/>
        </w:rPr>
        <w:t xml:space="preserve"> 64.</w:t>
      </w:r>
    </w:p>
  </w:footnote>
  <w:footnote w:id="252">
    <w:p w14:paraId="6F779CB8" w14:textId="7434572B"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rFonts w:eastAsia="Batang"/>
          <w:spacing w:val="-4"/>
          <w:lang w:val="en-US"/>
        </w:rPr>
        <w:footnoteRef/>
      </w:r>
      <w:r w:rsidRPr="0079515C">
        <w:rPr>
          <w:spacing w:val="-4"/>
          <w:lang w:val="en-US"/>
        </w:rPr>
        <w:t xml:space="preserve">  </w:t>
      </w:r>
      <w:r w:rsidRPr="0079515C">
        <w:rPr>
          <w:spacing w:val="-4"/>
          <w:lang w:val="en-US"/>
        </w:rPr>
        <w:tab/>
        <w:t xml:space="preserve">ECHR, </w:t>
      </w:r>
      <w:r w:rsidRPr="0079515C">
        <w:rPr>
          <w:i/>
          <w:spacing w:val="-4"/>
          <w:lang w:val="en-US"/>
        </w:rPr>
        <w:t xml:space="preserve">Case of Othman (Abu </w:t>
      </w:r>
      <w:proofErr w:type="spellStart"/>
      <w:r w:rsidRPr="0079515C">
        <w:rPr>
          <w:i/>
          <w:spacing w:val="-4"/>
          <w:lang w:val="en-US"/>
        </w:rPr>
        <w:t>Qatada</w:t>
      </w:r>
      <w:proofErr w:type="spellEnd"/>
      <w:r w:rsidRPr="0079515C">
        <w:rPr>
          <w:i/>
          <w:spacing w:val="-4"/>
          <w:lang w:val="en-US"/>
        </w:rPr>
        <w:t xml:space="preserve">) v. </w:t>
      </w:r>
      <w:proofErr w:type="gramStart"/>
      <w:r w:rsidRPr="0079515C">
        <w:rPr>
          <w:i/>
          <w:spacing w:val="-4"/>
          <w:lang w:val="en-US"/>
        </w:rPr>
        <w:t>The United Kingdom</w:t>
      </w:r>
      <w:r w:rsidRPr="0079515C">
        <w:rPr>
          <w:spacing w:val="-4"/>
          <w:lang w:val="en-US"/>
        </w:rPr>
        <w:t>, No. 8139/09.</w:t>
      </w:r>
      <w:proofErr w:type="gramEnd"/>
      <w:r w:rsidRPr="0079515C">
        <w:rPr>
          <w:spacing w:val="-4"/>
          <w:lang w:val="en-US"/>
        </w:rPr>
        <w:t xml:space="preserve"> </w:t>
      </w:r>
      <w:proofErr w:type="gramStart"/>
      <w:r w:rsidRPr="0079515C">
        <w:rPr>
          <w:spacing w:val="-4"/>
          <w:lang w:val="en-US"/>
        </w:rPr>
        <w:t>Judgment of January 17, 2012, para.</w:t>
      </w:r>
      <w:proofErr w:type="gramEnd"/>
      <w:r w:rsidRPr="0079515C">
        <w:rPr>
          <w:spacing w:val="-4"/>
          <w:lang w:val="en-US"/>
        </w:rPr>
        <w:t xml:space="preserve"> 189 citing:</w:t>
      </w:r>
      <w:r w:rsidRPr="0079515C">
        <w:rPr>
          <w:i/>
          <w:spacing w:val="-4"/>
          <w:lang w:val="en-US"/>
        </w:rPr>
        <w:t xml:space="preserve"> </w:t>
      </w:r>
      <w:r w:rsidRPr="0079515C">
        <w:rPr>
          <w:spacing w:val="-4"/>
          <w:lang w:val="en-US"/>
        </w:rPr>
        <w:t xml:space="preserve">ECHR, </w:t>
      </w:r>
      <w:r w:rsidRPr="0079515C">
        <w:rPr>
          <w:i/>
          <w:spacing w:val="-4"/>
          <w:lang w:val="en-US"/>
        </w:rPr>
        <w:t xml:space="preserve">Case of </w:t>
      </w:r>
      <w:proofErr w:type="spellStart"/>
      <w:r w:rsidRPr="0079515C">
        <w:rPr>
          <w:i/>
          <w:spacing w:val="-4"/>
          <w:lang w:val="en-US"/>
        </w:rPr>
        <w:t>Gasayev</w:t>
      </w:r>
      <w:proofErr w:type="spellEnd"/>
      <w:r w:rsidRPr="0079515C">
        <w:rPr>
          <w:i/>
          <w:spacing w:val="-4"/>
          <w:lang w:val="en-US"/>
        </w:rPr>
        <w:t xml:space="preserve"> v. Spain</w:t>
      </w:r>
      <w:r w:rsidRPr="0079515C">
        <w:rPr>
          <w:spacing w:val="-4"/>
          <w:lang w:val="en-US"/>
        </w:rPr>
        <w:t xml:space="preserve">, No.48514/06. </w:t>
      </w:r>
      <w:proofErr w:type="gramStart"/>
      <w:r w:rsidRPr="0079515C">
        <w:rPr>
          <w:spacing w:val="-4"/>
          <w:lang w:val="en-US"/>
        </w:rPr>
        <w:t>Decision of February 17, 2009;</w:t>
      </w:r>
      <w:r w:rsidRPr="0079515C">
        <w:rPr>
          <w:i/>
          <w:color w:val="000000" w:themeColor="text1"/>
          <w:spacing w:val="-4"/>
          <w:lang w:val="en-US"/>
        </w:rPr>
        <w:t xml:space="preserve"> Case of Babar Ahmad </w:t>
      </w:r>
      <w:r>
        <w:rPr>
          <w:i/>
          <w:color w:val="000000" w:themeColor="text1"/>
          <w:spacing w:val="-4"/>
          <w:lang w:val="en-US"/>
        </w:rPr>
        <w:t>and Others</w:t>
      </w:r>
      <w:r w:rsidRPr="0079515C">
        <w:rPr>
          <w:i/>
          <w:color w:val="000000" w:themeColor="text1"/>
          <w:spacing w:val="-4"/>
          <w:lang w:val="en-US"/>
        </w:rPr>
        <w:t xml:space="preserve"> v.</w:t>
      </w:r>
      <w:proofErr w:type="gramEnd"/>
      <w:r w:rsidRPr="0079515C">
        <w:rPr>
          <w:i/>
          <w:color w:val="000000" w:themeColor="text1"/>
          <w:spacing w:val="-4"/>
          <w:lang w:val="en-US"/>
        </w:rPr>
        <w:t xml:space="preserve"> The United Kingdom,</w:t>
      </w:r>
      <w:r w:rsidRPr="0079515C">
        <w:rPr>
          <w:color w:val="000000" w:themeColor="text1"/>
          <w:spacing w:val="-4"/>
          <w:lang w:val="en-US"/>
        </w:rPr>
        <w:t xml:space="preserve"> </w:t>
      </w:r>
      <w:r w:rsidRPr="0079515C">
        <w:rPr>
          <w:rStyle w:val="s6b621b36"/>
          <w:rFonts w:cs="Arial"/>
          <w:iCs/>
          <w:color w:val="000000" w:themeColor="text1"/>
          <w:spacing w:val="-4"/>
          <w:shd w:val="clear" w:color="auto" w:fill="FFFFFF"/>
          <w:lang w:val="en-US"/>
        </w:rPr>
        <w:t>Nos.</w:t>
      </w:r>
      <w:r w:rsidRPr="0079515C">
        <w:rPr>
          <w:rStyle w:val="apple-converted-space"/>
          <w:rFonts w:cs="Arial"/>
          <w:iCs/>
          <w:color w:val="000000" w:themeColor="text1"/>
          <w:spacing w:val="-4"/>
          <w:shd w:val="clear" w:color="auto" w:fill="FFFFFF"/>
          <w:lang w:val="en-US"/>
        </w:rPr>
        <w:t> </w:t>
      </w:r>
      <w:hyperlink r:id="rId81" w:anchor="{&quot;appno&quot;:[&quot;24027/07&quot;]}" w:tgtFrame="_blank" w:history="1">
        <w:r w:rsidRPr="0079515C">
          <w:rPr>
            <w:rStyle w:val="Hyperlink"/>
            <w:rFonts w:cs="Arial"/>
            <w:iCs/>
            <w:color w:val="000000" w:themeColor="text1"/>
            <w:spacing w:val="-4"/>
            <w:u w:val="none"/>
            <w:shd w:val="clear" w:color="auto" w:fill="FFFFFF"/>
            <w:lang w:val="en-US"/>
          </w:rPr>
          <w:t>24027/07</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82" w:anchor="{&quot;appno&quot;:[&quot;11949/08&quot;]}" w:tgtFrame="_blank" w:history="1">
        <w:r w:rsidRPr="0079515C">
          <w:rPr>
            <w:rStyle w:val="Hyperlink"/>
            <w:rFonts w:cs="Arial"/>
            <w:iCs/>
            <w:color w:val="000000" w:themeColor="text1"/>
            <w:spacing w:val="-4"/>
            <w:u w:val="none"/>
            <w:shd w:val="clear" w:color="auto" w:fill="FFFFFF"/>
            <w:lang w:val="en-US"/>
          </w:rPr>
          <w:t>11949/08</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83" w:anchor="{&quot;appno&quot;:[&quot;36742/08&quot;]}" w:tgtFrame="_blank" w:history="1">
        <w:r w:rsidRPr="0079515C">
          <w:rPr>
            <w:rStyle w:val="Hyperlink"/>
            <w:rFonts w:cs="Arial"/>
            <w:iCs/>
            <w:color w:val="000000" w:themeColor="text1"/>
            <w:spacing w:val="-4"/>
            <w:u w:val="none"/>
            <w:shd w:val="clear" w:color="auto" w:fill="FFFFFF"/>
            <w:lang w:val="en-US"/>
          </w:rPr>
          <w:t>36742/08</w:t>
        </w:r>
      </w:hyperlink>
      <w:r w:rsidRPr="0079515C">
        <w:rPr>
          <w:rStyle w:val="s6b621b36"/>
          <w:rFonts w:cs="Arial"/>
          <w:iCs/>
          <w:color w:val="000000" w:themeColor="text1"/>
          <w:spacing w:val="-4"/>
          <w:shd w:val="clear" w:color="auto" w:fill="FFFFFF"/>
          <w:lang w:val="en-US"/>
        </w:rPr>
        <w:t>,</w:t>
      </w:r>
      <w:r w:rsidRPr="0079515C">
        <w:rPr>
          <w:rStyle w:val="apple-converted-space"/>
          <w:rFonts w:cs="Arial"/>
          <w:iCs/>
          <w:color w:val="000000" w:themeColor="text1"/>
          <w:spacing w:val="-4"/>
          <w:shd w:val="clear" w:color="auto" w:fill="FFFFFF"/>
          <w:lang w:val="en-US"/>
        </w:rPr>
        <w:t> </w:t>
      </w:r>
      <w:hyperlink r:id="rId84" w:anchor="{&quot;appno&quot;:[&quot;66911/09&quot;]}" w:tgtFrame="_blank" w:history="1">
        <w:r w:rsidRPr="0079515C">
          <w:rPr>
            <w:rStyle w:val="Hyperlink"/>
            <w:rFonts w:cs="Arial"/>
            <w:iCs/>
            <w:color w:val="000000" w:themeColor="text1"/>
            <w:spacing w:val="-4"/>
            <w:u w:val="none"/>
            <w:shd w:val="clear" w:color="auto" w:fill="FFFFFF"/>
            <w:lang w:val="en-US"/>
          </w:rPr>
          <w:t>66911/09</w:t>
        </w:r>
      </w:hyperlink>
      <w:r w:rsidRPr="0079515C">
        <w:rPr>
          <w:rStyle w:val="apple-converted-space"/>
          <w:rFonts w:cs="Arial"/>
          <w:iCs/>
          <w:color w:val="000000" w:themeColor="text1"/>
          <w:spacing w:val="-4"/>
          <w:shd w:val="clear" w:color="auto" w:fill="FFFFFF"/>
          <w:lang w:val="en-US"/>
        </w:rPr>
        <w:t> </w:t>
      </w:r>
      <w:r w:rsidRPr="0079515C">
        <w:rPr>
          <w:rStyle w:val="s6b621b36"/>
          <w:rFonts w:cs="Arial"/>
          <w:iCs/>
          <w:color w:val="000000" w:themeColor="text1"/>
          <w:spacing w:val="-4"/>
          <w:shd w:val="clear" w:color="auto" w:fill="FFFFFF"/>
          <w:lang w:val="en-US"/>
        </w:rPr>
        <w:t>and</w:t>
      </w:r>
      <w:r w:rsidRPr="0079515C">
        <w:rPr>
          <w:rStyle w:val="apple-converted-space"/>
          <w:rFonts w:cs="Arial"/>
          <w:iCs/>
          <w:color w:val="000000" w:themeColor="text1"/>
          <w:spacing w:val="-4"/>
          <w:shd w:val="clear" w:color="auto" w:fill="FFFFFF"/>
          <w:lang w:val="en-US"/>
        </w:rPr>
        <w:t> </w:t>
      </w:r>
      <w:hyperlink r:id="rId85" w:anchor="{&quot;appno&quot;:[&quot;67354/09&quot;]}" w:tgtFrame="_blank" w:history="1">
        <w:r w:rsidRPr="0079515C">
          <w:rPr>
            <w:rStyle w:val="Hyperlink"/>
            <w:rFonts w:cs="Arial"/>
            <w:iCs/>
            <w:color w:val="000000" w:themeColor="text1"/>
            <w:spacing w:val="-4"/>
            <w:u w:val="none"/>
            <w:shd w:val="clear" w:color="auto" w:fill="FFFFFF"/>
            <w:lang w:val="en-US"/>
          </w:rPr>
          <w:t>67354/09</w:t>
        </w:r>
      </w:hyperlink>
      <w:r>
        <w:rPr>
          <w:rStyle w:val="s6b621b36"/>
          <w:rFonts w:cs="Arial"/>
          <w:iCs/>
          <w:color w:val="000000" w:themeColor="text1"/>
          <w:spacing w:val="-4"/>
          <w:shd w:val="clear" w:color="auto" w:fill="FFFFFF"/>
          <w:lang w:val="en-US"/>
        </w:rPr>
        <w:t xml:space="preserve">. </w:t>
      </w:r>
      <w:proofErr w:type="gramStart"/>
      <w:r>
        <w:rPr>
          <w:rStyle w:val="s6b621b36"/>
          <w:rFonts w:cs="Arial"/>
          <w:iCs/>
          <w:color w:val="000000" w:themeColor="text1"/>
          <w:spacing w:val="-4"/>
          <w:shd w:val="clear" w:color="auto" w:fill="FFFFFF"/>
          <w:lang w:val="en-US"/>
        </w:rPr>
        <w:t>Judgment of April 10, 2012,</w:t>
      </w:r>
      <w:r w:rsidRPr="0079515C">
        <w:rPr>
          <w:i/>
          <w:spacing w:val="-4"/>
          <w:lang w:val="en-US"/>
        </w:rPr>
        <w:t xml:space="preserve"> </w:t>
      </w:r>
      <w:r w:rsidRPr="0079515C">
        <w:rPr>
          <w:spacing w:val="-4"/>
          <w:lang w:val="en-US"/>
        </w:rPr>
        <w:t>para.</w:t>
      </w:r>
      <w:proofErr w:type="gramEnd"/>
      <w:r w:rsidRPr="0079515C">
        <w:rPr>
          <w:spacing w:val="-4"/>
          <w:lang w:val="en-US"/>
        </w:rPr>
        <w:t xml:space="preserve"> </w:t>
      </w:r>
      <w:proofErr w:type="gramStart"/>
      <w:r w:rsidRPr="0079515C">
        <w:rPr>
          <w:spacing w:val="-4"/>
          <w:lang w:val="en-US"/>
        </w:rPr>
        <w:t>106</w:t>
      </w:r>
      <w:r w:rsidRPr="0079515C">
        <w:rPr>
          <w:rStyle w:val="Heading6Char"/>
          <w:rFonts w:cs="Arial"/>
          <w:iCs/>
          <w:color w:val="000000"/>
          <w:spacing w:val="-4"/>
          <w:sz w:val="16"/>
          <w:szCs w:val="16"/>
          <w:shd w:val="clear" w:color="auto" w:fill="FFFFFF"/>
          <w:lang w:val="en-US"/>
        </w:rPr>
        <w:t>,</w:t>
      </w:r>
      <w:proofErr w:type="gramEnd"/>
      <w:r w:rsidRPr="0079515C">
        <w:rPr>
          <w:rStyle w:val="Heading6Char"/>
          <w:rFonts w:cs="Arial"/>
          <w:i/>
          <w:iCs/>
          <w:color w:val="000000"/>
          <w:spacing w:val="-4"/>
          <w:sz w:val="16"/>
          <w:szCs w:val="16"/>
          <w:shd w:val="clear" w:color="auto" w:fill="FFFFFF"/>
          <w:lang w:val="en-US"/>
        </w:rPr>
        <w:t xml:space="preserve"> and </w:t>
      </w:r>
      <w:r w:rsidRPr="0079515C">
        <w:rPr>
          <w:i/>
          <w:spacing w:val="-4"/>
          <w:lang w:val="en-US"/>
        </w:rPr>
        <w:t>Case of</w:t>
      </w:r>
      <w:r w:rsidRPr="0079515C">
        <w:rPr>
          <w:spacing w:val="-4"/>
          <w:lang w:val="en-US"/>
        </w:rPr>
        <w:t xml:space="preserve"> </w:t>
      </w:r>
      <w:r w:rsidRPr="0079515C">
        <w:rPr>
          <w:i/>
          <w:spacing w:val="-4"/>
          <w:lang w:val="en-US"/>
        </w:rPr>
        <w:t>Al-</w:t>
      </w:r>
      <w:proofErr w:type="spellStart"/>
      <w:r w:rsidRPr="0079515C">
        <w:rPr>
          <w:i/>
          <w:spacing w:val="-4"/>
          <w:lang w:val="en-US"/>
        </w:rPr>
        <w:t>Moayad</w:t>
      </w:r>
      <w:proofErr w:type="spellEnd"/>
      <w:r w:rsidRPr="0079515C">
        <w:rPr>
          <w:i/>
          <w:spacing w:val="-4"/>
          <w:lang w:val="en-US"/>
        </w:rPr>
        <w:t xml:space="preserve"> v. Germany</w:t>
      </w:r>
      <w:r w:rsidRPr="0079515C">
        <w:rPr>
          <w:spacing w:val="-4"/>
          <w:lang w:val="en-US"/>
        </w:rPr>
        <w:t xml:space="preserve">, No. 35865/03. </w:t>
      </w:r>
      <w:proofErr w:type="gramStart"/>
      <w:r w:rsidRPr="0079515C">
        <w:rPr>
          <w:spacing w:val="-4"/>
          <w:lang w:val="en-US"/>
        </w:rPr>
        <w:t>Decision of February 20, 2007, paras.</w:t>
      </w:r>
      <w:proofErr w:type="gramEnd"/>
      <w:r w:rsidRPr="0079515C">
        <w:rPr>
          <w:spacing w:val="-4"/>
          <w:lang w:val="en-US"/>
        </w:rPr>
        <w:t xml:space="preserve"> </w:t>
      </w:r>
      <w:proofErr w:type="gramStart"/>
      <w:r w:rsidRPr="0079515C">
        <w:rPr>
          <w:spacing w:val="-4"/>
          <w:lang w:val="en-US"/>
        </w:rPr>
        <w:t>66 to 69.</w:t>
      </w:r>
      <w:proofErr w:type="gramEnd"/>
    </w:p>
  </w:footnote>
  <w:footnote w:id="253">
    <w:p w14:paraId="5AC426C5" w14:textId="4A58205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UN, Human Rights Committee, </w:t>
      </w:r>
      <w:r w:rsidRPr="0079515C">
        <w:rPr>
          <w:i/>
          <w:spacing w:val="-4"/>
          <w:lang w:val="en-US"/>
        </w:rPr>
        <w:t xml:space="preserve">Case of </w:t>
      </w:r>
      <w:r w:rsidRPr="0079515C">
        <w:rPr>
          <w:i/>
          <w:color w:val="000000"/>
          <w:spacing w:val="-4"/>
          <w:lang w:val="en-US"/>
        </w:rPr>
        <w:t xml:space="preserve">Mohammed </w:t>
      </w:r>
      <w:proofErr w:type="spellStart"/>
      <w:r w:rsidRPr="0079515C">
        <w:rPr>
          <w:i/>
          <w:color w:val="000000"/>
          <w:spacing w:val="-4"/>
          <w:lang w:val="en-US"/>
        </w:rPr>
        <w:t>Alzery</w:t>
      </w:r>
      <w:proofErr w:type="spellEnd"/>
      <w:r w:rsidRPr="0079515C">
        <w:rPr>
          <w:i/>
          <w:color w:val="000000"/>
          <w:spacing w:val="-4"/>
          <w:lang w:val="en-US"/>
        </w:rPr>
        <w:t xml:space="preserve"> v. Sweden</w:t>
      </w:r>
      <w:r w:rsidRPr="0079515C">
        <w:rPr>
          <w:color w:val="000000"/>
          <w:spacing w:val="-4"/>
          <w:lang w:val="en-US"/>
        </w:rPr>
        <w:t>, Communication No.1416/2005, U.N. Doc. CCPR/C/88/D/1416/2005, November 10, 2006, para. 11.3</w:t>
      </w:r>
    </w:p>
  </w:footnote>
  <w:footnote w:id="254">
    <w:p w14:paraId="32102B02" w14:textId="3D6928FC" w:rsidR="002306C1" w:rsidRPr="0079515C" w:rsidRDefault="002306C1" w:rsidP="00853044">
      <w:pPr>
        <w:pStyle w:val="FootnoteText"/>
        <w:tabs>
          <w:tab w:val="left" w:pos="426"/>
        </w:tabs>
        <w:spacing w:before="120" w:after="120"/>
        <w:rPr>
          <w:color w:val="000000"/>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UN, Human Rights Committee, </w:t>
      </w:r>
      <w:r w:rsidRPr="0079515C">
        <w:rPr>
          <w:i/>
          <w:spacing w:val="-4"/>
          <w:lang w:val="en-US"/>
        </w:rPr>
        <w:t xml:space="preserve">Case of </w:t>
      </w:r>
      <w:r w:rsidRPr="0079515C">
        <w:rPr>
          <w:i/>
          <w:color w:val="000000"/>
          <w:spacing w:val="-4"/>
          <w:lang w:val="en-US"/>
        </w:rPr>
        <w:t xml:space="preserve">Mohammed </w:t>
      </w:r>
      <w:proofErr w:type="spellStart"/>
      <w:r w:rsidRPr="0079515C">
        <w:rPr>
          <w:i/>
          <w:color w:val="000000"/>
          <w:spacing w:val="-4"/>
          <w:lang w:val="en-US"/>
        </w:rPr>
        <w:t>Alzery</w:t>
      </w:r>
      <w:proofErr w:type="spellEnd"/>
      <w:r w:rsidRPr="0079515C">
        <w:rPr>
          <w:i/>
          <w:color w:val="000000"/>
          <w:spacing w:val="-4"/>
          <w:lang w:val="en-US"/>
        </w:rPr>
        <w:t xml:space="preserve"> v. Sweden</w:t>
      </w:r>
      <w:r w:rsidRPr="0079515C">
        <w:rPr>
          <w:color w:val="000000"/>
          <w:spacing w:val="-4"/>
          <w:lang w:val="en-US"/>
        </w:rPr>
        <w:t xml:space="preserve">, Communication No. 1416/2005, U.N. Doc. CCPR/C/88/D/1416/2005, November 10, 2006, </w:t>
      </w:r>
      <w:proofErr w:type="gramStart"/>
      <w:r w:rsidRPr="0079515C">
        <w:rPr>
          <w:color w:val="000000"/>
          <w:spacing w:val="-4"/>
          <w:lang w:val="en-US"/>
        </w:rPr>
        <w:t>para</w:t>
      </w:r>
      <w:proofErr w:type="gramEnd"/>
      <w:r w:rsidRPr="0079515C">
        <w:rPr>
          <w:color w:val="000000"/>
          <w:spacing w:val="-4"/>
          <w:lang w:val="en-US"/>
        </w:rPr>
        <w:t xml:space="preserve">. 11.5; the Committee against Torture, </w:t>
      </w:r>
      <w:r w:rsidRPr="0079515C">
        <w:rPr>
          <w:i/>
          <w:color w:val="000000"/>
          <w:spacing w:val="-4"/>
          <w:lang w:val="en-US"/>
        </w:rPr>
        <w:t xml:space="preserve">Case of </w:t>
      </w:r>
      <w:proofErr w:type="spellStart"/>
      <w:r w:rsidRPr="0079515C">
        <w:rPr>
          <w:i/>
          <w:color w:val="000000"/>
          <w:spacing w:val="-4"/>
          <w:lang w:val="en-US"/>
        </w:rPr>
        <w:t>Agiza</w:t>
      </w:r>
      <w:proofErr w:type="spellEnd"/>
      <w:r w:rsidRPr="0079515C">
        <w:rPr>
          <w:i/>
          <w:color w:val="000000"/>
          <w:spacing w:val="-4"/>
          <w:lang w:val="en-US"/>
        </w:rPr>
        <w:t xml:space="preserve"> v. Sweden, </w:t>
      </w:r>
      <w:r w:rsidRPr="0079515C">
        <w:rPr>
          <w:color w:val="000000"/>
          <w:spacing w:val="-4"/>
          <w:lang w:val="en-US"/>
        </w:rPr>
        <w:t xml:space="preserve">Communication No. 233/2003, </w:t>
      </w:r>
      <w:r w:rsidRPr="0079515C">
        <w:rPr>
          <w:rStyle w:val="Strong"/>
          <w:b w:val="0"/>
          <w:color w:val="000000"/>
          <w:spacing w:val="-4"/>
          <w:shd w:val="clear" w:color="auto" w:fill="FFFFFF"/>
          <w:lang w:val="en-US"/>
        </w:rPr>
        <w:t>U.N. Doc. CAT/C/34/D/233/2003,</w:t>
      </w:r>
      <w:r w:rsidRPr="0079515C">
        <w:rPr>
          <w:rStyle w:val="apple-converted-space"/>
          <w:b/>
          <w:bCs w:val="0"/>
          <w:color w:val="000000"/>
          <w:spacing w:val="-4"/>
          <w:shd w:val="clear" w:color="auto" w:fill="FFFFFF"/>
          <w:lang w:val="en-US"/>
        </w:rPr>
        <w:t> </w:t>
      </w:r>
      <w:r w:rsidRPr="0079515C">
        <w:rPr>
          <w:color w:val="000000"/>
          <w:spacing w:val="-4"/>
          <w:lang w:val="en-US"/>
        </w:rPr>
        <w:t xml:space="preserve">May 20, 2006, para. </w:t>
      </w:r>
      <w:proofErr w:type="gramStart"/>
      <w:r w:rsidRPr="0079515C">
        <w:rPr>
          <w:color w:val="000000"/>
          <w:spacing w:val="-4"/>
          <w:lang w:val="en-US"/>
        </w:rPr>
        <w:t>13(4),</w:t>
      </w:r>
      <w:proofErr w:type="gramEnd"/>
      <w:r w:rsidRPr="0079515C">
        <w:rPr>
          <w:color w:val="000000"/>
          <w:spacing w:val="-4"/>
          <w:lang w:val="en-US"/>
        </w:rPr>
        <w:t xml:space="preserve"> and </w:t>
      </w:r>
      <w:r w:rsidRPr="0079515C">
        <w:rPr>
          <w:i/>
          <w:color w:val="000000"/>
          <w:spacing w:val="-4"/>
          <w:lang w:val="en-US"/>
        </w:rPr>
        <w:t xml:space="preserve">Case of </w:t>
      </w:r>
      <w:proofErr w:type="spellStart"/>
      <w:r w:rsidRPr="0079515C">
        <w:rPr>
          <w:i/>
          <w:color w:val="000000"/>
          <w:spacing w:val="-4"/>
          <w:lang w:val="en-US"/>
        </w:rPr>
        <w:t>Elif</w:t>
      </w:r>
      <w:proofErr w:type="spellEnd"/>
      <w:r w:rsidRPr="0079515C">
        <w:rPr>
          <w:i/>
          <w:color w:val="000000"/>
          <w:spacing w:val="-4"/>
          <w:lang w:val="en-US"/>
        </w:rPr>
        <w:t xml:space="preserve"> </w:t>
      </w:r>
      <w:proofErr w:type="spellStart"/>
      <w:r w:rsidRPr="0079515C">
        <w:rPr>
          <w:i/>
          <w:color w:val="000000"/>
          <w:spacing w:val="-4"/>
          <w:lang w:val="en-US"/>
        </w:rPr>
        <w:t>Pelit</w:t>
      </w:r>
      <w:proofErr w:type="spellEnd"/>
      <w:r w:rsidRPr="0079515C">
        <w:rPr>
          <w:i/>
          <w:color w:val="000000"/>
          <w:spacing w:val="-4"/>
          <w:lang w:val="en-US"/>
        </w:rPr>
        <w:t xml:space="preserve"> v. Azerbaijan </w:t>
      </w:r>
      <w:r w:rsidRPr="0079515C">
        <w:rPr>
          <w:color w:val="000000"/>
          <w:spacing w:val="-4"/>
          <w:lang w:val="en-US"/>
        </w:rPr>
        <w:t xml:space="preserve">Communication No. 281/2005, </w:t>
      </w:r>
      <w:r w:rsidRPr="0079515C">
        <w:rPr>
          <w:rStyle w:val="Strong"/>
          <w:b w:val="0"/>
          <w:color w:val="000000"/>
          <w:spacing w:val="-4"/>
          <w:shd w:val="clear" w:color="auto" w:fill="FFFFFF"/>
          <w:lang w:val="en-US"/>
        </w:rPr>
        <w:t>U.N. Doc. CAT/C/38/D/281/2005, May 1, 2007, para. 11.</w:t>
      </w:r>
    </w:p>
  </w:footnote>
  <w:footnote w:id="255">
    <w:p w14:paraId="314EC498" w14:textId="3596BC4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Affidavit made by Ben Saul on August 18, 2014 (evidence file, folios 6979 and 6980). </w:t>
      </w:r>
    </w:p>
  </w:footnote>
  <w:footnote w:id="256">
    <w:p w14:paraId="35D8BF08" w14:textId="4B33F262" w:rsidR="002306C1" w:rsidRPr="0079515C" w:rsidRDefault="002306C1" w:rsidP="00853044">
      <w:pPr>
        <w:tabs>
          <w:tab w:val="left" w:pos="426"/>
        </w:tabs>
        <w:autoSpaceDE w:val="0"/>
        <w:autoSpaceDN w:val="0"/>
        <w:adjustRightInd w:val="0"/>
        <w:spacing w:before="120" w:after="120"/>
        <w:rPr>
          <w:rFonts w:cs="Times New Roman"/>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In this regard, the former Special Rapporteur </w:t>
      </w:r>
      <w:r>
        <w:rPr>
          <w:spacing w:val="-4"/>
          <w:sz w:val="16"/>
          <w:szCs w:val="16"/>
          <w:lang w:val="en-US"/>
        </w:rPr>
        <w:t>against torture</w:t>
      </w:r>
      <w:r w:rsidRPr="0079515C">
        <w:rPr>
          <w:spacing w:val="-4"/>
          <w:sz w:val="16"/>
          <w:szCs w:val="16"/>
          <w:lang w:val="en-US"/>
        </w:rPr>
        <w:t xml:space="preserve">, Manfred Nowak, </w:t>
      </w:r>
      <w:r>
        <w:rPr>
          <w:spacing w:val="-4"/>
          <w:sz w:val="16"/>
          <w:szCs w:val="16"/>
          <w:lang w:val="en-US"/>
        </w:rPr>
        <w:t>“</w:t>
      </w:r>
      <w:r w:rsidRPr="0079515C">
        <w:rPr>
          <w:spacing w:val="-4"/>
          <w:sz w:val="16"/>
          <w:szCs w:val="16"/>
          <w:lang w:val="en-US"/>
        </w:rPr>
        <w:t xml:space="preserve">called attention to the importance of </w:t>
      </w:r>
      <w:r w:rsidRPr="0079515C">
        <w:rPr>
          <w:rFonts w:eastAsia="Times New Roman" w:cs="Times New Roman"/>
          <w:sz w:val="16"/>
          <w:szCs w:val="16"/>
          <w:lang w:val="en-US" w:eastAsia="en-US"/>
        </w:rPr>
        <w:t xml:space="preserve">maintaining the focus and remaining vigilant </w:t>
      </w:r>
      <w:r w:rsidRPr="00A7171B">
        <w:rPr>
          <w:rFonts w:eastAsia="Times New Roman" w:cs="Times New Roman"/>
          <w:sz w:val="16"/>
          <w:szCs w:val="16"/>
          <w:lang w:val="en-US" w:eastAsia="en-US"/>
        </w:rPr>
        <w:t>on practices such as the use of diplomatic assurances, which attempt to erode the absolute prohibition on torture in the context of counter-terrorism measures. He reiterates that diplomatic assurances are not legally binding and undermine existing obligations of States to prohibit torture, are ineffective and unreliable in ensuring the protection of returned persons, and therefore should not be resorted to by States.</w:t>
      </w:r>
      <w:r w:rsidRPr="00A7171B">
        <w:rPr>
          <w:rFonts w:cs="Times New Roman"/>
          <w:spacing w:val="-4"/>
          <w:sz w:val="16"/>
          <w:szCs w:val="16"/>
          <w:lang w:val="en-US"/>
        </w:rPr>
        <w:t xml:space="preserve"> </w:t>
      </w:r>
      <w:r w:rsidRPr="00A7171B">
        <w:rPr>
          <w:rFonts w:cs="Times New Roman"/>
          <w:i/>
          <w:spacing w:val="-4"/>
          <w:sz w:val="16"/>
          <w:szCs w:val="16"/>
          <w:lang w:val="en-US"/>
        </w:rPr>
        <w:t xml:space="preserve">Cf. </w:t>
      </w:r>
      <w:r w:rsidRPr="00A7171B">
        <w:rPr>
          <w:rFonts w:eastAsia="Times New Roman" w:cs="Times New Roman"/>
          <w:sz w:val="16"/>
          <w:szCs w:val="16"/>
          <w:lang w:val="en-US" w:eastAsia="en-US"/>
        </w:rPr>
        <w:t>Human Rights Council discusses reports on torture, arbitrary detention and independence of judges and lawyers</w:t>
      </w:r>
      <w:r w:rsidRPr="0079515C">
        <w:rPr>
          <w:rFonts w:cs="Times New Roman"/>
          <w:spacing w:val="-4"/>
          <w:sz w:val="16"/>
          <w:szCs w:val="16"/>
          <w:lang w:val="en-US"/>
        </w:rPr>
        <w:t xml:space="preserve">, September 19, 2006. Available at: </w:t>
      </w:r>
      <w:hyperlink r:id="rId86" w:history="1">
        <w:r w:rsidRPr="0079515C">
          <w:rPr>
            <w:rStyle w:val="Hyperlink"/>
            <w:rFonts w:cs="Times New Roman"/>
            <w:spacing w:val="-4"/>
            <w:sz w:val="16"/>
            <w:szCs w:val="16"/>
            <w:lang w:val="en-US"/>
          </w:rPr>
          <w:t>http://www.ohchr.org/EN/NewsEvents/Pages/DisplayNews.aspx?NewsID=1384</w:t>
        </w:r>
      </w:hyperlink>
      <w:r w:rsidRPr="0079515C">
        <w:rPr>
          <w:rStyle w:val="Hyperlink"/>
          <w:rFonts w:cs="Times New Roman"/>
          <w:spacing w:val="-4"/>
          <w:sz w:val="16"/>
          <w:szCs w:val="16"/>
          <w:lang w:val="en-US"/>
        </w:rPr>
        <w:t>.</w:t>
      </w:r>
      <w:r w:rsidRPr="0079515C">
        <w:rPr>
          <w:rFonts w:cs="Times New Roman"/>
          <w:spacing w:val="-4"/>
          <w:sz w:val="16"/>
          <w:szCs w:val="16"/>
          <w:lang w:val="en-US"/>
        </w:rPr>
        <w:t xml:space="preserve">  Furthermore, in 2006, Louise </w:t>
      </w:r>
      <w:proofErr w:type="spellStart"/>
      <w:r w:rsidRPr="0079515C">
        <w:rPr>
          <w:rFonts w:cs="Times New Roman"/>
          <w:spacing w:val="-4"/>
          <w:sz w:val="16"/>
          <w:szCs w:val="16"/>
          <w:lang w:val="en-US"/>
        </w:rPr>
        <w:t>Arbour</w:t>
      </w:r>
      <w:proofErr w:type="spellEnd"/>
      <w:r w:rsidRPr="0079515C">
        <w:rPr>
          <w:rFonts w:cs="Times New Roman"/>
          <w:spacing w:val="-4"/>
          <w:sz w:val="16"/>
          <w:szCs w:val="16"/>
          <w:lang w:val="en-US"/>
        </w:rPr>
        <w:t xml:space="preserve">, the High Commissioner for Human Rights </w:t>
      </w:r>
      <w:r w:rsidRPr="00A7171B">
        <w:rPr>
          <w:rFonts w:cs="Times New Roman"/>
          <w:spacing w:val="-4"/>
          <w:sz w:val="16"/>
          <w:szCs w:val="16"/>
          <w:lang w:val="en-US"/>
        </w:rPr>
        <w:t>at the time, indicated that, “</w:t>
      </w:r>
      <w:r w:rsidRPr="00A7171B">
        <w:rPr>
          <w:rStyle w:val="sfbbfee58"/>
          <w:sz w:val="16"/>
          <w:szCs w:val="16"/>
          <w:lang w:val="en-US"/>
        </w:rPr>
        <w:t>[b]</w:t>
      </w:r>
      <w:proofErr w:type="spellStart"/>
      <w:r w:rsidRPr="00A7171B">
        <w:rPr>
          <w:rStyle w:val="sfbbfee58"/>
          <w:sz w:val="16"/>
          <w:szCs w:val="16"/>
          <w:lang w:val="en-US"/>
        </w:rPr>
        <w:t>ased</w:t>
      </w:r>
      <w:proofErr w:type="spellEnd"/>
      <w:r w:rsidRPr="00A7171B">
        <w:rPr>
          <w:rStyle w:val="sfbbfee58"/>
          <w:sz w:val="16"/>
          <w:szCs w:val="16"/>
          <w:lang w:val="en-US"/>
        </w:rPr>
        <w:t xml:space="preserve"> on the long experience of international monitoring bodies and experts, it is unlikely that a post-return monitoring mechanism set up explicitly to prevent torture and ill-treatment in a specific case would have the desired effect. These practices often occur in secret, with the perpetrators skilled at keeping such abuses from detection. The victims, fearing reprisal, often are reluctant to speak about their suffering, or are not believed if they do</w:t>
      </w:r>
      <w:r w:rsidRPr="00A7171B">
        <w:rPr>
          <w:rFonts w:cs="Arial"/>
          <w:sz w:val="16"/>
          <w:szCs w:val="16"/>
          <w:lang w:val="en-US"/>
        </w:rPr>
        <w:t>.</w:t>
      </w:r>
      <w:r w:rsidRPr="00A7171B">
        <w:rPr>
          <w:rFonts w:cs="Times New Roman"/>
          <w:spacing w:val="-4"/>
          <w:sz w:val="16"/>
          <w:szCs w:val="16"/>
          <w:lang w:val="en-US"/>
        </w:rPr>
        <w:t xml:space="preserve"> </w:t>
      </w:r>
      <w:r w:rsidRPr="00A7171B">
        <w:rPr>
          <w:rFonts w:cs="Times New Roman"/>
          <w:i/>
          <w:spacing w:val="-4"/>
          <w:sz w:val="16"/>
          <w:szCs w:val="16"/>
          <w:lang w:val="en-US"/>
        </w:rPr>
        <w:t xml:space="preserve">Cf. </w:t>
      </w:r>
      <w:r w:rsidRPr="00A7171B">
        <w:rPr>
          <w:rFonts w:cs="Times New Roman"/>
          <w:spacing w:val="-4"/>
          <w:sz w:val="16"/>
          <w:szCs w:val="16"/>
          <w:lang w:val="en-US"/>
        </w:rPr>
        <w:t xml:space="preserve">Statement by Louise </w:t>
      </w:r>
      <w:proofErr w:type="spellStart"/>
      <w:r w:rsidRPr="00A7171B">
        <w:rPr>
          <w:rFonts w:cs="Times New Roman"/>
          <w:spacing w:val="-4"/>
          <w:sz w:val="16"/>
          <w:szCs w:val="16"/>
          <w:lang w:val="en-US"/>
        </w:rPr>
        <w:t>Arbour</w:t>
      </w:r>
      <w:proofErr w:type="spellEnd"/>
      <w:r w:rsidRPr="00A7171B">
        <w:rPr>
          <w:rFonts w:cs="Times New Roman"/>
          <w:spacing w:val="-4"/>
          <w:sz w:val="16"/>
          <w:szCs w:val="16"/>
          <w:lang w:val="en-US"/>
        </w:rPr>
        <w:t>, United Nations High Commissioner for Human Rights, to the Council of Europe Group of Specialists on Human</w:t>
      </w:r>
      <w:r w:rsidRPr="0079515C">
        <w:rPr>
          <w:rFonts w:cs="Times New Roman"/>
          <w:spacing w:val="-4"/>
          <w:sz w:val="16"/>
          <w:szCs w:val="16"/>
          <w:lang w:val="en-US"/>
        </w:rPr>
        <w:t xml:space="preserve"> Rights and the Fight against Terrorism (DH-S-TER), March 29 to 31, 2006.</w:t>
      </w:r>
    </w:p>
  </w:footnote>
  <w:footnote w:id="257">
    <w:p w14:paraId="57255824" w14:textId="290BD795" w:rsidR="002306C1" w:rsidRPr="0079515C" w:rsidRDefault="002306C1" w:rsidP="00853044">
      <w:pPr>
        <w:pStyle w:val="FootnoteText"/>
        <w:tabs>
          <w:tab w:val="clear" w:pos="567"/>
          <w:tab w:val="left" w:pos="426"/>
        </w:tabs>
        <w:spacing w:before="120" w:after="120"/>
        <w:rPr>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In the case of </w:t>
      </w:r>
      <w:r w:rsidRPr="0079515C">
        <w:rPr>
          <w:i/>
          <w:spacing w:val="-4"/>
          <w:lang w:val="en-US"/>
        </w:rPr>
        <w:t xml:space="preserve">Othman (Abu </w:t>
      </w:r>
      <w:proofErr w:type="spellStart"/>
      <w:r w:rsidRPr="0079515C">
        <w:rPr>
          <w:i/>
          <w:spacing w:val="-4"/>
          <w:lang w:val="en-US"/>
        </w:rPr>
        <w:t>Qatada</w:t>
      </w:r>
      <w:proofErr w:type="spellEnd"/>
      <w:r w:rsidRPr="0079515C">
        <w:rPr>
          <w:i/>
          <w:spacing w:val="-4"/>
          <w:lang w:val="en-US"/>
        </w:rPr>
        <w:t>) v.</w:t>
      </w:r>
      <w:proofErr w:type="gramEnd"/>
      <w:r w:rsidRPr="0079515C">
        <w:rPr>
          <w:i/>
          <w:spacing w:val="-4"/>
          <w:lang w:val="en-US"/>
        </w:rPr>
        <w:t xml:space="preserve"> </w:t>
      </w:r>
      <w:r w:rsidRPr="005A46F1">
        <w:rPr>
          <w:i/>
          <w:spacing w:val="-4"/>
          <w:lang w:val="en-US"/>
        </w:rPr>
        <w:t>The United Kingdom</w:t>
      </w:r>
      <w:r w:rsidRPr="005A46F1">
        <w:rPr>
          <w:spacing w:val="-4"/>
          <w:lang w:val="en-US"/>
        </w:rPr>
        <w:t xml:space="preserve">, the European Court “accepted that […] </w:t>
      </w:r>
      <w:r w:rsidRPr="005A46F1">
        <w:rPr>
          <w:rStyle w:val="sb8d990e2"/>
          <w:lang w:val="en-US"/>
        </w:rPr>
        <w:t xml:space="preserve">there is widespread concern within the international community as to the practice of seeking assurances to allow for the deportation of those considered to be a threat to national security. […] However, it not for this Court to rule upon the propriety of seeking assurances, or to assess the long term consequences of doing so; its only task is to examine whether the assurances obtained in a particular case are sufficient to remove any real risk of ill-treatment.” </w:t>
      </w:r>
      <w:r w:rsidRPr="005A46F1">
        <w:rPr>
          <w:spacing w:val="-4"/>
          <w:lang w:val="en-US"/>
        </w:rPr>
        <w:t xml:space="preserve">ECHR, </w:t>
      </w:r>
      <w:r w:rsidRPr="005A46F1">
        <w:rPr>
          <w:i/>
          <w:spacing w:val="-4"/>
          <w:lang w:val="en-US"/>
        </w:rPr>
        <w:t xml:space="preserve">Case of Othman (Abu </w:t>
      </w:r>
      <w:proofErr w:type="spellStart"/>
      <w:r w:rsidRPr="005A46F1">
        <w:rPr>
          <w:i/>
          <w:spacing w:val="-4"/>
          <w:lang w:val="en-US"/>
        </w:rPr>
        <w:t>Qatada</w:t>
      </w:r>
      <w:proofErr w:type="spellEnd"/>
      <w:r w:rsidRPr="005A46F1">
        <w:rPr>
          <w:i/>
          <w:spacing w:val="-4"/>
          <w:lang w:val="en-US"/>
        </w:rPr>
        <w:t xml:space="preserve">) v. </w:t>
      </w:r>
      <w:proofErr w:type="gramStart"/>
      <w:r w:rsidRPr="005A46F1">
        <w:rPr>
          <w:i/>
          <w:spacing w:val="-4"/>
          <w:lang w:val="en-US"/>
        </w:rPr>
        <w:t>The United Kingdom,</w:t>
      </w:r>
      <w:r w:rsidRPr="005A46F1">
        <w:rPr>
          <w:spacing w:val="-4"/>
          <w:lang w:val="en-US"/>
        </w:rPr>
        <w:t xml:space="preserve"> No. 8139/09.</w:t>
      </w:r>
      <w:proofErr w:type="gramEnd"/>
      <w:r w:rsidRPr="005A46F1">
        <w:rPr>
          <w:spacing w:val="-4"/>
          <w:lang w:val="en-US"/>
        </w:rPr>
        <w:t xml:space="preserve"> </w:t>
      </w:r>
      <w:proofErr w:type="gramStart"/>
      <w:r w:rsidRPr="005A46F1">
        <w:rPr>
          <w:spacing w:val="-4"/>
          <w:lang w:val="en-US"/>
        </w:rPr>
        <w:t>Judgment of January 17, 2012, para.</w:t>
      </w:r>
      <w:proofErr w:type="gramEnd"/>
      <w:r w:rsidRPr="005A46F1">
        <w:rPr>
          <w:spacing w:val="-4"/>
          <w:lang w:val="en-US"/>
        </w:rPr>
        <w:t xml:space="preserve"> 186. It has also indicated that: “In extradition matters, Diplomatic Notes are a standard means for the requesting State to provide any assurances which the requested State considers necessary for its consent to extradition. In </w:t>
      </w:r>
      <w:r w:rsidRPr="005A46F1">
        <w:rPr>
          <w:i/>
          <w:iCs/>
          <w:spacing w:val="-4"/>
          <w:lang w:val="en-US"/>
        </w:rPr>
        <w:t>Ahmad and Others</w:t>
      </w:r>
      <w:r w:rsidRPr="005A46F1">
        <w:rPr>
          <w:spacing w:val="-4"/>
          <w:lang w:val="en-US"/>
        </w:rPr>
        <w:t xml:space="preserve">, the Court also </w:t>
      </w:r>
      <w:proofErr w:type="spellStart"/>
      <w:r w:rsidRPr="005A46F1">
        <w:rPr>
          <w:spacing w:val="-4"/>
          <w:lang w:val="en-US"/>
        </w:rPr>
        <w:t>recognised</w:t>
      </w:r>
      <w:proofErr w:type="spellEnd"/>
      <w:r w:rsidRPr="005A46F1">
        <w:rPr>
          <w:spacing w:val="-4"/>
          <w:lang w:val="en-US"/>
        </w:rPr>
        <w:t xml:space="preserve"> that, in international relations, Diplomatic Notes carry a presumption of good faith and that, in extradition cases, it was appropriate that that presumption be applied to a requesting State which has a long history of respect for democracy, human rights and the rule of law, and which has longstanding extradition arrangements with Contracting States”. ECHR, </w:t>
      </w:r>
      <w:r w:rsidRPr="005A46F1">
        <w:rPr>
          <w:i/>
          <w:spacing w:val="-4"/>
          <w:lang w:val="en-US"/>
        </w:rPr>
        <w:t>Cases of Harkins and Edwards</w:t>
      </w:r>
      <w:r w:rsidRPr="0079515C">
        <w:rPr>
          <w:i/>
          <w:spacing w:val="-4"/>
          <w:lang w:val="en-US"/>
        </w:rPr>
        <w:t xml:space="preserve"> v. The United Kingdom</w:t>
      </w:r>
      <w:r w:rsidRPr="0079515C">
        <w:rPr>
          <w:spacing w:val="-4"/>
          <w:lang w:val="en-US"/>
        </w:rPr>
        <w:t>,</w:t>
      </w:r>
      <w:r w:rsidRPr="0079515C">
        <w:rPr>
          <w:b/>
          <w:spacing w:val="-4"/>
          <w:lang w:val="en-US"/>
        </w:rPr>
        <w:t xml:space="preserve"> </w:t>
      </w:r>
      <w:r w:rsidRPr="0079515C">
        <w:rPr>
          <w:spacing w:val="-4"/>
          <w:lang w:val="en-US"/>
        </w:rPr>
        <w:t xml:space="preserve">Nos. 9146/07 and 32650/07. </w:t>
      </w:r>
      <w:proofErr w:type="gramStart"/>
      <w:r w:rsidRPr="0079515C">
        <w:rPr>
          <w:spacing w:val="-4"/>
          <w:lang w:val="en-US"/>
        </w:rPr>
        <w:t>Judgment of January 17, 2012, para.</w:t>
      </w:r>
      <w:proofErr w:type="gramEnd"/>
      <w:r w:rsidRPr="0079515C">
        <w:rPr>
          <w:spacing w:val="-4"/>
          <w:lang w:val="en-US"/>
        </w:rPr>
        <w:t xml:space="preserve"> 85.</w:t>
      </w:r>
    </w:p>
  </w:footnote>
  <w:footnote w:id="258">
    <w:p w14:paraId="4EB34CCC" w14:textId="2F0E934B" w:rsidR="002306C1" w:rsidRPr="0079515C" w:rsidRDefault="002306C1" w:rsidP="00853044">
      <w:pPr>
        <w:tabs>
          <w:tab w:val="left" w:pos="426"/>
        </w:tabs>
        <w:autoSpaceDE w:val="0"/>
        <w:autoSpaceDN w:val="0"/>
        <w:adjustRightInd w:val="0"/>
        <w:spacing w:before="120" w:after="120"/>
        <w:rPr>
          <w:rFonts w:cs="Times New Roman"/>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rFonts w:cs="Times New Roman"/>
          <w:i/>
          <w:spacing w:val="-4"/>
          <w:sz w:val="16"/>
          <w:szCs w:val="16"/>
          <w:lang w:val="en-US"/>
        </w:rPr>
        <w:t xml:space="preserve">Cf. </w:t>
      </w:r>
      <w:r w:rsidRPr="0079515C">
        <w:rPr>
          <w:spacing w:val="-4"/>
          <w:sz w:val="16"/>
          <w:szCs w:val="16"/>
          <w:lang w:val="en-US"/>
        </w:rPr>
        <w:t xml:space="preserve">ECHR, </w:t>
      </w:r>
      <w:r w:rsidRPr="0079515C">
        <w:rPr>
          <w:i/>
          <w:spacing w:val="-4"/>
          <w:sz w:val="16"/>
          <w:szCs w:val="16"/>
          <w:lang w:val="en-US"/>
        </w:rPr>
        <w:t xml:space="preserve">Case of Othman (Abu </w:t>
      </w:r>
      <w:proofErr w:type="spellStart"/>
      <w:r w:rsidRPr="0079515C">
        <w:rPr>
          <w:i/>
          <w:spacing w:val="-4"/>
          <w:sz w:val="16"/>
          <w:szCs w:val="16"/>
          <w:lang w:val="en-US"/>
        </w:rPr>
        <w:t>Qatada</w:t>
      </w:r>
      <w:proofErr w:type="spellEnd"/>
      <w:r w:rsidRPr="0079515C">
        <w:rPr>
          <w:i/>
          <w:spacing w:val="-4"/>
          <w:sz w:val="16"/>
          <w:szCs w:val="16"/>
          <w:lang w:val="en-US"/>
        </w:rPr>
        <w:t xml:space="preserve">) v. </w:t>
      </w:r>
      <w:proofErr w:type="gramStart"/>
      <w:r w:rsidRPr="0079515C">
        <w:rPr>
          <w:i/>
          <w:spacing w:val="-4"/>
          <w:sz w:val="16"/>
          <w:szCs w:val="16"/>
          <w:lang w:val="en-US"/>
        </w:rPr>
        <w:t>The United Kingdom,</w:t>
      </w:r>
      <w:r w:rsidRPr="0079515C">
        <w:rPr>
          <w:spacing w:val="-4"/>
          <w:sz w:val="16"/>
          <w:szCs w:val="16"/>
          <w:lang w:val="en-US"/>
        </w:rPr>
        <w:t xml:space="preserve"> No. 8139/09.</w:t>
      </w:r>
      <w:proofErr w:type="gramEnd"/>
      <w:r w:rsidRPr="0079515C">
        <w:rPr>
          <w:spacing w:val="-4"/>
          <w:sz w:val="16"/>
          <w:szCs w:val="16"/>
          <w:lang w:val="en-US"/>
        </w:rPr>
        <w:t xml:space="preserve"> </w:t>
      </w:r>
      <w:proofErr w:type="gramStart"/>
      <w:r w:rsidRPr="0079515C">
        <w:rPr>
          <w:spacing w:val="-4"/>
          <w:sz w:val="16"/>
          <w:szCs w:val="16"/>
          <w:lang w:val="en-US"/>
        </w:rPr>
        <w:t>Judgment of January 17, 2012, para.</w:t>
      </w:r>
      <w:proofErr w:type="gramEnd"/>
      <w:r w:rsidRPr="0079515C">
        <w:rPr>
          <w:spacing w:val="-4"/>
          <w:sz w:val="16"/>
          <w:szCs w:val="16"/>
          <w:lang w:val="en-US"/>
        </w:rPr>
        <w:t xml:space="preserve"> </w:t>
      </w:r>
      <w:proofErr w:type="gramStart"/>
      <w:r w:rsidRPr="0079515C">
        <w:rPr>
          <w:spacing w:val="-4"/>
          <w:sz w:val="16"/>
          <w:szCs w:val="16"/>
          <w:lang w:val="en-US"/>
        </w:rPr>
        <w:t>142,</w:t>
      </w:r>
      <w:proofErr w:type="gramEnd"/>
      <w:r w:rsidRPr="0079515C">
        <w:rPr>
          <w:spacing w:val="-4"/>
          <w:sz w:val="16"/>
          <w:szCs w:val="16"/>
          <w:lang w:val="en-US"/>
        </w:rPr>
        <w:t xml:space="preserve"> and </w:t>
      </w:r>
      <w:r w:rsidRPr="0079515C">
        <w:rPr>
          <w:rFonts w:cs="Times New Roman"/>
          <w:i/>
          <w:spacing w:val="-4"/>
          <w:sz w:val="16"/>
          <w:szCs w:val="16"/>
          <w:lang w:val="en-US"/>
        </w:rPr>
        <w:t xml:space="preserve">Case of </w:t>
      </w:r>
      <w:proofErr w:type="spellStart"/>
      <w:r w:rsidRPr="0079515C">
        <w:rPr>
          <w:rFonts w:cs="Times New Roman"/>
          <w:i/>
          <w:spacing w:val="-4"/>
          <w:sz w:val="16"/>
          <w:szCs w:val="16"/>
          <w:lang w:val="en-US"/>
        </w:rPr>
        <w:t>Rustamov</w:t>
      </w:r>
      <w:proofErr w:type="spellEnd"/>
      <w:r w:rsidRPr="0079515C">
        <w:rPr>
          <w:rFonts w:cs="Times New Roman"/>
          <w:i/>
          <w:spacing w:val="-4"/>
          <w:sz w:val="16"/>
          <w:szCs w:val="16"/>
          <w:lang w:val="en-US"/>
        </w:rPr>
        <w:t xml:space="preserve"> v. Russia</w:t>
      </w:r>
      <w:r w:rsidRPr="0079515C">
        <w:rPr>
          <w:rFonts w:cs="Times New Roman"/>
          <w:spacing w:val="-4"/>
          <w:sz w:val="16"/>
          <w:szCs w:val="16"/>
          <w:lang w:val="en-US"/>
        </w:rPr>
        <w:t xml:space="preserve">, </w:t>
      </w:r>
      <w:r w:rsidRPr="0079515C">
        <w:rPr>
          <w:rFonts w:cs="Arial"/>
          <w:iCs/>
          <w:color w:val="000000" w:themeColor="text1"/>
          <w:spacing w:val="-4"/>
          <w:sz w:val="16"/>
          <w:szCs w:val="16"/>
          <w:shd w:val="clear" w:color="auto" w:fill="FFFFFF"/>
          <w:lang w:val="en-US"/>
        </w:rPr>
        <w:t>No.</w:t>
      </w:r>
      <w:r w:rsidRPr="0079515C">
        <w:rPr>
          <w:rStyle w:val="apple-converted-space"/>
          <w:rFonts w:cs="Arial"/>
          <w:iCs/>
          <w:color w:val="000000" w:themeColor="text1"/>
          <w:spacing w:val="-4"/>
          <w:sz w:val="16"/>
          <w:szCs w:val="16"/>
          <w:shd w:val="clear" w:color="auto" w:fill="FFFFFF"/>
          <w:lang w:val="en-US"/>
        </w:rPr>
        <w:t> </w:t>
      </w:r>
      <w:hyperlink r:id="rId87" w:anchor="{&quot;appno&quot;:[&quot;11209/10&quot;]}" w:tgtFrame="_blank" w:history="1">
        <w:proofErr w:type="gramStart"/>
        <w:r w:rsidRPr="0079515C">
          <w:rPr>
            <w:rStyle w:val="Hyperlink"/>
            <w:rFonts w:cs="Arial"/>
            <w:iCs/>
            <w:color w:val="000000" w:themeColor="text1"/>
            <w:spacing w:val="-4"/>
            <w:sz w:val="16"/>
            <w:szCs w:val="16"/>
            <w:u w:val="none"/>
            <w:shd w:val="clear" w:color="auto" w:fill="FFFFFF"/>
            <w:lang w:val="en-US"/>
          </w:rPr>
          <w:t>11209/10</w:t>
        </w:r>
      </w:hyperlink>
      <w:r w:rsidRPr="0079515C">
        <w:rPr>
          <w:rFonts w:cs="Times New Roman"/>
          <w:color w:val="000000" w:themeColor="text1"/>
          <w:spacing w:val="-4"/>
          <w:sz w:val="16"/>
          <w:szCs w:val="16"/>
          <w:lang w:val="en-US"/>
        </w:rPr>
        <w:t>.</w:t>
      </w:r>
      <w:proofErr w:type="gramEnd"/>
      <w:r w:rsidRPr="0079515C">
        <w:rPr>
          <w:rFonts w:cs="Times New Roman"/>
          <w:color w:val="000000" w:themeColor="text1"/>
          <w:spacing w:val="-4"/>
          <w:sz w:val="16"/>
          <w:szCs w:val="16"/>
          <w:lang w:val="en-US"/>
        </w:rPr>
        <w:t xml:space="preserve"> </w:t>
      </w:r>
      <w:proofErr w:type="gramStart"/>
      <w:r w:rsidRPr="0079515C">
        <w:rPr>
          <w:rFonts w:cs="Times New Roman"/>
          <w:spacing w:val="-4"/>
          <w:sz w:val="16"/>
          <w:szCs w:val="16"/>
          <w:lang w:val="en-US"/>
        </w:rPr>
        <w:t>Judgment of July 3, 2012, para.</w:t>
      </w:r>
      <w:proofErr w:type="gramEnd"/>
      <w:r w:rsidRPr="0079515C">
        <w:rPr>
          <w:rFonts w:cs="Times New Roman"/>
          <w:spacing w:val="-4"/>
          <w:sz w:val="16"/>
          <w:szCs w:val="16"/>
          <w:lang w:val="en-US"/>
        </w:rPr>
        <w:t xml:space="preserve"> 131.</w:t>
      </w:r>
    </w:p>
  </w:footnote>
  <w:footnote w:id="259">
    <w:p w14:paraId="4F960147" w14:textId="2C4DD062"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Affidavit made by Ben Saul on August 18, 2014 (evidence file, folio 6980).</w:t>
      </w:r>
    </w:p>
  </w:footnote>
  <w:footnote w:id="260">
    <w:p w14:paraId="48BBF275" w14:textId="6A27E1E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Affidavit made by Geoff Gilbert on August 16, 2014 (evidence file, folio 7024).</w:t>
      </w:r>
    </w:p>
  </w:footnote>
  <w:footnote w:id="261">
    <w:p w14:paraId="6D516165" w14:textId="2ED45421"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representative referred to three cases mentioned in an Urgent Action of Amnesty International concerning the case of Wong Ho Wing. This organization indicated that: “China executed the Tibetan, </w:t>
      </w:r>
      <w:proofErr w:type="spellStart"/>
      <w:r w:rsidRPr="0079515C">
        <w:rPr>
          <w:spacing w:val="-4"/>
          <w:lang w:val="en-US"/>
        </w:rPr>
        <w:t>Lobsang</w:t>
      </w:r>
      <w:proofErr w:type="spellEnd"/>
      <w:r w:rsidRPr="0079515C">
        <w:rPr>
          <w:spacing w:val="-4"/>
          <w:lang w:val="en-US"/>
        </w:rPr>
        <w:t xml:space="preserve"> </w:t>
      </w:r>
      <w:proofErr w:type="spellStart"/>
      <w:r w:rsidRPr="0079515C">
        <w:rPr>
          <w:spacing w:val="-4"/>
          <w:lang w:val="en-US"/>
        </w:rPr>
        <w:t>Dhondup</w:t>
      </w:r>
      <w:proofErr w:type="spellEnd"/>
      <w:r w:rsidRPr="0079515C">
        <w:rPr>
          <w:spacing w:val="-4"/>
          <w:lang w:val="en-US"/>
        </w:rPr>
        <w:t>, in January 2003, one month after it had assured the United States that his case would be subject to extensive review by the People’s Supreme Court. Extraditions and expulsion</w:t>
      </w:r>
      <w:r>
        <w:rPr>
          <w:spacing w:val="-4"/>
          <w:lang w:val="en-US"/>
        </w:rPr>
        <w:t>s</w:t>
      </w:r>
      <w:r w:rsidRPr="0079515C">
        <w:rPr>
          <w:spacing w:val="-4"/>
          <w:lang w:val="en-US"/>
        </w:rPr>
        <w:t xml:space="preserve"> implemented previously suggest that the Chinese assurances should not be relied on. In 1995, Wang </w:t>
      </w:r>
      <w:proofErr w:type="spellStart"/>
      <w:r w:rsidRPr="0079515C">
        <w:rPr>
          <w:spacing w:val="-4"/>
          <w:lang w:val="en-US"/>
        </w:rPr>
        <w:t>Jianye</w:t>
      </w:r>
      <w:proofErr w:type="spellEnd"/>
      <w:r w:rsidRPr="0079515C">
        <w:rPr>
          <w:spacing w:val="-4"/>
          <w:lang w:val="en-US"/>
        </w:rPr>
        <w:t xml:space="preserve"> was executed after he had been extradited from Thailand, despite the ass</w:t>
      </w:r>
      <w:r>
        <w:rPr>
          <w:spacing w:val="-4"/>
          <w:lang w:val="en-US"/>
        </w:rPr>
        <w:t>urances given to the Thai</w:t>
      </w:r>
      <w:r w:rsidRPr="0079515C">
        <w:rPr>
          <w:spacing w:val="-4"/>
          <w:lang w:val="en-US"/>
        </w:rPr>
        <w:t xml:space="preserve"> authorities that he would not be sentenced to death. In June 2000, Fang Yong was sentenced to death after being returned from Canada. Unconfirmed reports suggest that China had provided assurances that he would not be sentenced to death. His sentence was commuted to life imprisonment on appeal.” </w:t>
      </w:r>
    </w:p>
  </w:footnote>
  <w:footnote w:id="262">
    <w:p w14:paraId="6612594C" w14:textId="2F328EC8" w:rsidR="002306C1" w:rsidRPr="0079515C" w:rsidRDefault="002306C1" w:rsidP="00853044">
      <w:pPr>
        <w:pStyle w:val="FootnoteText"/>
        <w:tabs>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Statement made by </w:t>
      </w:r>
      <w:proofErr w:type="spellStart"/>
      <w:r w:rsidRPr="0079515C">
        <w:rPr>
          <w:spacing w:val="-4"/>
          <w:lang w:val="en-US"/>
        </w:rPr>
        <w:t>Ang</w:t>
      </w:r>
      <w:proofErr w:type="spellEnd"/>
      <w:r w:rsidRPr="0079515C">
        <w:rPr>
          <w:spacing w:val="-4"/>
          <w:lang w:val="en-US"/>
        </w:rPr>
        <w:t xml:space="preserve"> Sun during the public hearing held in this case.  </w:t>
      </w:r>
    </w:p>
  </w:footnote>
  <w:footnote w:id="263">
    <w:p w14:paraId="6D0DFEAE" w14:textId="454B1F89" w:rsidR="002306C1" w:rsidRPr="0079515C" w:rsidRDefault="002306C1" w:rsidP="00A839BF">
      <w:pPr>
        <w:pStyle w:val="FootnoteText"/>
        <w:tabs>
          <w:tab w:val="clear" w:pos="567"/>
          <w:tab w:val="left" w:pos="426"/>
        </w:tabs>
        <w:spacing w:before="120" w:after="120"/>
        <w:rPr>
          <w:spacing w:val="-3"/>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relevant part of Article 25 of the American Convention establishes that: “1. </w:t>
      </w:r>
      <w:r w:rsidRPr="0079515C">
        <w:rPr>
          <w:spacing w:val="-3"/>
          <w:lang w:val="en-US"/>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79515C">
        <w:rPr>
          <w:spacing w:val="-4"/>
          <w:lang w:val="en-US"/>
        </w:rPr>
        <w:t>. 2. The States Parties undertake: […] (c) t</w:t>
      </w:r>
      <w:r w:rsidRPr="0079515C">
        <w:rPr>
          <w:spacing w:val="-3"/>
          <w:lang w:val="en-US"/>
        </w:rPr>
        <w:t>o ensure that the competent authorities shall enforce such remedies when granted.</w:t>
      </w:r>
      <w:r w:rsidRPr="0079515C">
        <w:rPr>
          <w:spacing w:val="-4"/>
          <w:lang w:val="en-US"/>
        </w:rPr>
        <w:t>”</w:t>
      </w:r>
    </w:p>
  </w:footnote>
  <w:footnote w:id="264">
    <w:p w14:paraId="37359CEA" w14:textId="67A01C54" w:rsidR="002306C1" w:rsidRPr="0079515C" w:rsidRDefault="002306C1" w:rsidP="00853044">
      <w:pPr>
        <w:pStyle w:val="FootnoteText"/>
        <w:tabs>
          <w:tab w:val="clear" w:pos="567"/>
          <w:tab w:val="left" w:pos="426"/>
        </w:tabs>
        <w:spacing w:before="120" w:after="120"/>
        <w:rPr>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Article 8(1) of the American Convention establishes that: “</w:t>
      </w:r>
      <w:r w:rsidRPr="0079515C">
        <w:rPr>
          <w:spacing w:val="-3"/>
          <w:lang w:val="en-US"/>
        </w:rPr>
        <w:t>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r w:rsidRPr="0079515C">
        <w:rPr>
          <w:spacing w:val="-4"/>
          <w:lang w:val="en-US"/>
        </w:rPr>
        <w:t>”</w:t>
      </w:r>
    </w:p>
  </w:footnote>
  <w:footnote w:id="265">
    <w:p w14:paraId="68F8B151" w14:textId="305339C5"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 Case of the “Street Children” (</w:t>
      </w:r>
      <w:proofErr w:type="spellStart"/>
      <w:r w:rsidRPr="0079515C">
        <w:rPr>
          <w:i/>
          <w:spacing w:val="-4"/>
          <w:lang w:val="en-US"/>
        </w:rPr>
        <w:t>Villagrán</w:t>
      </w:r>
      <w:proofErr w:type="spellEnd"/>
      <w:r w:rsidRPr="0079515C">
        <w:rPr>
          <w:i/>
          <w:spacing w:val="-4"/>
          <w:lang w:val="en-US"/>
        </w:rPr>
        <w:t xml:space="preserve"> Morales et al.) v. Guatemala.</w:t>
      </w:r>
      <w:proofErr w:type="gramEnd"/>
      <w:r w:rsidRPr="0079515C">
        <w:rPr>
          <w:i/>
          <w:spacing w:val="-4"/>
          <w:lang w:val="en-US"/>
        </w:rPr>
        <w:t xml:space="preserve"> </w:t>
      </w:r>
      <w:proofErr w:type="gramStart"/>
      <w:r w:rsidRPr="0079515C">
        <w:rPr>
          <w:i/>
          <w:spacing w:val="-4"/>
          <w:lang w:val="en-US"/>
        </w:rPr>
        <w:t>Merits.</w:t>
      </w:r>
      <w:proofErr w:type="gramEnd"/>
      <w:r w:rsidRPr="0079515C">
        <w:rPr>
          <w:i/>
          <w:spacing w:val="-4"/>
          <w:lang w:val="en-US"/>
        </w:rPr>
        <w:t xml:space="preserve"> </w:t>
      </w:r>
      <w:r w:rsidRPr="0079515C">
        <w:rPr>
          <w:spacing w:val="-4"/>
          <w:lang w:val="en-US"/>
        </w:rPr>
        <w:t xml:space="preserve">Judgment of November 19, 1999. Series C No. 63, para. </w:t>
      </w:r>
      <w:proofErr w:type="gramStart"/>
      <w:r w:rsidRPr="0079515C">
        <w:rPr>
          <w:spacing w:val="-4"/>
          <w:lang w:val="en-US"/>
        </w:rPr>
        <w:t>237,</w:t>
      </w:r>
      <w:proofErr w:type="gramEnd"/>
      <w:r w:rsidRPr="0079515C">
        <w:rPr>
          <w:spacing w:val="-4"/>
          <w:lang w:val="en-US"/>
        </w:rPr>
        <w:t xml:space="preserve"> and </w:t>
      </w:r>
      <w:r w:rsidRPr="0079515C">
        <w:rPr>
          <w:i/>
          <w:spacing w:val="-4"/>
          <w:lang w:val="en-US"/>
        </w:rPr>
        <w:t xml:space="preserve">Case of the </w:t>
      </w:r>
      <w:proofErr w:type="spellStart"/>
      <w:r w:rsidRPr="0079515C">
        <w:rPr>
          <w:i/>
          <w:spacing w:val="-4"/>
          <w:lang w:val="en-US"/>
        </w:rPr>
        <w:t>Afrodescendant</w:t>
      </w:r>
      <w:proofErr w:type="spellEnd"/>
      <w:r w:rsidRPr="0079515C">
        <w:rPr>
          <w:i/>
          <w:spacing w:val="-4"/>
          <w:lang w:val="en-US"/>
        </w:rPr>
        <w:t xml:space="preserve"> Communities displaced from the </w:t>
      </w:r>
      <w:proofErr w:type="spellStart"/>
      <w:r w:rsidRPr="0079515C">
        <w:rPr>
          <w:i/>
          <w:spacing w:val="-4"/>
          <w:lang w:val="en-US"/>
        </w:rPr>
        <w:t>Cacarica</w:t>
      </w:r>
      <w:proofErr w:type="spellEnd"/>
      <w:r w:rsidRPr="0079515C">
        <w:rPr>
          <w:i/>
          <w:spacing w:val="-4"/>
          <w:lang w:val="en-US"/>
        </w:rPr>
        <w:t xml:space="preserve"> River Basin (Operation Genesis) v. Colombia. </w:t>
      </w:r>
      <w:proofErr w:type="gramStart"/>
      <w:r w:rsidRPr="0079515C">
        <w:rPr>
          <w:i/>
          <w:spacing w:val="-4"/>
          <w:lang w:val="en-US"/>
        </w:rPr>
        <w:t>Preliminary objections, merits, reparations and costs</w:t>
      </w:r>
      <w:r w:rsidRPr="0079515C">
        <w:rPr>
          <w:spacing w:val="-4"/>
          <w:lang w:val="en-US"/>
        </w:rPr>
        <w:t>.</w:t>
      </w:r>
      <w:proofErr w:type="gramEnd"/>
      <w:r w:rsidRPr="0079515C">
        <w:rPr>
          <w:spacing w:val="-4"/>
          <w:lang w:val="en-US"/>
        </w:rPr>
        <w:t xml:space="preserve"> Judgment of November 20, 2013. Series C No. 270, para. 405.</w:t>
      </w:r>
    </w:p>
  </w:footnote>
  <w:footnote w:id="266">
    <w:p w14:paraId="27B7622B" w14:textId="08F71432"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Baena</w:t>
      </w:r>
      <w:proofErr w:type="spellEnd"/>
      <w:r w:rsidRPr="0079515C">
        <w:rPr>
          <w:i/>
          <w:spacing w:val="-4"/>
          <w:lang w:val="en-US"/>
        </w:rPr>
        <w:t xml:space="preserve"> Ricardo et al. v. Panama</w:t>
      </w:r>
      <w:r w:rsidRPr="0079515C">
        <w:rPr>
          <w:spacing w:val="-4"/>
          <w:lang w:val="en-US"/>
        </w:rPr>
        <w:t>.</w:t>
      </w:r>
      <w:proofErr w:type="gramEnd"/>
      <w:r w:rsidRPr="0079515C">
        <w:rPr>
          <w:spacing w:val="-4"/>
          <w:lang w:val="en-US"/>
        </w:rPr>
        <w:t xml:space="preserve"> </w:t>
      </w:r>
      <w:proofErr w:type="gramStart"/>
      <w:r w:rsidRPr="0079515C">
        <w:rPr>
          <w:i/>
          <w:spacing w:val="-4"/>
          <w:lang w:val="en-US"/>
        </w:rPr>
        <w:t>Jurisdiction.</w:t>
      </w:r>
      <w:proofErr w:type="gramEnd"/>
      <w:r w:rsidRPr="0079515C">
        <w:rPr>
          <w:i/>
          <w:spacing w:val="-4"/>
          <w:lang w:val="en-US"/>
        </w:rPr>
        <w:t xml:space="preserve"> </w:t>
      </w:r>
      <w:r w:rsidRPr="0079515C">
        <w:rPr>
          <w:spacing w:val="-4"/>
          <w:lang w:val="en-US"/>
        </w:rPr>
        <w:t xml:space="preserve">Judgment of November 28, 2003. Series C No. 104, para. </w:t>
      </w:r>
      <w:proofErr w:type="gramStart"/>
      <w:r w:rsidRPr="0079515C">
        <w:rPr>
          <w:spacing w:val="-4"/>
          <w:lang w:val="en-US"/>
        </w:rPr>
        <w:t>79,</w:t>
      </w:r>
      <w:proofErr w:type="gramEnd"/>
      <w:r w:rsidRPr="0079515C">
        <w:rPr>
          <w:spacing w:val="-4"/>
          <w:lang w:val="en-US"/>
        </w:rPr>
        <w:t xml:space="preserve"> and </w:t>
      </w:r>
      <w:r w:rsidRPr="0079515C">
        <w:rPr>
          <w:i/>
          <w:spacing w:val="-4"/>
          <w:lang w:val="en-US"/>
        </w:rPr>
        <w:t xml:space="preserve">Case of the </w:t>
      </w:r>
      <w:proofErr w:type="spellStart"/>
      <w:r w:rsidRPr="0079515C">
        <w:rPr>
          <w:i/>
          <w:spacing w:val="-4"/>
          <w:lang w:val="en-US"/>
        </w:rPr>
        <w:t>Afrodescendant</w:t>
      </w:r>
      <w:proofErr w:type="spellEnd"/>
      <w:r w:rsidRPr="0079515C">
        <w:rPr>
          <w:i/>
          <w:spacing w:val="-4"/>
          <w:lang w:val="en-US"/>
        </w:rPr>
        <w:t xml:space="preserve"> Communities displaced from the </w:t>
      </w:r>
      <w:proofErr w:type="spellStart"/>
      <w:r w:rsidRPr="0079515C">
        <w:rPr>
          <w:i/>
          <w:spacing w:val="-4"/>
          <w:lang w:val="en-US"/>
        </w:rPr>
        <w:t>Cacarica</w:t>
      </w:r>
      <w:proofErr w:type="spellEnd"/>
      <w:r w:rsidRPr="0079515C">
        <w:rPr>
          <w:i/>
          <w:spacing w:val="-4"/>
          <w:lang w:val="en-US"/>
        </w:rPr>
        <w:t xml:space="preserve"> River Basin (Operation Genesis) v. Colombia, supra</w:t>
      </w:r>
      <w:r w:rsidRPr="0079515C">
        <w:rPr>
          <w:spacing w:val="-4"/>
          <w:lang w:val="en-US"/>
        </w:rPr>
        <w:t>, para. 405.</w:t>
      </w:r>
    </w:p>
  </w:footnote>
  <w:footnote w:id="267">
    <w:p w14:paraId="413DDB1F" w14:textId="7235B10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spacing w:val="-4"/>
          <w:lang w:val="en-US"/>
        </w:rPr>
        <w:t>Case of Acevedo Jaramillo et al. v. Peru.</w:t>
      </w:r>
      <w:proofErr w:type="gramEnd"/>
      <w:r w:rsidRPr="0079515C">
        <w:rPr>
          <w:i/>
          <w:spacing w:val="-4"/>
          <w:lang w:val="en-US"/>
        </w:rPr>
        <w:t xml:space="preserve"> </w:t>
      </w:r>
      <w:proofErr w:type="gramStart"/>
      <w:r w:rsidRPr="0079515C">
        <w:rPr>
          <w:i/>
          <w:spacing w:val="-4"/>
          <w:lang w:val="en-US"/>
        </w:rPr>
        <w:t>Preliminary objections, merits, reparations and costs.</w:t>
      </w:r>
      <w:proofErr w:type="gramEnd"/>
      <w:r w:rsidRPr="0079515C">
        <w:rPr>
          <w:i/>
          <w:spacing w:val="-4"/>
          <w:lang w:val="en-US"/>
        </w:rPr>
        <w:t xml:space="preserve"> </w:t>
      </w:r>
      <w:r w:rsidRPr="0079515C">
        <w:rPr>
          <w:spacing w:val="-4"/>
          <w:lang w:val="en-US"/>
        </w:rPr>
        <w:t xml:space="preserve">Judgment of February 7, 2006. Series C No. 144, para. </w:t>
      </w:r>
      <w:proofErr w:type="gramStart"/>
      <w:r w:rsidRPr="0079515C">
        <w:rPr>
          <w:spacing w:val="-4"/>
          <w:lang w:val="en-US"/>
        </w:rPr>
        <w:t>167,</w:t>
      </w:r>
      <w:proofErr w:type="gramEnd"/>
      <w:r w:rsidRPr="0079515C">
        <w:rPr>
          <w:spacing w:val="-4"/>
          <w:lang w:val="en-US"/>
        </w:rPr>
        <w:t xml:space="preserve"> and </w:t>
      </w:r>
      <w:r w:rsidRPr="0079515C">
        <w:rPr>
          <w:i/>
          <w:spacing w:val="-4"/>
          <w:lang w:val="en-US"/>
        </w:rPr>
        <w:t xml:space="preserve">Case of the </w:t>
      </w:r>
      <w:proofErr w:type="spellStart"/>
      <w:r w:rsidRPr="0079515C">
        <w:rPr>
          <w:i/>
          <w:spacing w:val="-4"/>
          <w:lang w:val="en-US"/>
        </w:rPr>
        <w:t>Afrodescendant</w:t>
      </w:r>
      <w:proofErr w:type="spellEnd"/>
      <w:r w:rsidRPr="0079515C">
        <w:rPr>
          <w:i/>
          <w:spacing w:val="-4"/>
          <w:lang w:val="en-US"/>
        </w:rPr>
        <w:t xml:space="preserve"> Communities displaced from the </w:t>
      </w:r>
      <w:proofErr w:type="spellStart"/>
      <w:r w:rsidRPr="0079515C">
        <w:rPr>
          <w:i/>
          <w:spacing w:val="-4"/>
          <w:lang w:val="en-US"/>
        </w:rPr>
        <w:t>Cacarica</w:t>
      </w:r>
      <w:proofErr w:type="spellEnd"/>
      <w:r w:rsidRPr="0079515C">
        <w:rPr>
          <w:i/>
          <w:spacing w:val="-4"/>
          <w:lang w:val="en-US"/>
        </w:rPr>
        <w:t xml:space="preserve"> River Basin (Operation Genesis) v. Colombia, supra</w:t>
      </w:r>
      <w:r w:rsidRPr="0079515C">
        <w:rPr>
          <w:spacing w:val="-4"/>
          <w:lang w:val="en-US"/>
        </w:rPr>
        <w:t>, para. 405.</w:t>
      </w:r>
    </w:p>
  </w:footnote>
  <w:footnote w:id="268">
    <w:p w14:paraId="7D0C0362" w14:textId="6D911D4E"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spacing w:val="-4"/>
          <w:lang w:val="en-US"/>
        </w:rPr>
        <w:t>Case of Cantos v. Argentina.</w:t>
      </w:r>
      <w:proofErr w:type="gramEnd"/>
      <w:r w:rsidRPr="0079515C">
        <w:rPr>
          <w:i/>
          <w:spacing w:val="-4"/>
          <w:lang w:val="en-US"/>
        </w:rPr>
        <w:t xml:space="preserve"> </w:t>
      </w:r>
      <w:proofErr w:type="gramStart"/>
      <w:r w:rsidRPr="0079515C">
        <w:rPr>
          <w:i/>
          <w:spacing w:val="-4"/>
          <w:lang w:val="en-US"/>
        </w:rPr>
        <w:t>Merits, reparations and costs.</w:t>
      </w:r>
      <w:proofErr w:type="gramEnd"/>
      <w:r w:rsidRPr="0079515C">
        <w:rPr>
          <w:i/>
          <w:spacing w:val="-4"/>
          <w:lang w:val="en-US"/>
        </w:rPr>
        <w:t xml:space="preserve"> </w:t>
      </w:r>
      <w:r>
        <w:rPr>
          <w:spacing w:val="-4"/>
          <w:lang w:val="en-US"/>
        </w:rPr>
        <w:t>Judgment of</w:t>
      </w:r>
      <w:r w:rsidRPr="0079515C">
        <w:rPr>
          <w:spacing w:val="-4"/>
          <w:lang w:val="en-US"/>
        </w:rPr>
        <w:t xml:space="preserve"> November 28, 2002. Series C No. 97, para. </w:t>
      </w:r>
      <w:proofErr w:type="gramStart"/>
      <w:r w:rsidRPr="0079515C">
        <w:rPr>
          <w:spacing w:val="-4"/>
          <w:lang w:val="en-US"/>
        </w:rPr>
        <w:t>54,</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Mémoli</w:t>
      </w:r>
      <w:proofErr w:type="spellEnd"/>
      <w:r w:rsidRPr="0079515C">
        <w:rPr>
          <w:i/>
          <w:spacing w:val="-4"/>
          <w:lang w:val="en-US"/>
        </w:rPr>
        <w:t xml:space="preserve"> v. Argentina. </w:t>
      </w:r>
      <w:proofErr w:type="gramStart"/>
      <w:r w:rsidRPr="0079515C">
        <w:rPr>
          <w:i/>
          <w:spacing w:val="-4"/>
          <w:lang w:val="en-US"/>
        </w:rPr>
        <w:t>Preliminary objections, merits, reparations and costs.</w:t>
      </w:r>
      <w:proofErr w:type="gramEnd"/>
      <w:r w:rsidRPr="0079515C">
        <w:rPr>
          <w:i/>
          <w:spacing w:val="-4"/>
          <w:lang w:val="en-US"/>
        </w:rPr>
        <w:t xml:space="preserve"> </w:t>
      </w:r>
      <w:r w:rsidRPr="0079515C">
        <w:rPr>
          <w:spacing w:val="-4"/>
          <w:lang w:val="en-US"/>
        </w:rPr>
        <w:t xml:space="preserve">Series C No. 265, para. </w:t>
      </w:r>
      <w:r w:rsidRPr="0039093A">
        <w:rPr>
          <w:spacing w:val="-4"/>
        </w:rPr>
        <w:t>193.</w:t>
      </w:r>
    </w:p>
  </w:footnote>
  <w:footnote w:id="269">
    <w:p w14:paraId="50EABF9C" w14:textId="32B44075"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 xml:space="preserve">Cf. Case of Baena Ricardo et al. v. </w:t>
      </w:r>
      <w:proofErr w:type="spellStart"/>
      <w:r w:rsidRPr="0039093A">
        <w:rPr>
          <w:i/>
          <w:spacing w:val="-4"/>
        </w:rPr>
        <w:t>Panama</w:t>
      </w:r>
      <w:proofErr w:type="spellEnd"/>
      <w:r w:rsidRPr="0039093A">
        <w:rPr>
          <w:spacing w:val="-4"/>
        </w:rPr>
        <w:t xml:space="preserve">. </w:t>
      </w:r>
      <w:proofErr w:type="spellStart"/>
      <w:r w:rsidRPr="0039093A">
        <w:rPr>
          <w:i/>
          <w:spacing w:val="-4"/>
        </w:rPr>
        <w:t>Jurisdiction</w:t>
      </w:r>
      <w:proofErr w:type="spellEnd"/>
      <w:r w:rsidRPr="0039093A">
        <w:rPr>
          <w:i/>
          <w:spacing w:val="-4"/>
        </w:rPr>
        <w:t>, supra</w:t>
      </w:r>
      <w:r w:rsidRPr="0039093A">
        <w:rPr>
          <w:spacing w:val="-4"/>
        </w:rPr>
        <w:t xml:space="preserve">, para. </w:t>
      </w:r>
      <w:proofErr w:type="gramStart"/>
      <w:r w:rsidRPr="0079515C">
        <w:rPr>
          <w:spacing w:val="-4"/>
          <w:lang w:val="en-US"/>
        </w:rPr>
        <w:t>79,</w:t>
      </w:r>
      <w:proofErr w:type="gramEnd"/>
      <w:r w:rsidRPr="0079515C">
        <w:rPr>
          <w:spacing w:val="-4"/>
          <w:lang w:val="en-US"/>
        </w:rPr>
        <w:t xml:space="preserve"> and </w:t>
      </w:r>
      <w:r w:rsidRPr="0079515C">
        <w:rPr>
          <w:i/>
          <w:spacing w:val="-4"/>
          <w:lang w:val="en-US"/>
        </w:rPr>
        <w:t xml:space="preserve">Case of the </w:t>
      </w:r>
      <w:proofErr w:type="spellStart"/>
      <w:r w:rsidRPr="0079515C">
        <w:rPr>
          <w:i/>
          <w:spacing w:val="-4"/>
          <w:lang w:val="en-US"/>
        </w:rPr>
        <w:t>Afrodescendant</w:t>
      </w:r>
      <w:proofErr w:type="spellEnd"/>
      <w:r w:rsidRPr="0079515C">
        <w:rPr>
          <w:i/>
          <w:spacing w:val="-4"/>
          <w:lang w:val="en-US"/>
        </w:rPr>
        <w:t xml:space="preserve"> Communities displaced from the </w:t>
      </w:r>
      <w:proofErr w:type="spellStart"/>
      <w:r w:rsidRPr="0079515C">
        <w:rPr>
          <w:i/>
          <w:spacing w:val="-4"/>
          <w:lang w:val="en-US"/>
        </w:rPr>
        <w:t>Cacarica</w:t>
      </w:r>
      <w:proofErr w:type="spellEnd"/>
      <w:r w:rsidRPr="0079515C">
        <w:rPr>
          <w:i/>
          <w:spacing w:val="-4"/>
          <w:lang w:val="en-US"/>
        </w:rPr>
        <w:t xml:space="preserve"> River Basin (Operation Genesis) v. Colombia, supra</w:t>
      </w:r>
      <w:r w:rsidRPr="0079515C">
        <w:rPr>
          <w:spacing w:val="-4"/>
          <w:lang w:val="en-US"/>
        </w:rPr>
        <w:t xml:space="preserve">, para. </w:t>
      </w:r>
      <w:r w:rsidRPr="0039093A">
        <w:rPr>
          <w:spacing w:val="-4"/>
        </w:rPr>
        <w:t>405.</w:t>
      </w:r>
    </w:p>
  </w:footnote>
  <w:footnote w:id="270">
    <w:p w14:paraId="58C5AAFF" w14:textId="0E89E40B"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 xml:space="preserve">Cf. Case of Acevedo Jaramillo et al. v. </w:t>
      </w:r>
      <w:proofErr w:type="spellStart"/>
      <w:r w:rsidRPr="0039093A">
        <w:rPr>
          <w:i/>
          <w:spacing w:val="-4"/>
        </w:rPr>
        <w:t>Peru</w:t>
      </w:r>
      <w:proofErr w:type="spellEnd"/>
      <w:r w:rsidRPr="0039093A">
        <w:rPr>
          <w:i/>
          <w:spacing w:val="-4"/>
        </w:rPr>
        <w:t>, supra</w:t>
      </w:r>
      <w:r w:rsidRPr="0039093A">
        <w:rPr>
          <w:spacing w:val="-4"/>
        </w:rPr>
        <w:t>, para. 220.</w:t>
      </w:r>
    </w:p>
  </w:footnote>
  <w:footnote w:id="271">
    <w:p w14:paraId="323DE4FC" w14:textId="34E948FC" w:rsidR="002306C1" w:rsidRPr="0079515C" w:rsidRDefault="002306C1" w:rsidP="00853044">
      <w:pPr>
        <w:pStyle w:val="FootnoteText"/>
        <w:tabs>
          <w:tab w:val="clear" w:pos="567"/>
          <w:tab w:val="left" w:pos="426"/>
        </w:tabs>
        <w:spacing w:before="120" w:after="120"/>
        <w:rPr>
          <w:i/>
          <w:spacing w:val="-4"/>
          <w:lang w:val="en-US"/>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 xml:space="preserve">Cf. Case of Baena Ricardo et al. v. </w:t>
      </w:r>
      <w:proofErr w:type="spellStart"/>
      <w:r w:rsidRPr="0039093A">
        <w:rPr>
          <w:i/>
          <w:spacing w:val="-4"/>
        </w:rPr>
        <w:t>Panama</w:t>
      </w:r>
      <w:proofErr w:type="spellEnd"/>
      <w:r w:rsidRPr="0039093A">
        <w:rPr>
          <w:spacing w:val="-4"/>
        </w:rPr>
        <w:t xml:space="preserve">. </w:t>
      </w:r>
      <w:proofErr w:type="spellStart"/>
      <w:r w:rsidRPr="0039093A">
        <w:rPr>
          <w:i/>
          <w:spacing w:val="-4"/>
        </w:rPr>
        <w:t>Jurisdiction</w:t>
      </w:r>
      <w:proofErr w:type="spellEnd"/>
      <w:r w:rsidRPr="0039093A">
        <w:rPr>
          <w:i/>
          <w:spacing w:val="-4"/>
        </w:rPr>
        <w:t>, supra</w:t>
      </w:r>
      <w:r w:rsidRPr="0039093A">
        <w:rPr>
          <w:spacing w:val="-4"/>
        </w:rPr>
        <w:t xml:space="preserve">, para. </w:t>
      </w:r>
      <w:proofErr w:type="gramStart"/>
      <w:r w:rsidRPr="0079515C">
        <w:rPr>
          <w:spacing w:val="-4"/>
          <w:lang w:val="en-US"/>
        </w:rPr>
        <w:t>73,</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Liakat</w:t>
      </w:r>
      <w:proofErr w:type="spellEnd"/>
      <w:r w:rsidRPr="0079515C">
        <w:rPr>
          <w:i/>
          <w:spacing w:val="-4"/>
          <w:lang w:val="en-US"/>
        </w:rPr>
        <w:t xml:space="preserve"> Ali </w:t>
      </w:r>
      <w:proofErr w:type="spellStart"/>
      <w:r w:rsidRPr="0079515C">
        <w:rPr>
          <w:i/>
          <w:spacing w:val="-4"/>
          <w:lang w:val="en-US"/>
        </w:rPr>
        <w:t>Alibux</w:t>
      </w:r>
      <w:proofErr w:type="spellEnd"/>
      <w:r w:rsidRPr="0079515C">
        <w:rPr>
          <w:i/>
          <w:spacing w:val="-4"/>
          <w:lang w:val="en-US"/>
        </w:rPr>
        <w:t xml:space="preserve"> v. Suriname. </w:t>
      </w:r>
      <w:proofErr w:type="gramStart"/>
      <w:r w:rsidRPr="0079515C">
        <w:rPr>
          <w:i/>
          <w:spacing w:val="-4"/>
          <w:lang w:val="en-US"/>
        </w:rPr>
        <w:t>Preliminary objections, merits, reparations and costs.</w:t>
      </w:r>
      <w:proofErr w:type="gramEnd"/>
      <w:r w:rsidRPr="0079515C">
        <w:rPr>
          <w:i/>
          <w:spacing w:val="-4"/>
          <w:lang w:val="en-US"/>
        </w:rPr>
        <w:t xml:space="preserve"> </w:t>
      </w:r>
      <w:r w:rsidRPr="0079515C">
        <w:rPr>
          <w:spacing w:val="-4"/>
          <w:lang w:val="en-US"/>
        </w:rPr>
        <w:t>Judgment of January 30, 2014. Series C No. 276, para. 33.</w:t>
      </w:r>
    </w:p>
  </w:footnote>
  <w:footnote w:id="272">
    <w:p w14:paraId="0B86640D" w14:textId="7FF0CE0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Judgment of the Constitutional Court of May 24, 2011 (evidence file, folios 278 and 279).</w:t>
      </w:r>
      <w:proofErr w:type="gramEnd"/>
    </w:p>
  </w:footnote>
  <w:footnote w:id="273">
    <w:p w14:paraId="3DB90BA8" w14:textId="6569181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Ruling of the Constitutional Court of June 9, 2011 (evidence file, folio 297).</w:t>
      </w:r>
      <w:proofErr w:type="gramEnd"/>
    </w:p>
  </w:footnote>
  <w:footnote w:id="274">
    <w:p w14:paraId="7F010A10" w14:textId="12FDAE13"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Decision of the Seventh Criminal Court of El Callao of March 10, 2014 (evidence file, folio 6462).</w:t>
      </w:r>
    </w:p>
  </w:footnote>
  <w:footnote w:id="275">
    <w:p w14:paraId="65EC0670" w14:textId="165ECCE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The Supreme Court indicated, when it was asked to issue a complementary</w:t>
      </w:r>
      <w:r>
        <w:rPr>
          <w:spacing w:val="-4"/>
          <w:lang w:val="en-US"/>
        </w:rPr>
        <w:t xml:space="preserve"> advisory decision, that, “in fact, there have</w:t>
      </w:r>
      <w:r w:rsidRPr="0079515C">
        <w:rPr>
          <w:spacing w:val="-4"/>
          <w:lang w:val="en-US"/>
        </w:rPr>
        <w:t xml:space="preserve"> been two final decision, one of an advisory nature (of the Judiciary) and the other of a binding nature (of the Constitutional Court), that the Executive Branch must comply with, taking into account the legal provisions (article 113 of the Code of Constitutional Procedure).” </w:t>
      </w:r>
      <w:proofErr w:type="gramStart"/>
      <w:r w:rsidRPr="0079515C">
        <w:rPr>
          <w:spacing w:val="-4"/>
          <w:lang w:val="en-US"/>
        </w:rPr>
        <w:t>Decision of the Permanent Criminal Chamber of the Supreme Court of Justice March 14, 2012 (evidence file, folio 372 and 373).</w:t>
      </w:r>
      <w:proofErr w:type="gramEnd"/>
      <w:r w:rsidRPr="0079515C">
        <w:rPr>
          <w:spacing w:val="-4"/>
          <w:lang w:val="en-US"/>
        </w:rPr>
        <w:t xml:space="preserve"> This article establishes: “Article 113. Effects of Judgments: The court’s judgments are binding on the public authorities and shall have full effects for all of them. They determine the State branches or entities to which the disputed attributes and jurisdictions correspond, and annul unlawful provisions, decisions or acts. In addition, they decide, when appropriate, what is admissible in the legal situations produced by such administrative acts. When there is a negative conflict of jurisdictions or attributes, the</w:t>
      </w:r>
      <w:r>
        <w:rPr>
          <w:spacing w:val="-4"/>
          <w:lang w:val="en-US"/>
        </w:rPr>
        <w:t xml:space="preserve"> judgment, in addition to deciding</w:t>
      </w:r>
      <w:r w:rsidRPr="0079515C">
        <w:rPr>
          <w:spacing w:val="-4"/>
          <w:lang w:val="en-US"/>
        </w:rPr>
        <w:t xml:space="preserve"> the appropriate responsibility, may indicate, as appropriate, a time frame within which the State branch or entity </w:t>
      </w:r>
      <w:r>
        <w:rPr>
          <w:spacing w:val="-4"/>
          <w:lang w:val="en-US"/>
        </w:rPr>
        <w:t>in question should exercise this</w:t>
      </w:r>
      <w:r w:rsidRPr="0079515C">
        <w:rPr>
          <w:spacing w:val="-4"/>
          <w:lang w:val="en-US"/>
        </w:rPr>
        <w:t xml:space="preserve">.” </w:t>
      </w:r>
      <w:proofErr w:type="gramStart"/>
      <w:r w:rsidRPr="0079515C">
        <w:rPr>
          <w:spacing w:val="-4"/>
          <w:lang w:val="en-US"/>
        </w:rPr>
        <w:t>Code of Constitutional Procedure (evidence file, folio 8587).</w:t>
      </w:r>
      <w:proofErr w:type="gramEnd"/>
      <w:r w:rsidRPr="0079515C">
        <w:rPr>
          <w:color w:val="008000"/>
          <w:spacing w:val="-4"/>
          <w:lang w:val="en-US"/>
        </w:rPr>
        <w:t xml:space="preserve">  </w:t>
      </w:r>
    </w:p>
  </w:footnote>
  <w:footnote w:id="276">
    <w:p w14:paraId="2ABFF5FE" w14:textId="5451E38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On that occasion, the </w:t>
      </w:r>
      <w:r>
        <w:rPr>
          <w:spacing w:val="-4"/>
          <w:lang w:val="en-US"/>
        </w:rPr>
        <w:t xml:space="preserve">said </w:t>
      </w:r>
      <w:r w:rsidRPr="0079515C">
        <w:rPr>
          <w:spacing w:val="-4"/>
          <w:lang w:val="en-US"/>
        </w:rPr>
        <w:t>attorney expressly asked if it was possible to extradite Wong Ho Wing for the offense of bribery, for which the death penalty was not established, taking into account that “since the Constitutional Court</w:t>
      </w:r>
      <w:r>
        <w:rPr>
          <w:spacing w:val="-4"/>
          <w:lang w:val="en-US"/>
        </w:rPr>
        <w:t>’s judgment</w:t>
      </w:r>
      <w:r w:rsidRPr="0079515C">
        <w:rPr>
          <w:spacing w:val="-4"/>
          <w:lang w:val="en-US"/>
        </w:rPr>
        <w:t xml:space="preserve"> makes no distinction between the offenses that </w:t>
      </w:r>
      <w:r>
        <w:rPr>
          <w:spacing w:val="-4"/>
          <w:lang w:val="en-US"/>
        </w:rPr>
        <w:t>result in protection by</w:t>
      </w:r>
      <w:r w:rsidRPr="0079515C">
        <w:rPr>
          <w:spacing w:val="-4"/>
          <w:lang w:val="en-US"/>
        </w:rPr>
        <w:t xml:space="preserve"> the judgment, the extradition</w:t>
      </w:r>
      <w:r>
        <w:rPr>
          <w:spacing w:val="-4"/>
          <w:lang w:val="en-US"/>
        </w:rPr>
        <w:t xml:space="preserve"> can be carried out</w:t>
      </w:r>
      <w:r w:rsidRPr="0079515C">
        <w:rPr>
          <w:spacing w:val="-4"/>
          <w:lang w:val="en-US"/>
        </w:rPr>
        <w:t xml:space="preserve"> for the offense that does not entail the risk</w:t>
      </w:r>
      <w:r w:rsidRPr="0079515C">
        <w:rPr>
          <w:rFonts w:cs="Times New Roman"/>
          <w:spacing w:val="-4"/>
          <w:lang w:val="en-US"/>
        </w:rPr>
        <w:t xml:space="preserve"> of the death penalty and, in that eventuality, the </w:t>
      </w:r>
      <w:r>
        <w:rPr>
          <w:rFonts w:cs="Times New Roman"/>
          <w:spacing w:val="-4"/>
          <w:lang w:val="en-US"/>
        </w:rPr>
        <w:t xml:space="preserve">State’s </w:t>
      </w:r>
      <w:r w:rsidRPr="0079515C">
        <w:rPr>
          <w:rFonts w:cs="Times New Roman"/>
          <w:spacing w:val="-4"/>
          <w:lang w:val="en-US"/>
        </w:rPr>
        <w:t>action would be aligned with the execution of the Constitutional Court</w:t>
      </w:r>
      <w:r>
        <w:rPr>
          <w:rFonts w:cs="Times New Roman"/>
          <w:spacing w:val="-4"/>
          <w:lang w:val="en-US"/>
        </w:rPr>
        <w:t>’s judgment</w:t>
      </w:r>
      <w:r w:rsidRPr="0079515C">
        <w:rPr>
          <w:rFonts w:cs="Times New Roman"/>
          <w:spacing w:val="-4"/>
          <w:lang w:val="en-US"/>
        </w:rPr>
        <w:t>.</w:t>
      </w:r>
      <w:r w:rsidRPr="0079515C">
        <w:rPr>
          <w:spacing w:val="-4"/>
          <w:lang w:val="en-US"/>
        </w:rPr>
        <w:t xml:space="preserve">” </w:t>
      </w:r>
      <w:proofErr w:type="gramStart"/>
      <w:r w:rsidRPr="0079515C">
        <w:rPr>
          <w:spacing w:val="-4"/>
          <w:lang w:val="en-US"/>
        </w:rPr>
        <w:t>Judgment of the Constitutional Court of March 12, 2013 (evidence file, folio 376).</w:t>
      </w:r>
      <w:proofErr w:type="gramEnd"/>
    </w:p>
  </w:footnote>
  <w:footnote w:id="277">
    <w:p w14:paraId="214CDC0E" w14:textId="4E98F90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Ruling of the Constitutional Court of May 24, 2011 (evidence file, folio 280), and ruling of the Constitutional Court of June 9, 2011 (evidence file, folio 302).</w:t>
      </w:r>
      <w:proofErr w:type="gramEnd"/>
    </w:p>
  </w:footnote>
  <w:footnote w:id="278">
    <w:p w14:paraId="1CA2C334" w14:textId="566A1C0D" w:rsidR="002306C1" w:rsidRPr="0079515C" w:rsidRDefault="002306C1" w:rsidP="00DC784C">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Regarding the reasons why the diplomatic assurances granted by the People’s Republic of China had been considered insufficient, the Constitutional Court noted in its ruling of June 9, 2011, that “when the [Judgment] was delivered, the case file did not contain any of the diplomatic assurances to which […] the public attorney petitioner referred”; rather, “[t]he only documents it had were informative diplomatic notes” on the annulment of the death penalty for the offense of sm</w:t>
      </w:r>
      <w:r>
        <w:rPr>
          <w:spacing w:val="-4"/>
          <w:lang w:val="en-US"/>
        </w:rPr>
        <w:t>uggling ordinary merchandise. The Constitutional Court</w:t>
      </w:r>
      <w:r w:rsidRPr="0079515C">
        <w:rPr>
          <w:spacing w:val="-4"/>
          <w:lang w:val="en-US"/>
        </w:rPr>
        <w:t xml:space="preserve"> indicated that it became aware of the existence of diplomatic assurances through the Inter-American Court’s order on provisional measures of May 28, 2010, but that these were</w:t>
      </w:r>
      <w:r>
        <w:rPr>
          <w:spacing w:val="-4"/>
          <w:lang w:val="en-US"/>
        </w:rPr>
        <w:t xml:space="preserve"> “insufficient or inappropriate</w:t>
      </w:r>
      <w:r w:rsidRPr="0079515C">
        <w:rPr>
          <w:spacing w:val="-4"/>
          <w:lang w:val="en-US"/>
        </w:rPr>
        <w:t xml:space="preserve"> because</w:t>
      </w:r>
      <w:r>
        <w:rPr>
          <w:spacing w:val="-4"/>
          <w:lang w:val="en-US"/>
        </w:rPr>
        <w:t>, since it was</w:t>
      </w:r>
      <w:r w:rsidRPr="0079515C">
        <w:rPr>
          <w:spacing w:val="-4"/>
          <w:lang w:val="en-US"/>
        </w:rPr>
        <w:t xml:space="preserve"> unaware of th</w:t>
      </w:r>
      <w:r>
        <w:rPr>
          <w:spacing w:val="-4"/>
          <w:lang w:val="en-US"/>
        </w:rPr>
        <w:t xml:space="preserve">e content of the said documents, </w:t>
      </w:r>
      <w:r w:rsidRPr="0079515C">
        <w:rPr>
          <w:spacing w:val="-4"/>
          <w:lang w:val="en-US"/>
        </w:rPr>
        <w:t xml:space="preserve">and </w:t>
      </w:r>
      <w:r>
        <w:rPr>
          <w:spacing w:val="-4"/>
          <w:lang w:val="en-US"/>
        </w:rPr>
        <w:t xml:space="preserve">since </w:t>
      </w:r>
      <w:r w:rsidRPr="0079515C">
        <w:rPr>
          <w:spacing w:val="-4"/>
          <w:lang w:val="en-US"/>
        </w:rPr>
        <w:t xml:space="preserve">the right to life </w:t>
      </w:r>
      <w:r>
        <w:rPr>
          <w:spacing w:val="-4"/>
          <w:lang w:val="en-US"/>
        </w:rPr>
        <w:t>was at stak</w:t>
      </w:r>
      <w:r w:rsidRPr="0079515C">
        <w:rPr>
          <w:spacing w:val="-4"/>
          <w:lang w:val="en-US"/>
        </w:rPr>
        <w:t xml:space="preserve">e, mere information on the amendment made in the objective criminal law of the People’s Republic </w:t>
      </w:r>
      <w:r>
        <w:rPr>
          <w:spacing w:val="-4"/>
          <w:lang w:val="en-US"/>
        </w:rPr>
        <w:t xml:space="preserve">of </w:t>
      </w:r>
      <w:r w:rsidRPr="0079515C">
        <w:rPr>
          <w:spacing w:val="-4"/>
          <w:lang w:val="en-US"/>
        </w:rPr>
        <w:t>China was not enough; r</w:t>
      </w:r>
      <w:r>
        <w:rPr>
          <w:spacing w:val="-4"/>
          <w:lang w:val="en-US"/>
        </w:rPr>
        <w:t xml:space="preserve">ather, it was necessary that </w:t>
      </w:r>
      <w:r w:rsidRPr="0079515C">
        <w:rPr>
          <w:spacing w:val="-4"/>
          <w:lang w:val="en-US"/>
        </w:rPr>
        <w:t xml:space="preserve">the People’s Republic </w:t>
      </w:r>
      <w:r>
        <w:rPr>
          <w:spacing w:val="-4"/>
          <w:lang w:val="en-US"/>
        </w:rPr>
        <w:t xml:space="preserve">of </w:t>
      </w:r>
      <w:r w:rsidRPr="0079515C">
        <w:rPr>
          <w:spacing w:val="-4"/>
          <w:lang w:val="en-US"/>
        </w:rPr>
        <w:t xml:space="preserve">China certify that, in no circumstance, would the death penalty be applied to the beneficiary of the </w:t>
      </w:r>
      <w:r w:rsidRPr="0079515C">
        <w:rPr>
          <w:i/>
          <w:spacing w:val="-4"/>
          <w:lang w:val="en-US"/>
        </w:rPr>
        <w:t>habeas corpus</w:t>
      </w:r>
      <w:r w:rsidRPr="0079515C">
        <w:rPr>
          <w:spacing w:val="-4"/>
          <w:lang w:val="en-US"/>
        </w:rPr>
        <w:t xml:space="preserve">. Therefore, in Decision No. 11 of the STC 2278-2010-PHC/TC, it </w:t>
      </w:r>
      <w:proofErr w:type="gramStart"/>
      <w:r w:rsidRPr="0079515C">
        <w:rPr>
          <w:spacing w:val="-4"/>
          <w:lang w:val="en-US"/>
        </w:rPr>
        <w:t>regret[</w:t>
      </w:r>
      <w:proofErr w:type="gramEnd"/>
      <w:r w:rsidRPr="0079515C">
        <w:rPr>
          <w:spacing w:val="-4"/>
          <w:lang w:val="en-US"/>
        </w:rPr>
        <w:t>ted] that the information provided concerning the legislative amendment did not specify ‘whether the Constitution of the Peopl</w:t>
      </w:r>
      <w:r>
        <w:rPr>
          <w:spacing w:val="-4"/>
          <w:lang w:val="en-US"/>
        </w:rPr>
        <w:t>e’s Republic of China recognized</w:t>
      </w:r>
      <w:r w:rsidRPr="0079515C">
        <w:rPr>
          <w:spacing w:val="-4"/>
          <w:lang w:val="en-US"/>
        </w:rPr>
        <w:t xml:space="preserve"> the favorable retroactivity of the criminal law.’” </w:t>
      </w:r>
      <w:proofErr w:type="gramStart"/>
      <w:r w:rsidRPr="0079515C">
        <w:rPr>
          <w:spacing w:val="-4"/>
          <w:lang w:val="en-US"/>
        </w:rPr>
        <w:t>Ruling of the Constitutional Court of June 9, 2011 (evidence file, folios 295 and 296).</w:t>
      </w:r>
      <w:proofErr w:type="gramEnd"/>
    </w:p>
  </w:footnote>
  <w:footnote w:id="279">
    <w:p w14:paraId="2B276B9F" w14:textId="1FCE3596"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t xml:space="preserve">Testimony of </w:t>
      </w:r>
      <w:proofErr w:type="spellStart"/>
      <w:r w:rsidRPr="0079515C">
        <w:rPr>
          <w:spacing w:val="-4"/>
          <w:lang w:val="en-US"/>
        </w:rPr>
        <w:t>Víctor</w:t>
      </w:r>
      <w:proofErr w:type="spellEnd"/>
      <w:r w:rsidRPr="0079515C">
        <w:rPr>
          <w:spacing w:val="-4"/>
          <w:lang w:val="en-US"/>
        </w:rPr>
        <w:t xml:space="preserve"> </w:t>
      </w:r>
      <w:proofErr w:type="spellStart"/>
      <w:r w:rsidRPr="0079515C">
        <w:rPr>
          <w:spacing w:val="-4"/>
          <w:lang w:val="en-US"/>
        </w:rPr>
        <w:t>García</w:t>
      </w:r>
      <w:proofErr w:type="spellEnd"/>
      <w:r w:rsidRPr="0079515C">
        <w:rPr>
          <w:spacing w:val="-4"/>
          <w:lang w:val="en-US"/>
        </w:rPr>
        <w:t xml:space="preserve"> </w:t>
      </w:r>
      <w:proofErr w:type="spellStart"/>
      <w:r w:rsidRPr="0079515C">
        <w:rPr>
          <w:spacing w:val="-4"/>
          <w:lang w:val="en-US"/>
        </w:rPr>
        <w:t>Toma</w:t>
      </w:r>
      <w:proofErr w:type="spellEnd"/>
      <w:r w:rsidRPr="0079515C">
        <w:rPr>
          <w:spacing w:val="-4"/>
          <w:lang w:val="en-US"/>
        </w:rPr>
        <w:t xml:space="preserve"> during the public hearing held in this case.</w:t>
      </w:r>
    </w:p>
  </w:footnote>
  <w:footnote w:id="280">
    <w:p w14:paraId="2258826A" w14:textId="4A21CFD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spacing w:val="-4"/>
          <w:lang w:val="en-US"/>
        </w:rPr>
        <w:t xml:space="preserve">Case of </w:t>
      </w:r>
      <w:proofErr w:type="spellStart"/>
      <w:r w:rsidRPr="0079515C">
        <w:rPr>
          <w:i/>
          <w:spacing w:val="-4"/>
          <w:lang w:val="en-US"/>
        </w:rPr>
        <w:t>Vélez</w:t>
      </w:r>
      <w:proofErr w:type="spellEnd"/>
      <w:r w:rsidRPr="0079515C">
        <w:rPr>
          <w:i/>
          <w:spacing w:val="-4"/>
          <w:lang w:val="en-US"/>
        </w:rPr>
        <w:t xml:space="preserve"> </w:t>
      </w:r>
      <w:proofErr w:type="spellStart"/>
      <w:r w:rsidRPr="0079515C">
        <w:rPr>
          <w:i/>
          <w:spacing w:val="-4"/>
          <w:lang w:val="en-US"/>
        </w:rPr>
        <w:t>Loor</w:t>
      </w:r>
      <w:proofErr w:type="spellEnd"/>
      <w:r w:rsidRPr="0079515C">
        <w:rPr>
          <w:i/>
          <w:spacing w:val="-4"/>
          <w:lang w:val="en-US"/>
        </w:rPr>
        <w:t xml:space="preserve"> v. Panama.</w:t>
      </w:r>
      <w:proofErr w:type="gramEnd"/>
      <w:r w:rsidRPr="0079515C">
        <w:rPr>
          <w:i/>
          <w:spacing w:val="-4"/>
          <w:lang w:val="en-US"/>
        </w:rPr>
        <w:t xml:space="preserve"> </w:t>
      </w:r>
      <w:proofErr w:type="gramStart"/>
      <w:r w:rsidRPr="0079515C">
        <w:rPr>
          <w:i/>
          <w:spacing w:val="-4"/>
          <w:lang w:val="en-US"/>
        </w:rPr>
        <w:t>Preliminary objections, merits, reparations and costs.</w:t>
      </w:r>
      <w:proofErr w:type="gramEnd"/>
      <w:r w:rsidRPr="0079515C">
        <w:rPr>
          <w:i/>
          <w:spacing w:val="-4"/>
          <w:lang w:val="en-US"/>
        </w:rPr>
        <w:t xml:space="preserve"> </w:t>
      </w:r>
      <w:r w:rsidRPr="0079515C">
        <w:rPr>
          <w:spacing w:val="-4"/>
          <w:lang w:val="en-US"/>
        </w:rPr>
        <w:t xml:space="preserve">Judgment of November 23, 2010. Series C No. 218, para. 126, and </w:t>
      </w:r>
      <w:r w:rsidRPr="0079515C">
        <w:rPr>
          <w:i/>
          <w:spacing w:val="-4"/>
          <w:lang w:val="en-US"/>
        </w:rPr>
        <w:t xml:space="preserve">Rights and guarantees of children in the context of migration and/or </w:t>
      </w:r>
      <w:r>
        <w:rPr>
          <w:i/>
          <w:spacing w:val="-4"/>
          <w:lang w:val="en-US"/>
        </w:rPr>
        <w:t>in need of</w:t>
      </w:r>
      <w:r w:rsidRPr="0079515C">
        <w:rPr>
          <w:i/>
          <w:spacing w:val="-4"/>
          <w:lang w:val="en-US"/>
        </w:rPr>
        <w:t xml:space="preserve"> international protection, supra</w:t>
      </w:r>
      <w:r w:rsidRPr="0079515C">
        <w:rPr>
          <w:spacing w:val="-4"/>
          <w:lang w:val="en-US"/>
        </w:rPr>
        <w:t>, para. 140.</w:t>
      </w:r>
    </w:p>
  </w:footnote>
  <w:footnote w:id="281">
    <w:p w14:paraId="388FD335" w14:textId="7D2D98C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ECHR, </w:t>
      </w:r>
      <w:r w:rsidRPr="0079515C">
        <w:rPr>
          <w:i/>
          <w:spacing w:val="-4"/>
          <w:lang w:val="en-US"/>
        </w:rPr>
        <w:t>Case of</w:t>
      </w:r>
      <w:r w:rsidRPr="0079515C">
        <w:rPr>
          <w:spacing w:val="-4"/>
          <w:lang w:val="en-US"/>
        </w:rPr>
        <w:t xml:space="preserve"> </w:t>
      </w:r>
      <w:proofErr w:type="spellStart"/>
      <w:r w:rsidRPr="0079515C">
        <w:rPr>
          <w:i/>
          <w:spacing w:val="-4"/>
          <w:lang w:val="en-US"/>
        </w:rPr>
        <w:t>Čonka</w:t>
      </w:r>
      <w:proofErr w:type="spellEnd"/>
      <w:r w:rsidRPr="0079515C">
        <w:rPr>
          <w:i/>
          <w:spacing w:val="-4"/>
          <w:lang w:val="en-US"/>
        </w:rPr>
        <w:t xml:space="preserve"> v. Belgium</w:t>
      </w:r>
      <w:r w:rsidRPr="0079515C">
        <w:rPr>
          <w:spacing w:val="-4"/>
          <w:lang w:val="en-US"/>
        </w:rPr>
        <w:t xml:space="preserve">, No. 51564/99, Judgment of February 5, 2002, </w:t>
      </w:r>
      <w:proofErr w:type="gramStart"/>
      <w:r w:rsidRPr="0079515C">
        <w:rPr>
          <w:spacing w:val="-4"/>
          <w:lang w:val="en-US"/>
        </w:rPr>
        <w:t>para</w:t>
      </w:r>
      <w:proofErr w:type="gramEnd"/>
      <w:r w:rsidRPr="0079515C">
        <w:rPr>
          <w:spacing w:val="-4"/>
          <w:lang w:val="en-US"/>
        </w:rPr>
        <w:t xml:space="preserve">. </w:t>
      </w:r>
      <w:proofErr w:type="gramStart"/>
      <w:r w:rsidRPr="0079515C">
        <w:rPr>
          <w:spacing w:val="-4"/>
          <w:lang w:val="en-US"/>
        </w:rPr>
        <w:t xml:space="preserve">79; </w:t>
      </w:r>
      <w:r w:rsidRPr="0079515C">
        <w:rPr>
          <w:i/>
          <w:spacing w:val="-4"/>
          <w:lang w:val="en-US"/>
        </w:rPr>
        <w:t>Case of</w:t>
      </w:r>
      <w:r w:rsidRPr="0079515C">
        <w:rPr>
          <w:spacing w:val="-4"/>
          <w:lang w:val="en-US"/>
        </w:rPr>
        <w:t xml:space="preserve"> </w:t>
      </w:r>
      <w:proofErr w:type="spellStart"/>
      <w:r w:rsidRPr="0079515C">
        <w:rPr>
          <w:i/>
          <w:spacing w:val="-4"/>
          <w:lang w:val="en-US"/>
        </w:rPr>
        <w:t>Gebremedhin</w:t>
      </w:r>
      <w:proofErr w:type="spellEnd"/>
      <w:r w:rsidRPr="0079515C">
        <w:rPr>
          <w:i/>
          <w:spacing w:val="-4"/>
          <w:lang w:val="en-US"/>
        </w:rPr>
        <w:t xml:space="preserve"> [</w:t>
      </w:r>
      <w:proofErr w:type="spellStart"/>
      <w:r w:rsidRPr="0079515C">
        <w:rPr>
          <w:i/>
          <w:spacing w:val="-4"/>
          <w:lang w:val="en-US"/>
        </w:rPr>
        <w:t>Gaberamadhien</w:t>
      </w:r>
      <w:proofErr w:type="spellEnd"/>
      <w:r w:rsidRPr="0079515C">
        <w:rPr>
          <w:i/>
          <w:spacing w:val="-4"/>
          <w:lang w:val="en-US"/>
        </w:rPr>
        <w:t>] v. France</w:t>
      </w:r>
      <w:r w:rsidRPr="0079515C">
        <w:rPr>
          <w:spacing w:val="-4"/>
          <w:lang w:val="en-US"/>
        </w:rPr>
        <w:t>, No. 25389/05, Judgment of April 26, 2007, para.</w:t>
      </w:r>
      <w:proofErr w:type="gramEnd"/>
      <w:r w:rsidRPr="0079515C">
        <w:rPr>
          <w:spacing w:val="-4"/>
          <w:lang w:val="en-US"/>
        </w:rPr>
        <w:t xml:space="preserve"> </w:t>
      </w:r>
      <w:proofErr w:type="gramStart"/>
      <w:r w:rsidRPr="0079515C">
        <w:rPr>
          <w:spacing w:val="-4"/>
          <w:lang w:val="en-US"/>
        </w:rPr>
        <w:t xml:space="preserve">58, and </w:t>
      </w:r>
      <w:r w:rsidRPr="0079515C">
        <w:rPr>
          <w:i/>
          <w:spacing w:val="-4"/>
          <w:lang w:val="en-US"/>
        </w:rPr>
        <w:t>Case of</w:t>
      </w:r>
      <w:r w:rsidRPr="0079515C">
        <w:rPr>
          <w:spacing w:val="-4"/>
          <w:lang w:val="en-US"/>
        </w:rPr>
        <w:t xml:space="preserve"> </w:t>
      </w:r>
      <w:proofErr w:type="spellStart"/>
      <w:r w:rsidRPr="0079515C">
        <w:rPr>
          <w:i/>
          <w:spacing w:val="-4"/>
          <w:lang w:val="en-US"/>
        </w:rPr>
        <w:t>Hirsi</w:t>
      </w:r>
      <w:proofErr w:type="spellEnd"/>
      <w:r w:rsidRPr="0079515C">
        <w:rPr>
          <w:i/>
          <w:spacing w:val="-4"/>
          <w:lang w:val="en-US"/>
        </w:rPr>
        <w:t xml:space="preserve"> </w:t>
      </w:r>
      <w:proofErr w:type="spellStart"/>
      <w:r w:rsidRPr="0079515C">
        <w:rPr>
          <w:i/>
          <w:spacing w:val="-4"/>
          <w:lang w:val="en-US"/>
        </w:rPr>
        <w:t>Jamaa</w:t>
      </w:r>
      <w:proofErr w:type="spellEnd"/>
      <w:r w:rsidRPr="0079515C">
        <w:rPr>
          <w:i/>
          <w:spacing w:val="-4"/>
          <w:lang w:val="en-US"/>
        </w:rPr>
        <w:t xml:space="preserve"> and Others v. Italy </w:t>
      </w:r>
      <w:r w:rsidRPr="0079515C">
        <w:rPr>
          <w:spacing w:val="-4"/>
          <w:lang w:val="en-US"/>
        </w:rPr>
        <w:t>[GS]</w:t>
      </w:r>
      <w:r w:rsidRPr="0079515C">
        <w:rPr>
          <w:i/>
          <w:spacing w:val="-4"/>
          <w:lang w:val="en-US"/>
        </w:rPr>
        <w:t xml:space="preserve">, </w:t>
      </w:r>
      <w:r w:rsidRPr="0079515C">
        <w:rPr>
          <w:spacing w:val="-4"/>
          <w:lang w:val="en-US"/>
        </w:rPr>
        <w:t>No. 27765/09.</w:t>
      </w:r>
      <w:proofErr w:type="gramEnd"/>
      <w:r w:rsidRPr="0079515C">
        <w:rPr>
          <w:spacing w:val="-4"/>
          <w:lang w:val="en-US"/>
        </w:rPr>
        <w:t xml:space="preserve"> </w:t>
      </w:r>
      <w:proofErr w:type="gramStart"/>
      <w:r w:rsidRPr="0079515C">
        <w:rPr>
          <w:spacing w:val="-4"/>
          <w:lang w:val="en-US"/>
        </w:rPr>
        <w:t>Judgment of February 23, 2012, para.</w:t>
      </w:r>
      <w:proofErr w:type="gramEnd"/>
      <w:r w:rsidRPr="0079515C">
        <w:rPr>
          <w:spacing w:val="-4"/>
          <w:lang w:val="en-US"/>
        </w:rPr>
        <w:t xml:space="preserve"> 199.</w:t>
      </w:r>
      <w:r w:rsidRPr="0079515C">
        <w:rPr>
          <w:i/>
          <w:spacing w:val="-4"/>
          <w:lang w:val="en-US"/>
        </w:rPr>
        <w:t xml:space="preserve"> </w:t>
      </w:r>
      <w:r w:rsidRPr="0079515C">
        <w:rPr>
          <w:spacing w:val="-4"/>
          <w:lang w:val="en-US"/>
        </w:rPr>
        <w:t>See also,</w:t>
      </w:r>
      <w:r w:rsidRPr="0079515C">
        <w:rPr>
          <w:i/>
          <w:spacing w:val="-4"/>
          <w:lang w:val="en-US"/>
        </w:rPr>
        <w:t xml:space="preserve"> mutatis </w:t>
      </w:r>
      <w:proofErr w:type="spellStart"/>
      <w:r w:rsidRPr="0079515C">
        <w:rPr>
          <w:i/>
          <w:spacing w:val="-4"/>
          <w:lang w:val="en-US"/>
        </w:rPr>
        <w:t>mutandi</w:t>
      </w:r>
      <w:proofErr w:type="spellEnd"/>
      <w:r w:rsidRPr="0079515C">
        <w:rPr>
          <w:i/>
          <w:spacing w:val="-4"/>
          <w:lang w:val="en-US"/>
        </w:rPr>
        <w:t xml:space="preserve">, Rights and guarantees of children in the context of migration and/or </w:t>
      </w:r>
      <w:r>
        <w:rPr>
          <w:i/>
          <w:spacing w:val="-4"/>
          <w:lang w:val="en-US"/>
        </w:rPr>
        <w:t xml:space="preserve">in need of </w:t>
      </w:r>
      <w:r w:rsidRPr="0079515C">
        <w:rPr>
          <w:i/>
          <w:spacing w:val="-4"/>
          <w:lang w:val="en-US"/>
        </w:rPr>
        <w:t>international protection, supra</w:t>
      </w:r>
      <w:r w:rsidRPr="0079515C">
        <w:rPr>
          <w:spacing w:val="-4"/>
          <w:lang w:val="en-US"/>
        </w:rPr>
        <w:t>, para. 142.</w:t>
      </w:r>
    </w:p>
  </w:footnote>
  <w:footnote w:id="282">
    <w:p w14:paraId="00A662A9" w14:textId="3B023A8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 Case of the Constitutional Court v. Peru.</w:t>
      </w:r>
      <w:proofErr w:type="gramEnd"/>
      <w:r w:rsidRPr="0079515C">
        <w:rPr>
          <w:i/>
          <w:spacing w:val="-4"/>
          <w:lang w:val="en-US"/>
        </w:rPr>
        <w:t xml:space="preserv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January 31, 2001. Series C No. 71, para. </w:t>
      </w:r>
      <w:proofErr w:type="gramStart"/>
      <w:r w:rsidRPr="0079515C">
        <w:rPr>
          <w:spacing w:val="-4"/>
          <w:lang w:val="en-US"/>
        </w:rPr>
        <w:t>71,</w:t>
      </w:r>
      <w:proofErr w:type="gramEnd"/>
      <w:r w:rsidRPr="0079515C">
        <w:rPr>
          <w:spacing w:val="-4"/>
          <w:lang w:val="en-US"/>
        </w:rPr>
        <w:t xml:space="preserve"> and </w:t>
      </w:r>
      <w:r w:rsidRPr="0079515C">
        <w:rPr>
          <w:i/>
          <w:spacing w:val="-4"/>
          <w:lang w:val="en-US"/>
        </w:rPr>
        <w:t xml:space="preserve">Case of Argüelles et al. v. Argentina. </w:t>
      </w:r>
      <w:proofErr w:type="gramStart"/>
      <w:r w:rsidRPr="0079515C">
        <w:rPr>
          <w:i/>
          <w:spacing w:val="-4"/>
          <w:lang w:val="en-US"/>
        </w:rPr>
        <w:t>Preliminary objections, merits, reparations and costs</w:t>
      </w:r>
      <w:r w:rsidRPr="0079515C">
        <w:rPr>
          <w:spacing w:val="-4"/>
          <w:lang w:val="en-US"/>
        </w:rPr>
        <w:t>.</w:t>
      </w:r>
      <w:proofErr w:type="gramEnd"/>
      <w:r w:rsidRPr="0079515C">
        <w:rPr>
          <w:spacing w:val="-4"/>
          <w:lang w:val="en-US"/>
        </w:rPr>
        <w:t xml:space="preserve"> Judgment of November 20, 2014. Series C No. 288, para. 146.</w:t>
      </w:r>
    </w:p>
  </w:footnote>
  <w:footnote w:id="283">
    <w:p w14:paraId="0A23AF09" w14:textId="19E7C48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bCs w:val="0"/>
          <w:i/>
          <w:spacing w:val="-4"/>
          <w:lang w:val="en-US"/>
        </w:rPr>
        <w:t>Cf.</w:t>
      </w:r>
      <w:r w:rsidRPr="0079515C">
        <w:rPr>
          <w:bCs w:val="0"/>
          <w:spacing w:val="-4"/>
          <w:lang w:val="en-US"/>
        </w:rPr>
        <w:t xml:space="preserve"> </w:t>
      </w:r>
      <w:r w:rsidRPr="0079515C">
        <w:rPr>
          <w:bCs w:val="0"/>
          <w:i/>
          <w:spacing w:val="-4"/>
          <w:lang w:val="en-US"/>
        </w:rPr>
        <w:t xml:space="preserve">Case of </w:t>
      </w:r>
      <w:proofErr w:type="spellStart"/>
      <w:r w:rsidRPr="0079515C">
        <w:rPr>
          <w:bCs w:val="0"/>
          <w:i/>
          <w:spacing w:val="-4"/>
          <w:lang w:val="en-US"/>
        </w:rPr>
        <w:t>Vélez</w:t>
      </w:r>
      <w:proofErr w:type="spellEnd"/>
      <w:r w:rsidRPr="0079515C">
        <w:rPr>
          <w:bCs w:val="0"/>
          <w:i/>
          <w:spacing w:val="-4"/>
          <w:lang w:val="en-US"/>
        </w:rPr>
        <w:t xml:space="preserve"> </w:t>
      </w:r>
      <w:proofErr w:type="spellStart"/>
      <w:r w:rsidRPr="0079515C">
        <w:rPr>
          <w:bCs w:val="0"/>
          <w:i/>
          <w:spacing w:val="-4"/>
          <w:lang w:val="en-US"/>
        </w:rPr>
        <w:t>Loor</w:t>
      </w:r>
      <w:proofErr w:type="spellEnd"/>
      <w:r w:rsidRPr="0079515C">
        <w:rPr>
          <w:bCs w:val="0"/>
          <w:i/>
          <w:spacing w:val="-4"/>
          <w:lang w:val="en-US"/>
        </w:rPr>
        <w:t xml:space="preserve"> v. Panama, supra</w:t>
      </w:r>
      <w:r w:rsidRPr="0079515C">
        <w:rPr>
          <w:bCs w:val="0"/>
          <w:spacing w:val="-4"/>
          <w:lang w:val="en-US"/>
        </w:rPr>
        <w:t xml:space="preserve">, para. </w:t>
      </w:r>
      <w:proofErr w:type="gramStart"/>
      <w:r w:rsidRPr="0079515C">
        <w:rPr>
          <w:bCs w:val="0"/>
          <w:spacing w:val="-4"/>
          <w:lang w:val="en-US"/>
        </w:rPr>
        <w:t xml:space="preserve">142; </w:t>
      </w:r>
      <w:r w:rsidRPr="0079515C">
        <w:rPr>
          <w:i/>
          <w:spacing w:val="-4"/>
          <w:lang w:val="en-US"/>
        </w:rPr>
        <w:t xml:space="preserve">Case of the Pacheco </w:t>
      </w:r>
      <w:proofErr w:type="spellStart"/>
      <w:r w:rsidRPr="0079515C">
        <w:rPr>
          <w:i/>
          <w:spacing w:val="-4"/>
          <w:lang w:val="en-US"/>
        </w:rPr>
        <w:t>Tineo</w:t>
      </w:r>
      <w:proofErr w:type="spellEnd"/>
      <w:r w:rsidRPr="0079515C">
        <w:rPr>
          <w:i/>
          <w:spacing w:val="-4"/>
          <w:lang w:val="en-US"/>
        </w:rPr>
        <w:t xml:space="preserve"> Family v. Bolivia, supra</w:t>
      </w:r>
      <w:r w:rsidRPr="0079515C">
        <w:rPr>
          <w:spacing w:val="-4"/>
          <w:lang w:val="en-US"/>
        </w:rPr>
        <w:t>, para.</w:t>
      </w:r>
      <w:proofErr w:type="gramEnd"/>
      <w:r w:rsidRPr="0079515C">
        <w:rPr>
          <w:spacing w:val="-4"/>
          <w:lang w:val="en-US"/>
        </w:rPr>
        <w:t xml:space="preserve"> 132, and </w:t>
      </w:r>
      <w:r w:rsidRPr="0079515C">
        <w:rPr>
          <w:i/>
          <w:spacing w:val="-4"/>
          <w:lang w:val="en-US"/>
        </w:rPr>
        <w:t xml:space="preserve">Rights and guarantees of children in the context of migration and/or </w:t>
      </w:r>
      <w:r>
        <w:rPr>
          <w:i/>
          <w:spacing w:val="-4"/>
          <w:lang w:val="en-US"/>
        </w:rPr>
        <w:t>in need of</w:t>
      </w:r>
      <w:r w:rsidRPr="0079515C">
        <w:rPr>
          <w:i/>
          <w:spacing w:val="-4"/>
          <w:lang w:val="en-US"/>
        </w:rPr>
        <w:t xml:space="preserve"> international protection, supra</w:t>
      </w:r>
      <w:r w:rsidRPr="0079515C">
        <w:rPr>
          <w:spacing w:val="-4"/>
          <w:lang w:val="en-US"/>
        </w:rPr>
        <w:t>, para. 112.</w:t>
      </w:r>
    </w:p>
  </w:footnote>
  <w:footnote w:id="284">
    <w:p w14:paraId="15FEA43F" w14:textId="436890D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MS ????"/>
          <w:spacing w:val="-4"/>
          <w:lang w:val="en-US"/>
        </w:rPr>
        <w:footnoteRef/>
      </w:r>
      <w:r w:rsidRPr="0079515C">
        <w:rPr>
          <w:spacing w:val="-4"/>
          <w:lang w:val="en-US"/>
        </w:rPr>
        <w:t xml:space="preserve"> </w:t>
      </w:r>
      <w:r w:rsidRPr="0079515C">
        <w:rPr>
          <w:spacing w:val="-4"/>
          <w:lang w:val="en-US"/>
        </w:rPr>
        <w:tab/>
      </w:r>
      <w:proofErr w:type="gramStart"/>
      <w:r w:rsidRPr="0079515C">
        <w:rPr>
          <w:i/>
          <w:iCs/>
          <w:spacing w:val="-4"/>
          <w:lang w:val="en-US"/>
        </w:rPr>
        <w:t xml:space="preserve">Cf. Case of Suárez </w:t>
      </w:r>
      <w:proofErr w:type="spellStart"/>
      <w:r w:rsidRPr="0079515C">
        <w:rPr>
          <w:i/>
          <w:iCs/>
          <w:spacing w:val="-4"/>
          <w:lang w:val="en-US"/>
        </w:rPr>
        <w:t>Rosero</w:t>
      </w:r>
      <w:proofErr w:type="spellEnd"/>
      <w:r w:rsidRPr="0079515C">
        <w:rPr>
          <w:i/>
          <w:iCs/>
          <w:spacing w:val="-4"/>
          <w:lang w:val="en-US"/>
        </w:rPr>
        <w:t xml:space="preserve"> v. Ecuador.</w:t>
      </w:r>
      <w:proofErr w:type="gramEnd"/>
      <w:r w:rsidRPr="0079515C">
        <w:rPr>
          <w:i/>
          <w:iCs/>
          <w:spacing w:val="-4"/>
          <w:lang w:val="en-US"/>
        </w:rPr>
        <w:t xml:space="preserve"> </w:t>
      </w:r>
      <w:proofErr w:type="gramStart"/>
      <w:r w:rsidRPr="0079515C">
        <w:rPr>
          <w:i/>
          <w:iCs/>
          <w:spacing w:val="-4"/>
          <w:lang w:val="en-US"/>
        </w:rPr>
        <w:t>Merits</w:t>
      </w:r>
      <w:r w:rsidRPr="0079515C">
        <w:rPr>
          <w:spacing w:val="-4"/>
          <w:lang w:val="en-US"/>
        </w:rPr>
        <w:t>.</w:t>
      </w:r>
      <w:proofErr w:type="gramEnd"/>
      <w:r w:rsidRPr="0079515C">
        <w:rPr>
          <w:spacing w:val="-4"/>
          <w:lang w:val="en-US"/>
        </w:rPr>
        <w:t xml:space="preserve"> Judgment of November 12, 1997. </w:t>
      </w:r>
      <w:r w:rsidRPr="0039093A">
        <w:rPr>
          <w:spacing w:val="-4"/>
        </w:rPr>
        <w:t xml:space="preserve">Series C No. 35, para. 71, and </w:t>
      </w:r>
      <w:r w:rsidRPr="0039093A">
        <w:rPr>
          <w:i/>
          <w:spacing w:val="-4"/>
        </w:rPr>
        <w:t>Case of Argüelles et al. v. Argentina, supra</w:t>
      </w:r>
      <w:r w:rsidRPr="0039093A">
        <w:rPr>
          <w:spacing w:val="-4"/>
        </w:rPr>
        <w:t xml:space="preserve">, para. </w:t>
      </w:r>
      <w:r w:rsidRPr="0079515C">
        <w:rPr>
          <w:spacing w:val="-4"/>
          <w:lang w:val="en-US"/>
        </w:rPr>
        <w:t>188.</w:t>
      </w:r>
    </w:p>
  </w:footnote>
  <w:footnote w:id="285">
    <w:p w14:paraId="64EFB7CC" w14:textId="076F5D1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iCs/>
          <w:spacing w:val="-4"/>
          <w:lang w:val="en-US"/>
        </w:rPr>
        <w:t xml:space="preserve">Cf. Case of Genie </w:t>
      </w:r>
      <w:proofErr w:type="spellStart"/>
      <w:r w:rsidRPr="0079515C">
        <w:rPr>
          <w:i/>
          <w:iCs/>
          <w:spacing w:val="-4"/>
          <w:lang w:val="en-US"/>
        </w:rPr>
        <w:t>Lacayo</w:t>
      </w:r>
      <w:proofErr w:type="spellEnd"/>
      <w:r w:rsidRPr="0079515C">
        <w:rPr>
          <w:i/>
          <w:iCs/>
          <w:spacing w:val="-4"/>
          <w:lang w:val="en-US"/>
        </w:rPr>
        <w:t xml:space="preserve"> v. Nicaragua.</w:t>
      </w:r>
      <w:proofErr w:type="gramEnd"/>
      <w:r w:rsidRPr="0079515C">
        <w:rPr>
          <w:i/>
          <w:iCs/>
          <w:spacing w:val="-4"/>
          <w:lang w:val="en-US"/>
        </w:rPr>
        <w:t xml:space="preserve"> </w:t>
      </w:r>
      <w:proofErr w:type="gramStart"/>
      <w:r w:rsidRPr="0079515C">
        <w:rPr>
          <w:i/>
          <w:iCs/>
          <w:spacing w:val="-4"/>
          <w:lang w:val="en-US"/>
        </w:rPr>
        <w:t>Merits, reparations and costs.</w:t>
      </w:r>
      <w:proofErr w:type="gramEnd"/>
      <w:r w:rsidRPr="0079515C">
        <w:rPr>
          <w:spacing w:val="-4"/>
          <w:lang w:val="en-US"/>
        </w:rPr>
        <w:t xml:space="preserve"> Judgment of January 29, 1997. Series C No. 30, para. </w:t>
      </w:r>
      <w:proofErr w:type="gramStart"/>
      <w:r w:rsidRPr="0079515C">
        <w:rPr>
          <w:spacing w:val="-4"/>
          <w:lang w:val="en-US"/>
        </w:rPr>
        <w:t>77,</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189</w:t>
      </w:r>
      <w:r w:rsidRPr="0079515C">
        <w:rPr>
          <w:color w:val="000000"/>
          <w:spacing w:val="-4"/>
          <w:lang w:val="en-US"/>
        </w:rPr>
        <w:t>.</w:t>
      </w:r>
    </w:p>
  </w:footnote>
  <w:footnote w:id="286">
    <w:p w14:paraId="5B6B0A6D" w14:textId="2B31D99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MS ????"/>
          <w:spacing w:val="-4"/>
          <w:lang w:val="en-US"/>
        </w:rPr>
        <w:footnoteRef/>
      </w:r>
      <w:r w:rsidRPr="0079515C">
        <w:rPr>
          <w:spacing w:val="-4"/>
          <w:lang w:val="en-US"/>
        </w:rPr>
        <w:t xml:space="preserve"> </w:t>
      </w:r>
      <w:r w:rsidRPr="0079515C">
        <w:rPr>
          <w:spacing w:val="-4"/>
          <w:lang w:val="en-US"/>
        </w:rPr>
        <w:tab/>
      </w:r>
      <w:proofErr w:type="gramStart"/>
      <w:r w:rsidRPr="0079515C">
        <w:rPr>
          <w:i/>
          <w:iCs/>
          <w:spacing w:val="-4"/>
          <w:lang w:val="en-US"/>
        </w:rPr>
        <w:t xml:space="preserve">Cf. </w:t>
      </w:r>
      <w:r w:rsidRPr="0079515C">
        <w:rPr>
          <w:i/>
          <w:spacing w:val="-4"/>
          <w:lang w:val="en-US"/>
        </w:rPr>
        <w:t>Case of Valle Jaramillo et al. v. Colombia.</w:t>
      </w:r>
      <w:proofErr w:type="gramEnd"/>
      <w:r w:rsidRPr="0079515C">
        <w:rPr>
          <w:i/>
          <w:spacing w:val="-4"/>
          <w:lang w:val="en-US"/>
        </w:rPr>
        <w:t xml:space="preserve"> </w:t>
      </w:r>
      <w:proofErr w:type="gramStart"/>
      <w:r w:rsidRPr="0079515C">
        <w:rPr>
          <w:i/>
          <w:spacing w:val="-4"/>
          <w:lang w:val="en-US"/>
        </w:rPr>
        <w:t>Merits, reparations and costs.</w:t>
      </w:r>
      <w:proofErr w:type="gramEnd"/>
      <w:r w:rsidRPr="0079515C">
        <w:rPr>
          <w:i/>
          <w:spacing w:val="-4"/>
          <w:lang w:val="en-US"/>
        </w:rPr>
        <w:t xml:space="preserve"> </w:t>
      </w:r>
      <w:r w:rsidRPr="0079515C">
        <w:rPr>
          <w:spacing w:val="-4"/>
          <w:lang w:val="en-US"/>
        </w:rPr>
        <w:t xml:space="preserve">Judgment of November 27, 2008. Series C No. 192, para. </w:t>
      </w:r>
      <w:proofErr w:type="gramStart"/>
      <w:r w:rsidRPr="0079515C">
        <w:rPr>
          <w:spacing w:val="-4"/>
          <w:lang w:val="en-US"/>
        </w:rPr>
        <w:t>155,</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189</w:t>
      </w:r>
      <w:r w:rsidRPr="0079515C">
        <w:rPr>
          <w:color w:val="000000"/>
          <w:spacing w:val="-4"/>
          <w:lang w:val="en-US"/>
        </w:rPr>
        <w:t>.</w:t>
      </w:r>
    </w:p>
  </w:footnote>
  <w:footnote w:id="287">
    <w:p w14:paraId="4EE5E1DD" w14:textId="5040C4C0" w:rsidR="002306C1" w:rsidRPr="0039093A" w:rsidRDefault="002306C1" w:rsidP="00853044">
      <w:pPr>
        <w:pStyle w:val="FootnoteText"/>
        <w:tabs>
          <w:tab w:val="clear" w:pos="567"/>
          <w:tab w:val="left" w:pos="426"/>
        </w:tabs>
        <w:spacing w:before="120" w:after="120"/>
        <w:rPr>
          <w:spacing w:val="-4"/>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w:t>
      </w:r>
      <w:r w:rsidRPr="0079515C">
        <w:rPr>
          <w:i/>
          <w:iCs/>
          <w:spacing w:val="-4"/>
          <w:lang w:val="en-US"/>
        </w:rPr>
        <w:t xml:space="preserve">Case of </w:t>
      </w:r>
      <w:proofErr w:type="spellStart"/>
      <w:r w:rsidRPr="0079515C">
        <w:rPr>
          <w:i/>
          <w:iCs/>
          <w:spacing w:val="-4"/>
          <w:lang w:val="en-US"/>
        </w:rPr>
        <w:t>Furlan</w:t>
      </w:r>
      <w:proofErr w:type="spellEnd"/>
      <w:r w:rsidRPr="0079515C">
        <w:rPr>
          <w:i/>
          <w:iCs/>
          <w:spacing w:val="-4"/>
          <w:lang w:val="en-US"/>
        </w:rPr>
        <w:t xml:space="preserve"> and family members v. Argentina. </w:t>
      </w:r>
      <w:proofErr w:type="gramStart"/>
      <w:r w:rsidRPr="0079515C">
        <w:rPr>
          <w:i/>
          <w:iCs/>
          <w:spacing w:val="-4"/>
          <w:lang w:val="en-US"/>
        </w:rPr>
        <w:t>Preliminary objections, merits, reparations and costs.</w:t>
      </w:r>
      <w:proofErr w:type="gramEnd"/>
      <w:r w:rsidRPr="0079515C">
        <w:rPr>
          <w:i/>
          <w:iCs/>
          <w:spacing w:val="-4"/>
          <w:lang w:val="en-US"/>
        </w:rPr>
        <w:t xml:space="preserve"> </w:t>
      </w:r>
      <w:proofErr w:type="gramStart"/>
      <w:r w:rsidRPr="0079515C">
        <w:rPr>
          <w:spacing w:val="-4"/>
          <w:lang w:val="en-US"/>
        </w:rPr>
        <w:t>Judgment of August 31, 2012 Series C No. 246, para.</w:t>
      </w:r>
      <w:proofErr w:type="gramEnd"/>
      <w:r w:rsidRPr="0079515C">
        <w:rPr>
          <w:spacing w:val="-4"/>
          <w:lang w:val="en-US"/>
        </w:rPr>
        <w:t xml:space="preserve"> </w:t>
      </w:r>
      <w:proofErr w:type="gramStart"/>
      <w:r w:rsidRPr="0079515C">
        <w:rPr>
          <w:spacing w:val="-4"/>
          <w:lang w:val="en-US"/>
        </w:rPr>
        <w:t>156,</w:t>
      </w:r>
      <w:proofErr w:type="gramEnd"/>
      <w:r w:rsidRPr="0079515C">
        <w:rPr>
          <w:spacing w:val="-4"/>
          <w:lang w:val="en-US"/>
        </w:rPr>
        <w:t xml:space="preserve"> and </w:t>
      </w:r>
      <w:r w:rsidRPr="0079515C">
        <w:rPr>
          <w:i/>
          <w:iCs/>
          <w:spacing w:val="-4"/>
          <w:lang w:val="en-US"/>
        </w:rPr>
        <w:t xml:space="preserve">Case of Argüelles et al. v. Argentina, </w:t>
      </w:r>
      <w:r w:rsidRPr="0079515C">
        <w:rPr>
          <w:i/>
          <w:spacing w:val="-4"/>
          <w:lang w:val="en-US"/>
        </w:rPr>
        <w:t>supra</w:t>
      </w:r>
      <w:r w:rsidRPr="0079515C">
        <w:rPr>
          <w:spacing w:val="-4"/>
          <w:lang w:val="en-US"/>
        </w:rPr>
        <w:t xml:space="preserve">, para. </w:t>
      </w:r>
      <w:r w:rsidRPr="0039093A">
        <w:rPr>
          <w:spacing w:val="-4"/>
        </w:rPr>
        <w:t>190.</w:t>
      </w:r>
    </w:p>
  </w:footnote>
  <w:footnote w:id="288">
    <w:p w14:paraId="347BDCC0" w14:textId="51197287" w:rsidR="002306C1" w:rsidRPr="0079515C" w:rsidRDefault="002306C1" w:rsidP="00853044">
      <w:pPr>
        <w:tabs>
          <w:tab w:val="left" w:pos="426"/>
        </w:tabs>
        <w:spacing w:before="120" w:after="120"/>
        <w:ind w:right="-90"/>
        <w:rPr>
          <w:spacing w:val="-4"/>
          <w:sz w:val="16"/>
          <w:szCs w:val="16"/>
          <w:lang w:val="en-US"/>
        </w:rPr>
      </w:pPr>
      <w:r w:rsidRPr="0079515C">
        <w:rPr>
          <w:rStyle w:val="FootnoteReference"/>
          <w:spacing w:val="-4"/>
          <w:sz w:val="16"/>
          <w:szCs w:val="16"/>
          <w:lang w:val="en-US"/>
        </w:rPr>
        <w:footnoteRef/>
      </w:r>
      <w:r w:rsidRPr="0039093A">
        <w:rPr>
          <w:spacing w:val="-4"/>
          <w:sz w:val="16"/>
          <w:szCs w:val="16"/>
        </w:rPr>
        <w:t xml:space="preserve"> </w:t>
      </w:r>
      <w:r w:rsidRPr="0039093A">
        <w:rPr>
          <w:spacing w:val="-4"/>
          <w:sz w:val="16"/>
          <w:szCs w:val="16"/>
        </w:rPr>
        <w:tab/>
      </w:r>
      <w:r w:rsidRPr="0039093A">
        <w:rPr>
          <w:i/>
          <w:spacing w:val="-4"/>
          <w:sz w:val="16"/>
          <w:szCs w:val="16"/>
        </w:rPr>
        <w:t xml:space="preserve">Cf. inter </w:t>
      </w:r>
      <w:proofErr w:type="spellStart"/>
      <w:r w:rsidRPr="0039093A">
        <w:rPr>
          <w:i/>
          <w:spacing w:val="-4"/>
          <w:sz w:val="16"/>
          <w:szCs w:val="16"/>
        </w:rPr>
        <w:t>alia</w:t>
      </w:r>
      <w:proofErr w:type="spellEnd"/>
      <w:r w:rsidRPr="0039093A">
        <w:rPr>
          <w:spacing w:val="-4"/>
          <w:sz w:val="16"/>
          <w:szCs w:val="16"/>
        </w:rPr>
        <w:t xml:space="preserve">, </w:t>
      </w:r>
      <w:r w:rsidRPr="0039093A">
        <w:rPr>
          <w:i/>
          <w:spacing w:val="-4"/>
          <w:sz w:val="16"/>
          <w:szCs w:val="16"/>
        </w:rPr>
        <w:t xml:space="preserve">Case of </w:t>
      </w:r>
      <w:proofErr w:type="spellStart"/>
      <w:r w:rsidRPr="0039093A">
        <w:rPr>
          <w:i/>
          <w:spacing w:val="-4"/>
          <w:sz w:val="16"/>
          <w:szCs w:val="16"/>
        </w:rPr>
        <w:t>Genie</w:t>
      </w:r>
      <w:proofErr w:type="spellEnd"/>
      <w:r w:rsidRPr="0039093A">
        <w:rPr>
          <w:i/>
          <w:spacing w:val="-4"/>
          <w:sz w:val="16"/>
          <w:szCs w:val="16"/>
        </w:rPr>
        <w:t xml:space="preserve"> Lacayo v. Nicaragua, supra</w:t>
      </w:r>
      <w:r w:rsidRPr="0039093A">
        <w:rPr>
          <w:spacing w:val="-4"/>
          <w:sz w:val="16"/>
          <w:szCs w:val="16"/>
        </w:rPr>
        <w:t xml:space="preserve">, para. </w:t>
      </w:r>
      <w:proofErr w:type="gramStart"/>
      <w:r w:rsidRPr="0079515C">
        <w:rPr>
          <w:spacing w:val="-4"/>
          <w:sz w:val="16"/>
          <w:szCs w:val="16"/>
          <w:lang w:val="en-US"/>
        </w:rPr>
        <w:t>78,</w:t>
      </w:r>
      <w:proofErr w:type="gramEnd"/>
      <w:r w:rsidRPr="0079515C">
        <w:rPr>
          <w:spacing w:val="-4"/>
          <w:sz w:val="16"/>
          <w:szCs w:val="16"/>
          <w:lang w:val="en-US"/>
        </w:rPr>
        <w:t xml:space="preserve"> and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Anzualdo</w:t>
      </w:r>
      <w:proofErr w:type="spellEnd"/>
      <w:r w:rsidRPr="0079515C">
        <w:rPr>
          <w:rFonts w:cs="Verdana"/>
          <w:bCs/>
          <w:i/>
          <w:spacing w:val="-4"/>
          <w:sz w:val="16"/>
          <w:szCs w:val="16"/>
          <w:lang w:val="en-US"/>
        </w:rPr>
        <w:t xml:space="preserve"> Castro v. Peru. </w:t>
      </w:r>
      <w:proofErr w:type="gramStart"/>
      <w:r w:rsidRPr="0079515C">
        <w:rPr>
          <w:rFonts w:cs="Verdana"/>
          <w:bCs/>
          <w:i/>
          <w:spacing w:val="-4"/>
          <w:sz w:val="16"/>
          <w:szCs w:val="16"/>
          <w:lang w:val="en-US"/>
        </w:rPr>
        <w:t>Preliminary objection, merits, reparations and costs</w:t>
      </w:r>
      <w:r w:rsidRPr="0079515C">
        <w:rPr>
          <w:rFonts w:cs="Verdana"/>
          <w:bCs/>
          <w:spacing w:val="-4"/>
          <w:sz w:val="16"/>
          <w:szCs w:val="16"/>
          <w:lang w:val="en-US"/>
        </w:rPr>
        <w:t>.</w:t>
      </w:r>
      <w:proofErr w:type="gramEnd"/>
      <w:r w:rsidRPr="0079515C">
        <w:rPr>
          <w:rFonts w:cs="Verdana"/>
          <w:bCs/>
          <w:spacing w:val="-4"/>
          <w:sz w:val="16"/>
          <w:szCs w:val="16"/>
          <w:lang w:val="en-US"/>
        </w:rPr>
        <w:t xml:space="preserve"> Judgment of September 22, 2009. Series C No. 202, para. 157.</w:t>
      </w:r>
    </w:p>
  </w:footnote>
  <w:footnote w:id="289">
    <w:p w14:paraId="0ED093D6" w14:textId="0D96F75A"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 inter alia</w:t>
      </w:r>
      <w:r w:rsidRPr="0079515C">
        <w:rPr>
          <w:spacing w:val="-4"/>
          <w:sz w:val="16"/>
          <w:szCs w:val="16"/>
          <w:lang w:val="en-US"/>
        </w:rPr>
        <w:t xml:space="preserve">, </w:t>
      </w:r>
      <w:r w:rsidRPr="0079515C">
        <w:rPr>
          <w:rFonts w:cs="Verdana"/>
          <w:bCs/>
          <w:i/>
          <w:spacing w:val="-4"/>
          <w:sz w:val="16"/>
          <w:szCs w:val="16"/>
          <w:lang w:val="en-US"/>
        </w:rPr>
        <w:t xml:space="preserve">Case of Acosta </w:t>
      </w:r>
      <w:proofErr w:type="spellStart"/>
      <w:r w:rsidRPr="0079515C">
        <w:rPr>
          <w:rFonts w:cs="Verdana"/>
          <w:bCs/>
          <w:i/>
          <w:spacing w:val="-4"/>
          <w:sz w:val="16"/>
          <w:szCs w:val="16"/>
          <w:lang w:val="en-US"/>
        </w:rPr>
        <w:t>Calderón</w:t>
      </w:r>
      <w:proofErr w:type="spellEnd"/>
      <w:r w:rsidRPr="0079515C">
        <w:rPr>
          <w:rFonts w:cs="Verdana"/>
          <w:bCs/>
          <w:i/>
          <w:spacing w:val="-4"/>
          <w:sz w:val="16"/>
          <w:szCs w:val="16"/>
          <w:lang w:val="en-US"/>
        </w:rPr>
        <w:t xml:space="preserve"> v. Ecuador. </w:t>
      </w:r>
      <w:proofErr w:type="gramStart"/>
      <w:r w:rsidRPr="0079515C">
        <w:rPr>
          <w:rFonts w:cs="Verdana"/>
          <w:i/>
          <w:spacing w:val="-4"/>
          <w:sz w:val="16"/>
          <w:szCs w:val="16"/>
          <w:lang w:val="en-US"/>
        </w:rPr>
        <w:t>Merits, reparations and costs</w:t>
      </w:r>
      <w:r w:rsidRPr="0079515C">
        <w:rPr>
          <w:rFonts w:cs="Verdana"/>
          <w:spacing w:val="-4"/>
          <w:sz w:val="16"/>
          <w:szCs w:val="16"/>
          <w:lang w:val="en-US"/>
        </w:rPr>
        <w:t>.</w:t>
      </w:r>
      <w:proofErr w:type="gramEnd"/>
      <w:r w:rsidRPr="0079515C">
        <w:rPr>
          <w:rFonts w:cs="Verdana"/>
          <w:spacing w:val="-4"/>
          <w:sz w:val="16"/>
          <w:szCs w:val="16"/>
          <w:lang w:val="en-US"/>
        </w:rPr>
        <w:t xml:space="preserve"> Judgment of June 24, 2005. Series C No. 129, para. </w:t>
      </w:r>
      <w:proofErr w:type="gramStart"/>
      <w:r w:rsidRPr="0079515C">
        <w:rPr>
          <w:rFonts w:cs="Verdana"/>
          <w:spacing w:val="-4"/>
          <w:sz w:val="16"/>
          <w:szCs w:val="16"/>
          <w:lang w:val="en-US"/>
        </w:rPr>
        <w:t>106,</w:t>
      </w:r>
      <w:proofErr w:type="gramEnd"/>
      <w:r w:rsidRPr="0079515C">
        <w:rPr>
          <w:spacing w:val="-4"/>
          <w:sz w:val="16"/>
          <w:szCs w:val="16"/>
          <w:lang w:val="en-US"/>
        </w:rPr>
        <w:t xml:space="preserve"> and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López</w:t>
      </w:r>
      <w:proofErr w:type="spellEnd"/>
      <w:r w:rsidRPr="0079515C">
        <w:rPr>
          <w:rFonts w:cs="Verdana"/>
          <w:bCs/>
          <w:i/>
          <w:spacing w:val="-4"/>
          <w:sz w:val="16"/>
          <w:szCs w:val="16"/>
          <w:lang w:val="en-US"/>
        </w:rPr>
        <w:t xml:space="preserve"> </w:t>
      </w:r>
      <w:proofErr w:type="spellStart"/>
      <w:r w:rsidRPr="0079515C">
        <w:rPr>
          <w:rFonts w:cs="Verdana"/>
          <w:bCs/>
          <w:i/>
          <w:spacing w:val="-4"/>
          <w:sz w:val="16"/>
          <w:szCs w:val="16"/>
          <w:lang w:val="en-US"/>
        </w:rPr>
        <w:t>Álvarez</w:t>
      </w:r>
      <w:proofErr w:type="spellEnd"/>
      <w:r w:rsidRPr="0079515C">
        <w:rPr>
          <w:rFonts w:cs="Verdana"/>
          <w:bCs/>
          <w:i/>
          <w:spacing w:val="-4"/>
          <w:sz w:val="16"/>
          <w:szCs w:val="16"/>
          <w:lang w:val="en-US"/>
        </w:rPr>
        <w:t xml:space="preserve"> v. Honduras. </w:t>
      </w:r>
      <w:proofErr w:type="gramStart"/>
      <w:r w:rsidRPr="0079515C">
        <w:rPr>
          <w:rFonts w:cs="Verdana"/>
          <w:bCs/>
          <w:i/>
          <w:spacing w:val="-4"/>
          <w:sz w:val="16"/>
          <w:szCs w:val="16"/>
          <w:lang w:val="en-US"/>
        </w:rPr>
        <w:t>Merits, reparations and costs</w:t>
      </w:r>
      <w:r w:rsidRPr="0079515C">
        <w:rPr>
          <w:rFonts w:cs="Verdana"/>
          <w:bCs/>
          <w:spacing w:val="-4"/>
          <w:sz w:val="16"/>
          <w:szCs w:val="16"/>
          <w:lang w:val="en-US"/>
        </w:rPr>
        <w:t>.</w:t>
      </w:r>
      <w:proofErr w:type="gramEnd"/>
      <w:r w:rsidRPr="0079515C">
        <w:rPr>
          <w:rFonts w:cs="Verdana"/>
          <w:bCs/>
          <w:spacing w:val="-4"/>
          <w:sz w:val="16"/>
          <w:szCs w:val="16"/>
          <w:lang w:val="en-US"/>
        </w:rPr>
        <w:t xml:space="preserve"> Judgment of February 1, 2006. Series C No. 14, para. 133.</w:t>
      </w:r>
    </w:p>
  </w:footnote>
  <w:footnote w:id="290">
    <w:p w14:paraId="72C4234C" w14:textId="18A0A2A1"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w:t>
      </w:r>
      <w:r w:rsidRPr="0079515C">
        <w:rPr>
          <w:spacing w:val="-4"/>
          <w:sz w:val="16"/>
          <w:szCs w:val="16"/>
          <w:lang w:val="en-US"/>
        </w:rPr>
        <w:t xml:space="preserve"> </w:t>
      </w:r>
      <w:r w:rsidRPr="0079515C">
        <w:rPr>
          <w:i/>
          <w:spacing w:val="-4"/>
          <w:sz w:val="16"/>
          <w:szCs w:val="16"/>
          <w:lang w:val="en-US"/>
        </w:rPr>
        <w:t>inter alia</w:t>
      </w:r>
      <w:r w:rsidRPr="0079515C">
        <w:rPr>
          <w:spacing w:val="-4"/>
          <w:sz w:val="16"/>
          <w:szCs w:val="16"/>
          <w:lang w:val="en-US"/>
        </w:rPr>
        <w:t xml:space="preserve">,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Baldeón</w:t>
      </w:r>
      <w:proofErr w:type="spellEnd"/>
      <w:r w:rsidRPr="0079515C">
        <w:rPr>
          <w:rFonts w:cs="Verdana"/>
          <w:bCs/>
          <w:i/>
          <w:spacing w:val="-4"/>
          <w:sz w:val="16"/>
          <w:szCs w:val="16"/>
          <w:lang w:val="en-US"/>
        </w:rPr>
        <w:t xml:space="preserve"> </w:t>
      </w:r>
      <w:proofErr w:type="spellStart"/>
      <w:r w:rsidRPr="0079515C">
        <w:rPr>
          <w:rFonts w:cs="Verdana"/>
          <w:bCs/>
          <w:i/>
          <w:spacing w:val="-4"/>
          <w:sz w:val="16"/>
          <w:szCs w:val="16"/>
          <w:lang w:val="en-US"/>
        </w:rPr>
        <w:t>García</w:t>
      </w:r>
      <w:proofErr w:type="spellEnd"/>
      <w:r w:rsidRPr="0079515C">
        <w:rPr>
          <w:rFonts w:cs="Verdana"/>
          <w:bCs/>
          <w:i/>
          <w:spacing w:val="-4"/>
          <w:sz w:val="16"/>
          <w:szCs w:val="16"/>
          <w:lang w:val="en-US"/>
        </w:rPr>
        <w:t xml:space="preserve"> v. Peru</w:t>
      </w:r>
      <w:r w:rsidRPr="0079515C">
        <w:rPr>
          <w:rFonts w:cs="Verdana"/>
          <w:bCs/>
          <w:spacing w:val="-4"/>
          <w:sz w:val="16"/>
          <w:szCs w:val="16"/>
          <w:lang w:val="en-US"/>
        </w:rPr>
        <w:t xml:space="preserve">. </w:t>
      </w:r>
      <w:proofErr w:type="gramStart"/>
      <w:r w:rsidRPr="0079515C">
        <w:rPr>
          <w:rFonts w:cs="Verdana"/>
          <w:bCs/>
          <w:i/>
          <w:spacing w:val="-4"/>
          <w:sz w:val="16"/>
          <w:szCs w:val="16"/>
          <w:lang w:val="en-US"/>
        </w:rPr>
        <w:t>Merits, reparations and costs.</w:t>
      </w:r>
      <w:proofErr w:type="gramEnd"/>
      <w:r w:rsidRPr="0079515C">
        <w:rPr>
          <w:rFonts w:cs="Verdana"/>
          <w:bCs/>
          <w:i/>
          <w:spacing w:val="-4"/>
          <w:sz w:val="16"/>
          <w:szCs w:val="16"/>
          <w:lang w:val="en-US"/>
        </w:rPr>
        <w:t xml:space="preserve"> </w:t>
      </w:r>
      <w:r w:rsidRPr="0079515C">
        <w:rPr>
          <w:rFonts w:cs="Verdana"/>
          <w:bCs/>
          <w:spacing w:val="-4"/>
          <w:sz w:val="16"/>
          <w:szCs w:val="16"/>
          <w:lang w:val="en-US"/>
        </w:rPr>
        <w:t xml:space="preserve">Judgment of April 6, 2006. Series C No. 147, </w:t>
      </w:r>
      <w:r w:rsidRPr="0079515C">
        <w:rPr>
          <w:rFonts w:cs="Verdana"/>
          <w:spacing w:val="-4"/>
          <w:sz w:val="16"/>
          <w:szCs w:val="16"/>
          <w:lang w:val="en-US"/>
        </w:rPr>
        <w:t xml:space="preserve">para. </w:t>
      </w:r>
      <w:proofErr w:type="gramStart"/>
      <w:r w:rsidRPr="0079515C">
        <w:rPr>
          <w:rFonts w:cs="Verdana"/>
          <w:spacing w:val="-4"/>
          <w:sz w:val="16"/>
          <w:szCs w:val="16"/>
          <w:lang w:val="en-US"/>
        </w:rPr>
        <w:t xml:space="preserve">152; </w:t>
      </w:r>
      <w:r w:rsidRPr="0079515C">
        <w:rPr>
          <w:i/>
          <w:spacing w:val="-4"/>
          <w:sz w:val="16"/>
          <w:szCs w:val="16"/>
          <w:lang w:val="en-US"/>
        </w:rPr>
        <w:t>Case of the Pueblo Bello Massacre v. Colombia, supra</w:t>
      </w:r>
      <w:r w:rsidRPr="0079515C">
        <w:rPr>
          <w:spacing w:val="-4"/>
          <w:sz w:val="16"/>
          <w:szCs w:val="16"/>
          <w:lang w:val="en-US"/>
        </w:rPr>
        <w:t>, para.</w:t>
      </w:r>
      <w:proofErr w:type="gramEnd"/>
      <w:r w:rsidRPr="0079515C">
        <w:rPr>
          <w:spacing w:val="-4"/>
          <w:sz w:val="16"/>
          <w:szCs w:val="16"/>
          <w:lang w:val="en-US"/>
        </w:rPr>
        <w:t xml:space="preserve"> </w:t>
      </w:r>
      <w:proofErr w:type="gramStart"/>
      <w:r w:rsidRPr="0079515C">
        <w:rPr>
          <w:spacing w:val="-4"/>
          <w:sz w:val="16"/>
          <w:szCs w:val="16"/>
          <w:lang w:val="en-US"/>
        </w:rPr>
        <w:t>184,</w:t>
      </w:r>
      <w:proofErr w:type="gramEnd"/>
      <w:r w:rsidRPr="0079515C">
        <w:rPr>
          <w:spacing w:val="-4"/>
          <w:sz w:val="16"/>
          <w:szCs w:val="16"/>
          <w:lang w:val="en-US"/>
        </w:rPr>
        <w:t xml:space="preserve"> and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Kawas</w:t>
      </w:r>
      <w:proofErr w:type="spellEnd"/>
      <w:r w:rsidRPr="0079515C">
        <w:rPr>
          <w:rFonts w:cs="Verdana"/>
          <w:bCs/>
          <w:i/>
          <w:spacing w:val="-4"/>
          <w:sz w:val="16"/>
          <w:szCs w:val="16"/>
          <w:lang w:val="en-US"/>
        </w:rPr>
        <w:t xml:space="preserve"> </w:t>
      </w:r>
      <w:proofErr w:type="spellStart"/>
      <w:r w:rsidRPr="0079515C">
        <w:rPr>
          <w:rFonts w:cs="Verdana"/>
          <w:bCs/>
          <w:i/>
          <w:spacing w:val="-4"/>
          <w:sz w:val="16"/>
          <w:szCs w:val="16"/>
          <w:lang w:val="en-US"/>
        </w:rPr>
        <w:t>Fernández</w:t>
      </w:r>
      <w:proofErr w:type="spellEnd"/>
      <w:r w:rsidRPr="0079515C">
        <w:rPr>
          <w:rFonts w:cs="Verdana"/>
          <w:bCs/>
          <w:i/>
          <w:spacing w:val="-4"/>
          <w:sz w:val="16"/>
          <w:szCs w:val="16"/>
          <w:lang w:val="en-US"/>
        </w:rPr>
        <w:t xml:space="preserve"> v. Honduras. </w:t>
      </w:r>
      <w:proofErr w:type="gramStart"/>
      <w:r w:rsidRPr="0079515C">
        <w:rPr>
          <w:rFonts w:cs="Verdana"/>
          <w:bCs/>
          <w:i/>
          <w:spacing w:val="-4"/>
          <w:sz w:val="16"/>
          <w:szCs w:val="16"/>
          <w:lang w:val="en-US"/>
        </w:rPr>
        <w:t>Merits, reparations and costs</w:t>
      </w:r>
      <w:r w:rsidRPr="0079515C">
        <w:rPr>
          <w:rFonts w:cs="Verdana"/>
          <w:bCs/>
          <w:spacing w:val="-4"/>
          <w:sz w:val="16"/>
          <w:szCs w:val="16"/>
          <w:lang w:val="en-US"/>
        </w:rPr>
        <w:t>.</w:t>
      </w:r>
      <w:proofErr w:type="gramEnd"/>
      <w:r w:rsidRPr="0079515C">
        <w:rPr>
          <w:rFonts w:cs="Verdana"/>
          <w:bCs/>
          <w:spacing w:val="-4"/>
          <w:sz w:val="16"/>
          <w:szCs w:val="16"/>
          <w:lang w:val="en-US"/>
        </w:rPr>
        <w:t xml:space="preserve"> </w:t>
      </w:r>
      <w:proofErr w:type="gramStart"/>
      <w:r w:rsidRPr="0079515C">
        <w:rPr>
          <w:rFonts w:cs="Verdana"/>
          <w:bCs/>
          <w:spacing w:val="-4"/>
          <w:sz w:val="16"/>
          <w:szCs w:val="16"/>
          <w:lang w:val="en-US"/>
        </w:rPr>
        <w:t>Judgment of April 3, 2009 Series C No. 196, para.</w:t>
      </w:r>
      <w:proofErr w:type="gramEnd"/>
      <w:r w:rsidRPr="0079515C">
        <w:rPr>
          <w:rFonts w:cs="Verdana"/>
          <w:bCs/>
          <w:spacing w:val="-4"/>
          <w:sz w:val="16"/>
          <w:szCs w:val="16"/>
          <w:lang w:val="en-US"/>
        </w:rPr>
        <w:t xml:space="preserve"> 113.</w:t>
      </w:r>
    </w:p>
  </w:footnote>
  <w:footnote w:id="291">
    <w:p w14:paraId="698B2167" w14:textId="39F67073"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w:t>
      </w:r>
      <w:r w:rsidRPr="0079515C">
        <w:rPr>
          <w:spacing w:val="-4"/>
          <w:sz w:val="16"/>
          <w:szCs w:val="16"/>
          <w:lang w:val="en-US"/>
        </w:rPr>
        <w:t xml:space="preserve"> </w:t>
      </w:r>
      <w:r w:rsidRPr="0079515C">
        <w:rPr>
          <w:i/>
          <w:spacing w:val="-4"/>
          <w:sz w:val="16"/>
          <w:szCs w:val="16"/>
          <w:lang w:val="en-US"/>
        </w:rPr>
        <w:t>inter alia</w:t>
      </w:r>
      <w:r w:rsidRPr="0079515C">
        <w:rPr>
          <w:spacing w:val="-4"/>
          <w:sz w:val="16"/>
          <w:szCs w:val="16"/>
          <w:lang w:val="en-US"/>
        </w:rPr>
        <w:t xml:space="preserve">,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Heliodoro</w:t>
      </w:r>
      <w:proofErr w:type="spellEnd"/>
      <w:r w:rsidRPr="0079515C">
        <w:rPr>
          <w:rFonts w:cs="Verdana"/>
          <w:bCs/>
          <w:i/>
          <w:spacing w:val="-4"/>
          <w:sz w:val="16"/>
          <w:szCs w:val="16"/>
          <w:lang w:val="en-US"/>
        </w:rPr>
        <w:t xml:space="preserve"> Portugal v. Panama. </w:t>
      </w:r>
      <w:proofErr w:type="gramStart"/>
      <w:r w:rsidRPr="0079515C">
        <w:rPr>
          <w:rFonts w:cs="Verdana"/>
          <w:i/>
          <w:spacing w:val="-4"/>
          <w:sz w:val="16"/>
          <w:szCs w:val="16"/>
          <w:lang w:val="en-US"/>
        </w:rPr>
        <w:t>Preliminary objections, merits, reparations and costs</w:t>
      </w:r>
      <w:r w:rsidRPr="0079515C">
        <w:rPr>
          <w:rFonts w:cs="Verdana"/>
          <w:spacing w:val="-4"/>
          <w:sz w:val="16"/>
          <w:szCs w:val="16"/>
          <w:lang w:val="en-US"/>
        </w:rPr>
        <w:t>.</w:t>
      </w:r>
      <w:proofErr w:type="gramEnd"/>
      <w:r w:rsidRPr="0079515C">
        <w:rPr>
          <w:rFonts w:cs="Verdana"/>
          <w:spacing w:val="-4"/>
          <w:sz w:val="16"/>
          <w:szCs w:val="16"/>
          <w:lang w:val="en-US"/>
        </w:rPr>
        <w:t xml:space="preserve"> Judgment of August 12, 2008. Series C No. 186, para. </w:t>
      </w:r>
      <w:proofErr w:type="gramStart"/>
      <w:r w:rsidRPr="0079515C">
        <w:rPr>
          <w:rFonts w:cs="Verdana"/>
          <w:spacing w:val="-4"/>
          <w:sz w:val="16"/>
          <w:szCs w:val="16"/>
          <w:lang w:val="en-US"/>
        </w:rPr>
        <w:t>150</w:t>
      </w:r>
      <w:r w:rsidRPr="0079515C">
        <w:rPr>
          <w:spacing w:val="-4"/>
          <w:sz w:val="16"/>
          <w:szCs w:val="16"/>
          <w:lang w:val="en-US"/>
        </w:rPr>
        <w:t xml:space="preserve"> and </w:t>
      </w:r>
      <w:r w:rsidRPr="0079515C">
        <w:rPr>
          <w:rFonts w:cs="Verdana"/>
          <w:bCs/>
          <w:i/>
          <w:spacing w:val="-4"/>
          <w:sz w:val="16"/>
          <w:szCs w:val="16"/>
          <w:lang w:val="en-US"/>
        </w:rPr>
        <w:t xml:space="preserve">Case of </w:t>
      </w:r>
      <w:proofErr w:type="spellStart"/>
      <w:r w:rsidRPr="0079515C">
        <w:rPr>
          <w:rFonts w:cs="Verdana"/>
          <w:bCs/>
          <w:i/>
          <w:spacing w:val="-4"/>
          <w:sz w:val="16"/>
          <w:szCs w:val="16"/>
          <w:lang w:val="en-US"/>
        </w:rPr>
        <w:t>Radilla</w:t>
      </w:r>
      <w:proofErr w:type="spellEnd"/>
      <w:r w:rsidRPr="0079515C">
        <w:rPr>
          <w:rFonts w:cs="Verdana"/>
          <w:bCs/>
          <w:i/>
          <w:spacing w:val="-4"/>
          <w:sz w:val="16"/>
          <w:szCs w:val="16"/>
          <w:lang w:val="en-US"/>
        </w:rPr>
        <w:t xml:space="preserve"> Pacheco v. Mexico.</w:t>
      </w:r>
      <w:proofErr w:type="gramEnd"/>
      <w:r w:rsidRPr="0079515C">
        <w:rPr>
          <w:rFonts w:cs="Verdana"/>
          <w:bCs/>
          <w:i/>
          <w:spacing w:val="-4"/>
          <w:sz w:val="16"/>
          <w:szCs w:val="16"/>
          <w:lang w:val="en-US"/>
        </w:rPr>
        <w:t xml:space="preserve"> </w:t>
      </w:r>
      <w:proofErr w:type="gramStart"/>
      <w:r w:rsidRPr="0079515C">
        <w:rPr>
          <w:rFonts w:cs="Verdana"/>
          <w:bCs/>
          <w:i/>
          <w:spacing w:val="-4"/>
          <w:sz w:val="16"/>
          <w:szCs w:val="16"/>
          <w:lang w:val="en-US"/>
        </w:rPr>
        <w:t>Preliminary objections, merits, reparations and costs</w:t>
      </w:r>
      <w:r w:rsidRPr="0079515C">
        <w:rPr>
          <w:rFonts w:cs="Verdana"/>
          <w:bCs/>
          <w:spacing w:val="-4"/>
          <w:sz w:val="16"/>
          <w:szCs w:val="16"/>
          <w:lang w:val="en-US"/>
        </w:rPr>
        <w:t>.</w:t>
      </w:r>
      <w:proofErr w:type="gramEnd"/>
      <w:r w:rsidRPr="0079515C">
        <w:rPr>
          <w:rFonts w:cs="Verdana"/>
          <w:bCs/>
          <w:spacing w:val="-4"/>
          <w:sz w:val="16"/>
          <w:szCs w:val="16"/>
          <w:lang w:val="en-US"/>
        </w:rPr>
        <w:t xml:space="preserve"> Judgment of November 23, 2009. Series C No. 209, para. 245.</w:t>
      </w:r>
    </w:p>
  </w:footnote>
  <w:footnote w:id="292">
    <w:p w14:paraId="198D63EE" w14:textId="05CACC77" w:rsidR="002306C1" w:rsidRPr="0039093A" w:rsidRDefault="002306C1" w:rsidP="00853044">
      <w:pPr>
        <w:tabs>
          <w:tab w:val="left" w:pos="426"/>
        </w:tabs>
        <w:spacing w:before="120" w:after="120"/>
        <w:rPr>
          <w:spacing w:val="-4"/>
          <w:sz w:val="16"/>
          <w:szCs w:val="16"/>
        </w:rPr>
      </w:pPr>
      <w:r w:rsidRPr="0079515C">
        <w:rPr>
          <w:rStyle w:val="FootnoteReference"/>
          <w:spacing w:val="-4"/>
          <w:sz w:val="16"/>
          <w:szCs w:val="16"/>
          <w:lang w:val="en-US"/>
        </w:rPr>
        <w:footnoteRef/>
      </w:r>
      <w:r w:rsidRPr="00967E26">
        <w:rPr>
          <w:spacing w:val="-4"/>
          <w:sz w:val="16"/>
          <w:szCs w:val="16"/>
          <w:lang w:val="en-US"/>
        </w:rPr>
        <w:t xml:space="preserve"> </w:t>
      </w:r>
      <w:r w:rsidRPr="00967E26">
        <w:rPr>
          <w:spacing w:val="-4"/>
          <w:sz w:val="16"/>
          <w:szCs w:val="16"/>
          <w:lang w:val="en-US"/>
        </w:rPr>
        <w:tab/>
      </w:r>
      <w:r w:rsidRPr="00967E26">
        <w:rPr>
          <w:i/>
          <w:spacing w:val="-4"/>
          <w:sz w:val="16"/>
          <w:szCs w:val="16"/>
          <w:lang w:val="en-US"/>
        </w:rPr>
        <w:t>Cf. inter alia,</w:t>
      </w:r>
      <w:r w:rsidRPr="00967E26">
        <w:rPr>
          <w:spacing w:val="-4"/>
          <w:sz w:val="16"/>
          <w:szCs w:val="16"/>
          <w:lang w:val="en-US"/>
        </w:rPr>
        <w:t xml:space="preserve"> </w:t>
      </w:r>
      <w:r w:rsidRPr="00967E26">
        <w:rPr>
          <w:rFonts w:cs="Verdana"/>
          <w:bCs/>
          <w:i/>
          <w:spacing w:val="-4"/>
          <w:sz w:val="16"/>
          <w:szCs w:val="16"/>
          <w:lang w:val="en-US"/>
        </w:rPr>
        <w:t xml:space="preserve">Case of Salvador </w:t>
      </w:r>
      <w:proofErr w:type="spellStart"/>
      <w:r w:rsidRPr="00967E26">
        <w:rPr>
          <w:rFonts w:cs="Verdana"/>
          <w:bCs/>
          <w:i/>
          <w:spacing w:val="-4"/>
          <w:sz w:val="16"/>
          <w:szCs w:val="16"/>
          <w:lang w:val="en-US"/>
        </w:rPr>
        <w:t>Chiriboga</w:t>
      </w:r>
      <w:proofErr w:type="spellEnd"/>
      <w:r w:rsidRPr="00967E26">
        <w:rPr>
          <w:rFonts w:cs="Verdana"/>
          <w:bCs/>
          <w:i/>
          <w:spacing w:val="-4"/>
          <w:sz w:val="16"/>
          <w:szCs w:val="16"/>
          <w:lang w:val="en-US"/>
        </w:rPr>
        <w:t xml:space="preserve"> v. Ecuador. </w:t>
      </w:r>
      <w:proofErr w:type="gramStart"/>
      <w:r w:rsidRPr="0079515C">
        <w:rPr>
          <w:rFonts w:cs="Verdana"/>
          <w:i/>
          <w:spacing w:val="-4"/>
          <w:sz w:val="16"/>
          <w:szCs w:val="16"/>
          <w:lang w:val="en-US"/>
        </w:rPr>
        <w:t>Preliminary objection and merits</w:t>
      </w:r>
      <w:r w:rsidRPr="0079515C">
        <w:rPr>
          <w:rFonts w:cs="Verdana"/>
          <w:spacing w:val="-4"/>
          <w:sz w:val="16"/>
          <w:szCs w:val="16"/>
          <w:lang w:val="en-US"/>
        </w:rPr>
        <w:t>.</w:t>
      </w:r>
      <w:proofErr w:type="gramEnd"/>
      <w:r w:rsidRPr="0079515C">
        <w:rPr>
          <w:rFonts w:cs="Verdana"/>
          <w:spacing w:val="-4"/>
          <w:sz w:val="16"/>
          <w:szCs w:val="16"/>
          <w:lang w:val="en-US"/>
        </w:rPr>
        <w:t xml:space="preserve"> Judgment of May 6, 2008. </w:t>
      </w:r>
      <w:r w:rsidRPr="00967E26">
        <w:rPr>
          <w:rFonts w:cs="Verdana"/>
          <w:spacing w:val="-4"/>
          <w:sz w:val="16"/>
          <w:szCs w:val="16"/>
          <w:lang w:val="en-US"/>
        </w:rPr>
        <w:t xml:space="preserve">Series C No. 179, para. </w:t>
      </w:r>
      <w:proofErr w:type="gramStart"/>
      <w:r w:rsidRPr="00967E26">
        <w:rPr>
          <w:rFonts w:cs="Verdana"/>
          <w:spacing w:val="-4"/>
          <w:sz w:val="16"/>
          <w:szCs w:val="16"/>
          <w:lang w:val="en-US"/>
        </w:rPr>
        <w:t>83,</w:t>
      </w:r>
      <w:proofErr w:type="gramEnd"/>
      <w:r w:rsidRPr="00967E26">
        <w:rPr>
          <w:rFonts w:cs="Verdana"/>
          <w:spacing w:val="-4"/>
          <w:sz w:val="16"/>
          <w:szCs w:val="16"/>
          <w:lang w:val="en-US"/>
        </w:rPr>
        <w:t xml:space="preserve"> and </w:t>
      </w:r>
      <w:r w:rsidRPr="00967E26">
        <w:rPr>
          <w:rFonts w:cs="Verdana"/>
          <w:bCs/>
          <w:i/>
          <w:spacing w:val="-4"/>
          <w:sz w:val="16"/>
          <w:szCs w:val="16"/>
          <w:lang w:val="en-US"/>
        </w:rPr>
        <w:t>Case of Argüelles et al. v. Argentina, supra</w:t>
      </w:r>
      <w:r w:rsidRPr="00967E26">
        <w:rPr>
          <w:rFonts w:cs="Verdana"/>
          <w:bCs/>
          <w:spacing w:val="-4"/>
          <w:sz w:val="16"/>
          <w:szCs w:val="16"/>
          <w:lang w:val="en-US"/>
        </w:rPr>
        <w:t xml:space="preserve">, para. </w:t>
      </w:r>
      <w:r w:rsidRPr="0039093A">
        <w:rPr>
          <w:rFonts w:cs="Verdana"/>
          <w:bCs/>
          <w:spacing w:val="-4"/>
          <w:sz w:val="16"/>
          <w:szCs w:val="16"/>
        </w:rPr>
        <w:t>190.</w:t>
      </w:r>
    </w:p>
  </w:footnote>
  <w:footnote w:id="293">
    <w:p w14:paraId="603F706F" w14:textId="70DB3A37"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39093A">
        <w:rPr>
          <w:spacing w:val="-4"/>
          <w:sz w:val="16"/>
          <w:szCs w:val="16"/>
        </w:rPr>
        <w:t xml:space="preserve">  </w:t>
      </w:r>
      <w:r w:rsidRPr="0039093A">
        <w:rPr>
          <w:spacing w:val="-4"/>
          <w:sz w:val="16"/>
          <w:szCs w:val="16"/>
        </w:rPr>
        <w:tab/>
      </w:r>
      <w:r w:rsidRPr="0039093A">
        <w:rPr>
          <w:i/>
          <w:spacing w:val="-4"/>
          <w:sz w:val="16"/>
          <w:szCs w:val="16"/>
        </w:rPr>
        <w:t>Cf.</w:t>
      </w:r>
      <w:r w:rsidRPr="0039093A">
        <w:rPr>
          <w:spacing w:val="-4"/>
          <w:sz w:val="16"/>
          <w:szCs w:val="16"/>
        </w:rPr>
        <w:t xml:space="preserve"> </w:t>
      </w:r>
      <w:r w:rsidRPr="0039093A">
        <w:rPr>
          <w:i/>
          <w:spacing w:val="-4"/>
          <w:sz w:val="16"/>
          <w:szCs w:val="16"/>
        </w:rPr>
        <w:t xml:space="preserve">inter </w:t>
      </w:r>
      <w:proofErr w:type="spellStart"/>
      <w:r w:rsidRPr="0039093A">
        <w:rPr>
          <w:i/>
          <w:spacing w:val="-4"/>
          <w:sz w:val="16"/>
          <w:szCs w:val="16"/>
        </w:rPr>
        <w:t>alia</w:t>
      </w:r>
      <w:proofErr w:type="spellEnd"/>
      <w:r w:rsidRPr="0039093A">
        <w:rPr>
          <w:spacing w:val="-4"/>
          <w:sz w:val="16"/>
          <w:szCs w:val="16"/>
        </w:rPr>
        <w:t xml:space="preserve">, </w:t>
      </w:r>
      <w:r w:rsidRPr="0039093A">
        <w:rPr>
          <w:rFonts w:cs="Verdana"/>
          <w:bCs/>
          <w:i/>
          <w:spacing w:val="-4"/>
          <w:sz w:val="16"/>
          <w:szCs w:val="16"/>
        </w:rPr>
        <w:t xml:space="preserve">Case of </w:t>
      </w:r>
      <w:proofErr w:type="spellStart"/>
      <w:r w:rsidRPr="0039093A">
        <w:rPr>
          <w:rFonts w:cs="Verdana"/>
          <w:bCs/>
          <w:i/>
          <w:spacing w:val="-4"/>
          <w:sz w:val="16"/>
          <w:szCs w:val="16"/>
        </w:rPr>
        <w:t>the</w:t>
      </w:r>
      <w:proofErr w:type="spellEnd"/>
      <w:r w:rsidRPr="0039093A">
        <w:rPr>
          <w:rFonts w:cs="Verdana"/>
          <w:bCs/>
          <w:i/>
          <w:spacing w:val="-4"/>
          <w:sz w:val="16"/>
          <w:szCs w:val="16"/>
        </w:rPr>
        <w:t xml:space="preserve"> Pueblo Bello </w:t>
      </w:r>
      <w:proofErr w:type="spellStart"/>
      <w:r w:rsidRPr="0039093A">
        <w:rPr>
          <w:rFonts w:cs="Verdana"/>
          <w:bCs/>
          <w:i/>
          <w:spacing w:val="-4"/>
          <w:sz w:val="16"/>
          <w:szCs w:val="16"/>
        </w:rPr>
        <w:t>Massacre</w:t>
      </w:r>
      <w:proofErr w:type="spellEnd"/>
      <w:r w:rsidRPr="0039093A">
        <w:rPr>
          <w:rFonts w:cs="Verdana"/>
          <w:bCs/>
          <w:i/>
          <w:spacing w:val="-4"/>
          <w:sz w:val="16"/>
          <w:szCs w:val="16"/>
        </w:rPr>
        <w:t xml:space="preserve"> v. Colombia, supra</w:t>
      </w:r>
      <w:r w:rsidRPr="0039093A">
        <w:rPr>
          <w:rFonts w:cs="Verdana"/>
          <w:spacing w:val="-4"/>
          <w:sz w:val="16"/>
          <w:szCs w:val="16"/>
        </w:rPr>
        <w:t xml:space="preserve">, para. </w:t>
      </w:r>
      <w:proofErr w:type="gramStart"/>
      <w:r w:rsidRPr="0079515C">
        <w:rPr>
          <w:rFonts w:cs="Verdana"/>
          <w:spacing w:val="-4"/>
          <w:sz w:val="16"/>
          <w:szCs w:val="16"/>
          <w:lang w:val="en-US"/>
        </w:rPr>
        <w:t>184,</w:t>
      </w:r>
      <w:proofErr w:type="gramEnd"/>
      <w:r w:rsidRPr="0079515C">
        <w:rPr>
          <w:rFonts w:cs="Verdana"/>
          <w:spacing w:val="-4"/>
          <w:sz w:val="16"/>
          <w:szCs w:val="16"/>
          <w:lang w:val="en-US"/>
        </w:rPr>
        <w:t xml:space="preserve"> and </w:t>
      </w:r>
      <w:r>
        <w:rPr>
          <w:rFonts w:cs="Verdana"/>
          <w:bCs/>
          <w:i/>
          <w:spacing w:val="-4"/>
          <w:sz w:val="16"/>
          <w:szCs w:val="16"/>
          <w:lang w:val="en-US"/>
        </w:rPr>
        <w:t xml:space="preserve">Case of the </w:t>
      </w:r>
      <w:proofErr w:type="spellStart"/>
      <w:r>
        <w:rPr>
          <w:rFonts w:cs="Verdana"/>
          <w:bCs/>
          <w:i/>
          <w:spacing w:val="-4"/>
          <w:sz w:val="16"/>
          <w:szCs w:val="16"/>
          <w:lang w:val="en-US"/>
        </w:rPr>
        <w:t>Ituango</w:t>
      </w:r>
      <w:proofErr w:type="spellEnd"/>
      <w:r w:rsidRPr="0079515C">
        <w:rPr>
          <w:rFonts w:cs="Verdana"/>
          <w:bCs/>
          <w:i/>
          <w:spacing w:val="-4"/>
          <w:sz w:val="16"/>
          <w:szCs w:val="16"/>
          <w:lang w:val="en-US"/>
        </w:rPr>
        <w:t xml:space="preserve"> Massacres v. Colombia. </w:t>
      </w:r>
      <w:proofErr w:type="gramStart"/>
      <w:r w:rsidRPr="0079515C">
        <w:rPr>
          <w:rFonts w:cs="Verdana"/>
          <w:bCs/>
          <w:i/>
          <w:spacing w:val="-4"/>
          <w:sz w:val="16"/>
          <w:szCs w:val="16"/>
          <w:lang w:val="en-US"/>
        </w:rPr>
        <w:t>Preliminary objection, merits, reparations and costs</w:t>
      </w:r>
      <w:r w:rsidRPr="0079515C">
        <w:rPr>
          <w:rFonts w:cs="Verdana"/>
          <w:bCs/>
          <w:spacing w:val="-4"/>
          <w:sz w:val="16"/>
          <w:szCs w:val="16"/>
          <w:lang w:val="en-US"/>
        </w:rPr>
        <w:t>.</w:t>
      </w:r>
      <w:proofErr w:type="gramEnd"/>
      <w:r w:rsidRPr="0079515C">
        <w:rPr>
          <w:rFonts w:cs="Verdana"/>
          <w:bCs/>
          <w:spacing w:val="-4"/>
          <w:sz w:val="16"/>
          <w:szCs w:val="16"/>
          <w:lang w:val="en-US"/>
        </w:rPr>
        <w:t xml:space="preserve"> Judgment of July 1, 2006. Series C No. 148, para. 293.</w:t>
      </w:r>
    </w:p>
  </w:footnote>
  <w:footnote w:id="294">
    <w:p w14:paraId="7CC93D65" w14:textId="612765D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Case of </w:t>
      </w:r>
      <w:proofErr w:type="spellStart"/>
      <w:r w:rsidRPr="0079515C">
        <w:rPr>
          <w:i/>
          <w:spacing w:val="-4"/>
          <w:lang w:val="en-US"/>
        </w:rPr>
        <w:t>Mémoli</w:t>
      </w:r>
      <w:proofErr w:type="spellEnd"/>
      <w:r w:rsidRPr="0079515C">
        <w:rPr>
          <w:i/>
          <w:spacing w:val="-4"/>
          <w:lang w:val="en-US"/>
        </w:rPr>
        <w:t xml:space="preserve"> v. Argentina, supra</w:t>
      </w:r>
      <w:r w:rsidRPr="0079515C">
        <w:rPr>
          <w:spacing w:val="-4"/>
          <w:lang w:val="en-US"/>
        </w:rPr>
        <w:t xml:space="preserve">, para. 173.     </w:t>
      </w:r>
    </w:p>
  </w:footnote>
  <w:footnote w:id="295">
    <w:p w14:paraId="4F453B2F" w14:textId="64D94DF2"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MS ????"/>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Case of </w:t>
      </w:r>
      <w:proofErr w:type="spellStart"/>
      <w:r w:rsidRPr="0079515C">
        <w:rPr>
          <w:i/>
          <w:spacing w:val="-4"/>
          <w:lang w:val="en-US"/>
        </w:rPr>
        <w:t>Mémoli</w:t>
      </w:r>
      <w:proofErr w:type="spellEnd"/>
      <w:r w:rsidRPr="0079515C">
        <w:rPr>
          <w:i/>
          <w:spacing w:val="-4"/>
          <w:lang w:val="en-US"/>
        </w:rPr>
        <w:t xml:space="preserve"> v. Argentina, supra</w:t>
      </w:r>
      <w:r w:rsidRPr="0079515C">
        <w:rPr>
          <w:spacing w:val="-4"/>
          <w:lang w:val="en-US"/>
        </w:rPr>
        <w:t xml:space="preserve">, para. 173. In this regard, see ECHR, </w:t>
      </w:r>
      <w:r w:rsidRPr="0079515C">
        <w:rPr>
          <w:i/>
          <w:spacing w:val="-4"/>
          <w:lang w:val="en-US"/>
        </w:rPr>
        <w:t>Case of</w:t>
      </w:r>
      <w:r w:rsidRPr="0079515C">
        <w:rPr>
          <w:spacing w:val="-4"/>
          <w:lang w:val="en-US"/>
        </w:rPr>
        <w:t xml:space="preserve"> </w:t>
      </w:r>
      <w:proofErr w:type="spellStart"/>
      <w:r w:rsidRPr="0079515C">
        <w:rPr>
          <w:i/>
          <w:iCs/>
          <w:spacing w:val="-4"/>
          <w:lang w:val="en-US"/>
        </w:rPr>
        <w:t>Stoidis</w:t>
      </w:r>
      <w:proofErr w:type="spellEnd"/>
      <w:r w:rsidRPr="0079515C">
        <w:rPr>
          <w:i/>
          <w:iCs/>
          <w:spacing w:val="-4"/>
          <w:lang w:val="en-US"/>
        </w:rPr>
        <w:t xml:space="preserve"> v. Greece, </w:t>
      </w:r>
      <w:r w:rsidRPr="0079515C">
        <w:rPr>
          <w:iCs/>
          <w:spacing w:val="-4"/>
          <w:lang w:val="en-US"/>
        </w:rPr>
        <w:t>N</w:t>
      </w:r>
      <w:r w:rsidRPr="0079515C">
        <w:rPr>
          <w:spacing w:val="-4"/>
          <w:lang w:val="en-US"/>
        </w:rPr>
        <w:t xml:space="preserve">o. 46407/99, Judgment of May 17, 2001, para. </w:t>
      </w:r>
      <w:r w:rsidRPr="0039093A">
        <w:rPr>
          <w:spacing w:val="-4"/>
        </w:rPr>
        <w:t>18.</w:t>
      </w:r>
    </w:p>
  </w:footnote>
  <w:footnote w:id="296">
    <w:p w14:paraId="2DFC5EB4" w14:textId="7F901746" w:rsidR="002306C1" w:rsidRPr="0079515C" w:rsidRDefault="002306C1" w:rsidP="00853044">
      <w:pPr>
        <w:shd w:val="clear" w:color="auto" w:fill="FFFFFF"/>
        <w:tabs>
          <w:tab w:val="left" w:pos="426"/>
        </w:tabs>
        <w:spacing w:before="120" w:after="120"/>
        <w:rPr>
          <w:spacing w:val="-4"/>
          <w:sz w:val="16"/>
          <w:szCs w:val="16"/>
          <w:lang w:val="en-US"/>
        </w:rPr>
      </w:pPr>
      <w:r w:rsidRPr="0079515C">
        <w:rPr>
          <w:rStyle w:val="FootnoteReference"/>
          <w:spacing w:val="-4"/>
          <w:sz w:val="16"/>
          <w:szCs w:val="16"/>
          <w:lang w:val="en-US"/>
        </w:rPr>
        <w:footnoteRef/>
      </w:r>
      <w:r w:rsidRPr="0039093A">
        <w:rPr>
          <w:spacing w:val="-4"/>
          <w:sz w:val="16"/>
          <w:szCs w:val="16"/>
        </w:rPr>
        <w:t xml:space="preserve"> </w:t>
      </w:r>
      <w:r w:rsidRPr="0039093A">
        <w:rPr>
          <w:spacing w:val="-4"/>
          <w:sz w:val="16"/>
          <w:szCs w:val="16"/>
        </w:rPr>
        <w:tab/>
      </w:r>
      <w:r w:rsidRPr="0039093A">
        <w:rPr>
          <w:i/>
          <w:iCs/>
          <w:spacing w:val="-4"/>
          <w:sz w:val="16"/>
          <w:szCs w:val="16"/>
        </w:rPr>
        <w:t xml:space="preserve">Mutatis </w:t>
      </w:r>
      <w:proofErr w:type="spellStart"/>
      <w:r w:rsidRPr="0039093A">
        <w:rPr>
          <w:i/>
          <w:iCs/>
          <w:spacing w:val="-4"/>
          <w:sz w:val="16"/>
          <w:szCs w:val="16"/>
        </w:rPr>
        <w:t>mutandi</w:t>
      </w:r>
      <w:proofErr w:type="spellEnd"/>
      <w:r w:rsidRPr="0039093A">
        <w:rPr>
          <w:i/>
          <w:iCs/>
          <w:spacing w:val="-4"/>
          <w:sz w:val="16"/>
          <w:szCs w:val="16"/>
        </w:rPr>
        <w:t xml:space="preserve">, Case of </w:t>
      </w:r>
      <w:proofErr w:type="spellStart"/>
      <w:r w:rsidRPr="0039093A">
        <w:rPr>
          <w:i/>
          <w:iCs/>
          <w:spacing w:val="-4"/>
          <w:sz w:val="16"/>
          <w:szCs w:val="16"/>
        </w:rPr>
        <w:t>Genie</w:t>
      </w:r>
      <w:proofErr w:type="spellEnd"/>
      <w:r w:rsidRPr="0039093A">
        <w:rPr>
          <w:i/>
          <w:iCs/>
          <w:spacing w:val="-4"/>
          <w:sz w:val="16"/>
          <w:szCs w:val="16"/>
        </w:rPr>
        <w:t xml:space="preserve"> Lacayo v. Nicaragua, supra</w:t>
      </w:r>
      <w:r w:rsidRPr="0039093A">
        <w:rPr>
          <w:spacing w:val="-4"/>
          <w:sz w:val="16"/>
          <w:szCs w:val="16"/>
        </w:rPr>
        <w:t xml:space="preserve">, para. </w:t>
      </w:r>
      <w:r w:rsidRPr="0079515C">
        <w:rPr>
          <w:spacing w:val="-4"/>
          <w:sz w:val="16"/>
          <w:szCs w:val="16"/>
          <w:lang w:val="en-US"/>
        </w:rPr>
        <w:t>79</w:t>
      </w:r>
      <w:r w:rsidRPr="0079515C">
        <w:rPr>
          <w:i/>
          <w:spacing w:val="-4"/>
          <w:sz w:val="16"/>
          <w:szCs w:val="16"/>
          <w:lang w:val="en-US"/>
        </w:rPr>
        <w:t xml:space="preserve">. </w:t>
      </w:r>
      <w:r w:rsidRPr="0079515C">
        <w:rPr>
          <w:iCs/>
          <w:spacing w:val="-4"/>
          <w:sz w:val="16"/>
          <w:szCs w:val="16"/>
          <w:lang w:val="en-US"/>
        </w:rPr>
        <w:t xml:space="preserve">See also, </w:t>
      </w:r>
      <w:r w:rsidRPr="0079515C">
        <w:rPr>
          <w:i/>
          <w:spacing w:val="-4"/>
          <w:sz w:val="16"/>
          <w:szCs w:val="16"/>
          <w:lang w:val="en-US"/>
        </w:rPr>
        <w:t xml:space="preserve">Case of </w:t>
      </w:r>
      <w:proofErr w:type="spellStart"/>
      <w:r w:rsidRPr="0079515C">
        <w:rPr>
          <w:i/>
          <w:spacing w:val="-4"/>
          <w:sz w:val="16"/>
          <w:szCs w:val="16"/>
          <w:lang w:val="en-US"/>
        </w:rPr>
        <w:t>Mémoli</w:t>
      </w:r>
      <w:proofErr w:type="spellEnd"/>
      <w:r w:rsidRPr="0079515C">
        <w:rPr>
          <w:i/>
          <w:spacing w:val="-4"/>
          <w:sz w:val="16"/>
          <w:szCs w:val="16"/>
          <w:lang w:val="en-US"/>
        </w:rPr>
        <w:t xml:space="preserve"> v. Argentina, supra</w:t>
      </w:r>
      <w:r w:rsidRPr="0079515C">
        <w:rPr>
          <w:spacing w:val="-4"/>
          <w:sz w:val="16"/>
          <w:szCs w:val="16"/>
          <w:lang w:val="en-US"/>
        </w:rPr>
        <w:t xml:space="preserve">, para. </w:t>
      </w:r>
      <w:proofErr w:type="gramStart"/>
      <w:r w:rsidRPr="0079515C">
        <w:rPr>
          <w:spacing w:val="-4"/>
          <w:sz w:val="16"/>
          <w:szCs w:val="16"/>
          <w:lang w:val="en-US"/>
        </w:rPr>
        <w:t>174;</w:t>
      </w:r>
      <w:r w:rsidRPr="0079515C">
        <w:rPr>
          <w:i/>
          <w:iCs/>
          <w:spacing w:val="-4"/>
          <w:sz w:val="16"/>
          <w:szCs w:val="16"/>
          <w:lang w:val="en-US"/>
        </w:rPr>
        <w:t xml:space="preserve"> </w:t>
      </w:r>
      <w:r w:rsidRPr="0079515C">
        <w:rPr>
          <w:spacing w:val="-4"/>
          <w:sz w:val="16"/>
          <w:szCs w:val="16"/>
          <w:lang w:val="en-US"/>
        </w:rPr>
        <w:t>ECHR,</w:t>
      </w:r>
      <w:r w:rsidRPr="0079515C">
        <w:rPr>
          <w:i/>
          <w:spacing w:val="-4"/>
          <w:sz w:val="16"/>
          <w:szCs w:val="16"/>
          <w:lang w:val="en-US"/>
        </w:rPr>
        <w:t xml:space="preserve"> Case of </w:t>
      </w:r>
      <w:proofErr w:type="spellStart"/>
      <w:r w:rsidRPr="0079515C">
        <w:rPr>
          <w:i/>
          <w:iCs/>
          <w:spacing w:val="-4"/>
          <w:sz w:val="16"/>
          <w:szCs w:val="16"/>
          <w:lang w:val="en-US"/>
        </w:rPr>
        <w:t>Kolomiyets</w:t>
      </w:r>
      <w:proofErr w:type="spellEnd"/>
      <w:r w:rsidRPr="0079515C">
        <w:rPr>
          <w:i/>
          <w:iCs/>
          <w:spacing w:val="-4"/>
          <w:sz w:val="16"/>
          <w:szCs w:val="16"/>
          <w:lang w:val="en-US"/>
        </w:rPr>
        <w:t xml:space="preserve"> v. Russia, </w:t>
      </w:r>
      <w:r w:rsidRPr="0079515C">
        <w:rPr>
          <w:iCs/>
          <w:spacing w:val="-4"/>
          <w:sz w:val="16"/>
          <w:szCs w:val="16"/>
          <w:lang w:val="en-US"/>
        </w:rPr>
        <w:t>N</w:t>
      </w:r>
      <w:r w:rsidRPr="0079515C">
        <w:rPr>
          <w:spacing w:val="-4"/>
          <w:sz w:val="16"/>
          <w:szCs w:val="16"/>
          <w:lang w:val="en-US"/>
        </w:rPr>
        <w:t>o. 76835/01, Judgment of February 22, 2007, para.</w:t>
      </w:r>
      <w:proofErr w:type="gramEnd"/>
      <w:r w:rsidRPr="0079515C">
        <w:rPr>
          <w:spacing w:val="-4"/>
          <w:sz w:val="16"/>
          <w:szCs w:val="16"/>
          <w:lang w:val="en-US"/>
        </w:rPr>
        <w:t xml:space="preserve"> </w:t>
      </w:r>
      <w:proofErr w:type="gramStart"/>
      <w:r w:rsidRPr="0079515C">
        <w:rPr>
          <w:spacing w:val="-4"/>
          <w:sz w:val="16"/>
          <w:szCs w:val="16"/>
          <w:lang w:val="en-US"/>
        </w:rPr>
        <w:t>29,</w:t>
      </w:r>
      <w:proofErr w:type="gramEnd"/>
      <w:r w:rsidRPr="0079515C">
        <w:rPr>
          <w:spacing w:val="-4"/>
          <w:sz w:val="16"/>
          <w:szCs w:val="16"/>
          <w:lang w:val="en-US"/>
        </w:rPr>
        <w:t xml:space="preserve"> and </w:t>
      </w:r>
      <w:r w:rsidRPr="0079515C">
        <w:rPr>
          <w:i/>
          <w:spacing w:val="-4"/>
          <w:sz w:val="16"/>
          <w:szCs w:val="16"/>
          <w:lang w:val="en-US"/>
        </w:rPr>
        <w:t xml:space="preserve">Case of </w:t>
      </w:r>
      <w:proofErr w:type="spellStart"/>
      <w:r w:rsidRPr="0079515C">
        <w:rPr>
          <w:i/>
          <w:iCs/>
          <w:spacing w:val="-4"/>
          <w:sz w:val="16"/>
          <w:szCs w:val="16"/>
          <w:lang w:val="en-US"/>
        </w:rPr>
        <w:t>Eckle</w:t>
      </w:r>
      <w:proofErr w:type="spellEnd"/>
      <w:r w:rsidRPr="0079515C">
        <w:rPr>
          <w:i/>
          <w:iCs/>
          <w:spacing w:val="-4"/>
          <w:sz w:val="16"/>
          <w:szCs w:val="16"/>
          <w:lang w:val="en-US"/>
        </w:rPr>
        <w:t xml:space="preserve"> v. Germany, </w:t>
      </w:r>
      <w:r w:rsidRPr="0079515C">
        <w:rPr>
          <w:iCs/>
          <w:spacing w:val="-4"/>
          <w:sz w:val="16"/>
          <w:szCs w:val="16"/>
          <w:lang w:val="en-US"/>
        </w:rPr>
        <w:t>No. 8130/78, Judgment of July 15, 1982,</w:t>
      </w:r>
      <w:r w:rsidRPr="0079515C">
        <w:rPr>
          <w:i/>
          <w:iCs/>
          <w:spacing w:val="-4"/>
          <w:sz w:val="16"/>
          <w:szCs w:val="16"/>
          <w:lang w:val="en-US"/>
        </w:rPr>
        <w:t xml:space="preserve"> </w:t>
      </w:r>
      <w:r w:rsidRPr="0079515C">
        <w:rPr>
          <w:iCs/>
          <w:spacing w:val="-4"/>
          <w:sz w:val="16"/>
          <w:szCs w:val="16"/>
          <w:lang w:val="en-US"/>
        </w:rPr>
        <w:t>para. 82</w:t>
      </w:r>
      <w:r w:rsidRPr="0079515C">
        <w:rPr>
          <w:i/>
          <w:iCs/>
          <w:spacing w:val="-4"/>
          <w:sz w:val="16"/>
          <w:szCs w:val="16"/>
          <w:lang w:val="en-US"/>
        </w:rPr>
        <w:t>.</w:t>
      </w:r>
    </w:p>
  </w:footnote>
  <w:footnote w:id="297">
    <w:p w14:paraId="45C9F70F" w14:textId="0BC413F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Case of </w:t>
      </w:r>
      <w:proofErr w:type="spellStart"/>
      <w:r w:rsidRPr="0079515C">
        <w:rPr>
          <w:i/>
          <w:spacing w:val="-4"/>
          <w:lang w:val="en-US"/>
        </w:rPr>
        <w:t>Mémoli</w:t>
      </w:r>
      <w:proofErr w:type="spellEnd"/>
      <w:r w:rsidRPr="0079515C">
        <w:rPr>
          <w:i/>
          <w:spacing w:val="-4"/>
          <w:lang w:val="en-US"/>
        </w:rPr>
        <w:t xml:space="preserve"> v. Argentina, supra</w:t>
      </w:r>
      <w:r w:rsidRPr="0079515C">
        <w:rPr>
          <w:spacing w:val="-4"/>
          <w:lang w:val="en-US"/>
        </w:rPr>
        <w:t>, para. 174. See also</w:t>
      </w:r>
      <w:r w:rsidRPr="0079515C">
        <w:rPr>
          <w:i/>
          <w:spacing w:val="-4"/>
          <w:lang w:val="en-US"/>
        </w:rPr>
        <w:t xml:space="preserve">, </w:t>
      </w:r>
      <w:r w:rsidRPr="0079515C">
        <w:rPr>
          <w:spacing w:val="-4"/>
          <w:lang w:val="en-US"/>
        </w:rPr>
        <w:t>ECHR,</w:t>
      </w:r>
      <w:r w:rsidRPr="0079515C">
        <w:rPr>
          <w:i/>
          <w:spacing w:val="-4"/>
          <w:lang w:val="en-US"/>
        </w:rPr>
        <w:t xml:space="preserve"> Case of </w:t>
      </w:r>
      <w:proofErr w:type="spellStart"/>
      <w:r w:rsidRPr="0079515C">
        <w:rPr>
          <w:i/>
          <w:iCs/>
          <w:spacing w:val="-4"/>
          <w:lang w:val="en-US"/>
        </w:rPr>
        <w:t>Eckle</w:t>
      </w:r>
      <w:proofErr w:type="spellEnd"/>
      <w:r w:rsidRPr="0079515C">
        <w:rPr>
          <w:i/>
          <w:iCs/>
          <w:spacing w:val="-4"/>
          <w:lang w:val="en-US"/>
        </w:rPr>
        <w:t xml:space="preserve"> v. Germany</w:t>
      </w:r>
      <w:r w:rsidRPr="0079515C">
        <w:rPr>
          <w:iCs/>
          <w:spacing w:val="-4"/>
          <w:lang w:val="en-US"/>
        </w:rPr>
        <w:t>, N</w:t>
      </w:r>
      <w:r w:rsidRPr="0079515C">
        <w:rPr>
          <w:spacing w:val="-4"/>
          <w:lang w:val="en-US"/>
        </w:rPr>
        <w:t xml:space="preserve">o. 8130/78, Judgment of July 15, 1982, para. </w:t>
      </w:r>
      <w:proofErr w:type="gramStart"/>
      <w:r w:rsidRPr="0079515C">
        <w:rPr>
          <w:spacing w:val="-4"/>
          <w:lang w:val="en-US"/>
        </w:rPr>
        <w:t xml:space="preserve">82; </w:t>
      </w:r>
      <w:r w:rsidRPr="0079515C">
        <w:rPr>
          <w:i/>
          <w:spacing w:val="-4"/>
          <w:lang w:val="en-US"/>
        </w:rPr>
        <w:t xml:space="preserve">Case of </w:t>
      </w:r>
      <w:proofErr w:type="spellStart"/>
      <w:r w:rsidRPr="0079515C">
        <w:rPr>
          <w:i/>
          <w:spacing w:val="-4"/>
          <w:lang w:val="en-US"/>
        </w:rPr>
        <w:t>Poiss</w:t>
      </w:r>
      <w:proofErr w:type="spellEnd"/>
      <w:r w:rsidRPr="0079515C">
        <w:rPr>
          <w:i/>
          <w:spacing w:val="-4"/>
          <w:lang w:val="en-US"/>
        </w:rPr>
        <w:t xml:space="preserve"> v. Austria</w:t>
      </w:r>
      <w:r w:rsidRPr="0079515C">
        <w:rPr>
          <w:spacing w:val="-4"/>
          <w:lang w:val="en-US"/>
        </w:rPr>
        <w:t>, No. 9816/82, Judgment of April 23, 1987, para.</w:t>
      </w:r>
      <w:proofErr w:type="gramEnd"/>
      <w:r w:rsidRPr="0079515C">
        <w:rPr>
          <w:spacing w:val="-4"/>
          <w:lang w:val="en-US"/>
        </w:rPr>
        <w:t xml:space="preserve"> </w:t>
      </w:r>
      <w:proofErr w:type="gramStart"/>
      <w:r w:rsidRPr="0079515C">
        <w:rPr>
          <w:spacing w:val="-4"/>
          <w:lang w:val="en-US"/>
        </w:rPr>
        <w:t>57,</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Wiesinger</w:t>
      </w:r>
      <w:proofErr w:type="spellEnd"/>
      <w:r w:rsidRPr="0079515C">
        <w:rPr>
          <w:i/>
          <w:spacing w:val="-4"/>
          <w:lang w:val="en-US"/>
        </w:rPr>
        <w:t xml:space="preserve"> v. Austria</w:t>
      </w:r>
      <w:r w:rsidRPr="0079515C">
        <w:rPr>
          <w:spacing w:val="-4"/>
          <w:lang w:val="en-US"/>
        </w:rPr>
        <w:t>, No. 11796/8, Judgment of October 30, 1991, para. 56.</w:t>
      </w:r>
    </w:p>
  </w:footnote>
  <w:footnote w:id="298">
    <w:p w14:paraId="7017C1DA" w14:textId="3D38AD5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This is demonstrated by the orders of the Court in which </w:t>
      </w:r>
      <w:r>
        <w:rPr>
          <w:spacing w:val="-4"/>
          <w:lang w:val="en-US"/>
        </w:rPr>
        <w:t>it</w:t>
      </w:r>
      <w:r w:rsidRPr="0079515C">
        <w:rPr>
          <w:spacing w:val="-4"/>
          <w:lang w:val="en-US"/>
        </w:rPr>
        <w:t xml:space="preserve"> stated that: the requirement of extreme gravity was met in the case of Wong Ho Wing given “the inherent risk of extraditing an individual […], when this extradition may lead to the application of the death penalty in a State outside the inter-American system; the requirement of urgency was met because “the possible extradition of [Wong Ho] Wing could occur at any time,” while the possible irreparable harm </w:t>
      </w:r>
      <w:r>
        <w:rPr>
          <w:spacing w:val="-4"/>
          <w:lang w:val="en-US"/>
        </w:rPr>
        <w:t xml:space="preserve">was </w:t>
      </w:r>
      <w:r w:rsidRPr="0079515C">
        <w:rPr>
          <w:spacing w:val="-4"/>
          <w:lang w:val="en-US"/>
        </w:rPr>
        <w:t xml:space="preserve">related to the preventive aspect, because if Wong Ho Wing was extradited “the harm caused </w:t>
      </w:r>
      <w:r>
        <w:rPr>
          <w:spacing w:val="-4"/>
          <w:lang w:val="en-US"/>
        </w:rPr>
        <w:t xml:space="preserve">was irreparable. </w:t>
      </w:r>
      <w:r w:rsidRPr="0079515C">
        <w:rPr>
          <w:spacing w:val="-4"/>
          <w:lang w:val="en-US"/>
        </w:rPr>
        <w:t xml:space="preserve">Thus, the right of petition established in Article 44 of the American Convention would be harmed irreversibly.” </w:t>
      </w:r>
      <w:proofErr w:type="gramStart"/>
      <w:r w:rsidRPr="0079515C">
        <w:rPr>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Peru</w:t>
      </w:r>
      <w:r w:rsidRPr="0079515C">
        <w:rPr>
          <w:spacing w:val="-4"/>
          <w:lang w:val="en-US"/>
        </w:rPr>
        <w:t>.</w:t>
      </w:r>
      <w:proofErr w:type="gramEnd"/>
      <w:r w:rsidRPr="0079515C">
        <w:rPr>
          <w:spacing w:val="-4"/>
          <w:lang w:val="en-US"/>
        </w:rPr>
        <w:t xml:space="preserve"> </w:t>
      </w:r>
      <w:proofErr w:type="gramStart"/>
      <w:r w:rsidRPr="0079515C">
        <w:rPr>
          <w:spacing w:val="-4"/>
          <w:lang w:val="en-US"/>
        </w:rPr>
        <w:t xml:space="preserve">Order of the Court of May 28, 2010, </w:t>
      </w:r>
      <w:proofErr w:type="spellStart"/>
      <w:r w:rsidRPr="0079515C">
        <w:rPr>
          <w:i/>
          <w:spacing w:val="-4"/>
          <w:lang w:val="en-US"/>
        </w:rPr>
        <w:t>consideranda</w:t>
      </w:r>
      <w:proofErr w:type="spellEnd"/>
      <w:r w:rsidRPr="0079515C">
        <w:rPr>
          <w:spacing w:val="-4"/>
          <w:lang w:val="en-US"/>
        </w:rPr>
        <w:t xml:space="preserve"> 12, 13, 14; </w:t>
      </w:r>
      <w:r w:rsidRPr="0079515C">
        <w:rPr>
          <w:i/>
          <w:spacing w:val="-4"/>
          <w:lang w:val="en-US"/>
        </w:rPr>
        <w:t>Matter of Wong Ho Wing.</w:t>
      </w:r>
      <w:proofErr w:type="gramEnd"/>
      <w:r w:rsidRPr="0079515C">
        <w:rPr>
          <w:b/>
          <w:spacing w:val="-4"/>
          <w:lang w:val="en-US"/>
        </w:rPr>
        <w:t xml:space="preserve"> </w:t>
      </w:r>
      <w:proofErr w:type="gramStart"/>
      <w:r w:rsidRPr="0079515C">
        <w:rPr>
          <w:i/>
          <w:spacing w:val="-4"/>
          <w:lang w:val="en-US"/>
        </w:rPr>
        <w:t>Provisional measures with regard to Peru.</w:t>
      </w:r>
      <w:proofErr w:type="gramEnd"/>
      <w:r w:rsidRPr="0079515C">
        <w:rPr>
          <w:i/>
          <w:spacing w:val="-4"/>
          <w:lang w:val="en-US"/>
        </w:rPr>
        <w:t xml:space="preserve"> </w:t>
      </w:r>
      <w:proofErr w:type="gramStart"/>
      <w:r w:rsidRPr="0079515C">
        <w:rPr>
          <w:spacing w:val="-4"/>
          <w:lang w:val="en-US"/>
        </w:rPr>
        <w:t xml:space="preserve">Order of the Court of March 4, 2011, </w:t>
      </w:r>
      <w:proofErr w:type="spellStart"/>
      <w:r w:rsidRPr="0079515C">
        <w:rPr>
          <w:i/>
          <w:spacing w:val="-4"/>
          <w:lang w:val="en-US"/>
        </w:rPr>
        <w:t>consideranda</w:t>
      </w:r>
      <w:proofErr w:type="spellEnd"/>
      <w:r w:rsidRPr="0079515C">
        <w:rPr>
          <w:spacing w:val="-4"/>
          <w:lang w:val="en-US"/>
        </w:rPr>
        <w:t xml:space="preserve"> 11, 12 and 13; </w:t>
      </w:r>
      <w:r w:rsidRPr="0079515C">
        <w:rPr>
          <w:i/>
          <w:spacing w:val="-4"/>
          <w:lang w:val="en-US"/>
        </w:rPr>
        <w:t>Matter of Wong Ho Wing</w:t>
      </w:r>
      <w:r w:rsidRPr="0079515C">
        <w:rPr>
          <w:spacing w:val="-4"/>
          <w:lang w:val="en-US"/>
        </w:rPr>
        <w:t>.</w:t>
      </w:r>
      <w:proofErr w:type="gramEnd"/>
      <w:r w:rsidRPr="0079515C">
        <w:rPr>
          <w:spacing w:val="-4"/>
          <w:lang w:val="en-US"/>
        </w:rPr>
        <w:t xml:space="preserve"> </w:t>
      </w:r>
      <w:proofErr w:type="gramStart"/>
      <w:r w:rsidRPr="0079515C">
        <w:rPr>
          <w:i/>
          <w:spacing w:val="-4"/>
          <w:lang w:val="en-US"/>
        </w:rPr>
        <w:t>Provisional measures with regard to Peru.</w:t>
      </w:r>
      <w:proofErr w:type="gramEnd"/>
      <w:r w:rsidRPr="0079515C">
        <w:rPr>
          <w:i/>
          <w:spacing w:val="-4"/>
          <w:lang w:val="en-US"/>
        </w:rPr>
        <w:t xml:space="preserve"> </w:t>
      </w:r>
      <w:proofErr w:type="gramStart"/>
      <w:r w:rsidRPr="0079515C">
        <w:rPr>
          <w:spacing w:val="-4"/>
          <w:lang w:val="en-US"/>
        </w:rPr>
        <w:t xml:space="preserve">Order of the Court of June 26, 2012, </w:t>
      </w:r>
      <w:proofErr w:type="spellStart"/>
      <w:r w:rsidRPr="0079515C">
        <w:rPr>
          <w:i/>
          <w:spacing w:val="-4"/>
          <w:lang w:val="en-US"/>
        </w:rPr>
        <w:t>consideranda</w:t>
      </w:r>
      <w:proofErr w:type="spellEnd"/>
      <w:r w:rsidRPr="0079515C">
        <w:rPr>
          <w:spacing w:val="-4"/>
          <w:lang w:val="en-US"/>
        </w:rPr>
        <w:t xml:space="preserve"> 34, 35 and 36; </w:t>
      </w:r>
      <w:r w:rsidRPr="0079515C">
        <w:rPr>
          <w:i/>
          <w:spacing w:val="-4"/>
          <w:lang w:val="en-US"/>
        </w:rPr>
        <w:t>Matter of Wong Ho Wing</w:t>
      </w:r>
      <w:r w:rsidRPr="0079515C">
        <w:rPr>
          <w:spacing w:val="-4"/>
          <w:lang w:val="en-US"/>
        </w:rPr>
        <w:t>.</w:t>
      </w:r>
      <w:proofErr w:type="gramEnd"/>
      <w:r w:rsidRPr="0079515C">
        <w:rPr>
          <w:b/>
          <w:spacing w:val="-4"/>
          <w:lang w:val="en-US"/>
        </w:rPr>
        <w:t xml:space="preserve"> </w:t>
      </w:r>
      <w:proofErr w:type="gramStart"/>
      <w:r w:rsidRPr="0079515C">
        <w:rPr>
          <w:i/>
          <w:spacing w:val="-4"/>
          <w:lang w:val="en-US"/>
        </w:rPr>
        <w:t>Provisional measures with regard to Peru.</w:t>
      </w:r>
      <w:proofErr w:type="gramEnd"/>
      <w:r w:rsidRPr="0079515C">
        <w:rPr>
          <w:i/>
          <w:spacing w:val="-4"/>
          <w:lang w:val="en-US"/>
        </w:rPr>
        <w:t xml:space="preserve"> </w:t>
      </w:r>
      <w:proofErr w:type="gramStart"/>
      <w:r w:rsidRPr="0079515C">
        <w:rPr>
          <w:spacing w:val="-4"/>
          <w:lang w:val="en-US"/>
        </w:rPr>
        <w:t xml:space="preserve">Order of the Court of May 22, 2013, </w:t>
      </w:r>
      <w:proofErr w:type="spellStart"/>
      <w:r w:rsidRPr="0079515C">
        <w:rPr>
          <w:i/>
          <w:spacing w:val="-4"/>
          <w:lang w:val="en-US"/>
        </w:rPr>
        <w:t>considerandum</w:t>
      </w:r>
      <w:proofErr w:type="spellEnd"/>
      <w:r w:rsidRPr="0079515C">
        <w:rPr>
          <w:spacing w:val="-4"/>
          <w:lang w:val="en-US"/>
        </w:rPr>
        <w:t xml:space="preserve"> and note 19.</w:t>
      </w:r>
      <w:proofErr w:type="gramEnd"/>
      <w:r w:rsidRPr="0079515C">
        <w:rPr>
          <w:spacing w:val="-4"/>
          <w:lang w:val="en-US"/>
        </w:rPr>
        <w:t xml:space="preserve"> These conclusions are not applicable merely to the decision in favor of extradition, but to the effective extradition and physical removal of Wong Ho Wing from Peru and his return to the authorities of the People’s Republic of China. In addition, starting with the new adoption of provisional measures in June 2012, this Court emphasized that, “in this matter, the preventive dimension of the measures seeks to avoid obstruction of compliance with an eventual decision of the organs of the inter-American system […], especially considering that, in this matter, the proposed beneficiary would be extradited to a State beyond the scope of the protection of the inter-American human rights system.” </w:t>
      </w:r>
      <w:proofErr w:type="gramStart"/>
      <w:r w:rsidRPr="0079515C">
        <w:rPr>
          <w:i/>
          <w:spacing w:val="-4"/>
          <w:lang w:val="en-US"/>
        </w:rPr>
        <w:t>Matter of Wong Ho Wing.</w:t>
      </w:r>
      <w:proofErr w:type="gramEnd"/>
      <w:r w:rsidRPr="0079515C">
        <w:rPr>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June 26, 2012, </w:t>
      </w:r>
      <w:proofErr w:type="spellStart"/>
      <w:r w:rsidRPr="0079515C">
        <w:rPr>
          <w:i/>
          <w:spacing w:val="-4"/>
          <w:lang w:val="en-US"/>
        </w:rPr>
        <w:t>considerandum</w:t>
      </w:r>
      <w:proofErr w:type="spellEnd"/>
      <w:r w:rsidRPr="0079515C">
        <w:rPr>
          <w:spacing w:val="-4"/>
          <w:lang w:val="en-US"/>
        </w:rPr>
        <w:t xml:space="preserve"> 40; </w:t>
      </w:r>
      <w:r w:rsidRPr="0079515C">
        <w:rPr>
          <w:i/>
          <w:spacing w:val="-4"/>
          <w:lang w:val="en-US"/>
        </w:rPr>
        <w:t>Matter of Wong Ho Wing.</w:t>
      </w:r>
      <w:proofErr w:type="gramEnd"/>
      <w:r w:rsidRPr="0079515C">
        <w:rPr>
          <w:spacing w:val="-4"/>
          <w:lang w:val="en-US"/>
        </w:rPr>
        <w:t xml:space="preserve"> </w:t>
      </w:r>
      <w:proofErr w:type="gramStart"/>
      <w:r w:rsidRPr="0079515C">
        <w:rPr>
          <w:i/>
          <w:spacing w:val="-4"/>
          <w:lang w:val="en-US"/>
        </w:rPr>
        <w:t>Provisional measures with regard to Peru</w:t>
      </w:r>
      <w:r w:rsidRPr="0079515C">
        <w:rPr>
          <w:spacing w:val="-4"/>
          <w:lang w:val="en-US"/>
        </w:rPr>
        <w:t>.</w:t>
      </w:r>
      <w:proofErr w:type="gramEnd"/>
      <w:r w:rsidRPr="0079515C">
        <w:rPr>
          <w:spacing w:val="-4"/>
          <w:lang w:val="en-US"/>
        </w:rPr>
        <w:t xml:space="preserve"> </w:t>
      </w:r>
      <w:proofErr w:type="gramStart"/>
      <w:r w:rsidRPr="0079515C">
        <w:rPr>
          <w:spacing w:val="-4"/>
          <w:lang w:val="en-US"/>
        </w:rPr>
        <w:t xml:space="preserve">Order of the acting President of the Court of December 6, 2012, </w:t>
      </w:r>
      <w:proofErr w:type="spellStart"/>
      <w:r w:rsidRPr="0079515C">
        <w:rPr>
          <w:i/>
          <w:spacing w:val="-4"/>
          <w:lang w:val="en-US"/>
        </w:rPr>
        <w:t>considerandum</w:t>
      </w:r>
      <w:proofErr w:type="spellEnd"/>
      <w:r w:rsidRPr="0079515C">
        <w:rPr>
          <w:spacing w:val="-4"/>
          <w:lang w:val="en-US"/>
        </w:rPr>
        <w:t xml:space="preserve"> 6; </w:t>
      </w:r>
      <w:r w:rsidRPr="0079515C">
        <w:rPr>
          <w:i/>
          <w:spacing w:val="-4"/>
          <w:lang w:val="en-US"/>
        </w:rPr>
        <w:t>Matter of Wong Ho Wing.</w:t>
      </w:r>
      <w:proofErr w:type="gramEnd"/>
      <w:r w:rsidRPr="0079515C">
        <w:rPr>
          <w:spacing w:val="-4"/>
          <w:lang w:val="en-US"/>
        </w:rPr>
        <w:t xml:space="preserve"> </w:t>
      </w:r>
      <w:proofErr w:type="gramStart"/>
      <w:r w:rsidRPr="0079515C">
        <w:rPr>
          <w:i/>
          <w:spacing w:val="-4"/>
          <w:lang w:val="en-US"/>
        </w:rPr>
        <w:t>Provisional measures with regard to Peru</w:t>
      </w:r>
      <w:r w:rsidRPr="0079515C">
        <w:rPr>
          <w:spacing w:val="-4"/>
          <w:lang w:val="en-US"/>
        </w:rPr>
        <w:t>.</w:t>
      </w:r>
      <w:proofErr w:type="gramEnd"/>
      <w:r w:rsidRPr="0079515C">
        <w:rPr>
          <w:spacing w:val="-4"/>
          <w:lang w:val="en-US"/>
        </w:rPr>
        <w:t xml:space="preserve"> </w:t>
      </w:r>
      <w:proofErr w:type="gramStart"/>
      <w:r w:rsidRPr="0079515C">
        <w:rPr>
          <w:spacing w:val="-4"/>
          <w:lang w:val="en-US"/>
        </w:rPr>
        <w:t xml:space="preserve">Order of the Court of February 13, 2013, </w:t>
      </w:r>
      <w:proofErr w:type="spellStart"/>
      <w:r w:rsidRPr="0079515C">
        <w:rPr>
          <w:i/>
          <w:spacing w:val="-4"/>
          <w:lang w:val="en-US"/>
        </w:rPr>
        <w:t>considerandum</w:t>
      </w:r>
      <w:proofErr w:type="spellEnd"/>
      <w:r w:rsidRPr="0079515C">
        <w:rPr>
          <w:spacing w:val="-4"/>
          <w:lang w:val="en-US"/>
        </w:rPr>
        <w:t xml:space="preserve"> 6; </w:t>
      </w:r>
      <w:r w:rsidRPr="0079515C">
        <w:rPr>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May 22, 2013, </w:t>
      </w:r>
      <w:proofErr w:type="spellStart"/>
      <w:r w:rsidRPr="0079515C">
        <w:rPr>
          <w:i/>
          <w:spacing w:val="-4"/>
          <w:lang w:val="en-US"/>
        </w:rPr>
        <w:t>considerandum</w:t>
      </w:r>
      <w:proofErr w:type="spellEnd"/>
      <w:r w:rsidRPr="0079515C">
        <w:rPr>
          <w:spacing w:val="-4"/>
          <w:lang w:val="en-US"/>
        </w:rPr>
        <w:t xml:space="preserve"> 6, and </w:t>
      </w:r>
      <w:r w:rsidRPr="0079515C">
        <w:rPr>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August 22, 2013, </w:t>
      </w:r>
      <w:proofErr w:type="spellStart"/>
      <w:r w:rsidRPr="0079515C">
        <w:rPr>
          <w:i/>
          <w:spacing w:val="-4"/>
          <w:lang w:val="en-US"/>
        </w:rPr>
        <w:t>considerandum</w:t>
      </w:r>
      <w:proofErr w:type="spellEnd"/>
      <w:r w:rsidRPr="0079515C">
        <w:rPr>
          <w:spacing w:val="-4"/>
          <w:lang w:val="en-US"/>
        </w:rPr>
        <w:t xml:space="preserve"> 7.</w:t>
      </w:r>
      <w:proofErr w:type="gramEnd"/>
    </w:p>
  </w:footnote>
  <w:footnote w:id="299">
    <w:p w14:paraId="5A74CC5E" w14:textId="29EC073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 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May 22, 2013, </w:t>
      </w:r>
      <w:proofErr w:type="spellStart"/>
      <w:r w:rsidRPr="0079515C">
        <w:rPr>
          <w:i/>
          <w:spacing w:val="-4"/>
          <w:lang w:val="en-US"/>
        </w:rPr>
        <w:t>considerandum</w:t>
      </w:r>
      <w:proofErr w:type="spellEnd"/>
      <w:r w:rsidRPr="0079515C">
        <w:rPr>
          <w:spacing w:val="-4"/>
          <w:lang w:val="en-US"/>
        </w:rPr>
        <w:t xml:space="preserve"> 19; </w:t>
      </w:r>
      <w:r w:rsidRPr="0079515C">
        <w:rPr>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August 22, 2013, </w:t>
      </w:r>
      <w:proofErr w:type="spellStart"/>
      <w:r w:rsidRPr="0079515C">
        <w:rPr>
          <w:i/>
          <w:spacing w:val="-4"/>
          <w:lang w:val="en-US"/>
        </w:rPr>
        <w:t>consideranda</w:t>
      </w:r>
      <w:proofErr w:type="spellEnd"/>
      <w:r w:rsidRPr="0079515C">
        <w:rPr>
          <w:spacing w:val="-4"/>
          <w:lang w:val="en-US"/>
        </w:rPr>
        <w:t xml:space="preserve"> 5; </w:t>
      </w:r>
      <w:r w:rsidRPr="0079515C">
        <w:rPr>
          <w:rStyle w:val="Strong"/>
          <w:b w:val="0"/>
          <w:i/>
          <w:color w:val="000000"/>
          <w:spacing w:val="-4"/>
          <w:shd w:val="clear" w:color="auto" w:fill="FFFFFF"/>
          <w:lang w:val="en-US"/>
        </w:rPr>
        <w:t>Case of Wong Ho Wing.</w:t>
      </w:r>
      <w:proofErr w:type="gramEnd"/>
      <w:r w:rsidRPr="0079515C">
        <w:rPr>
          <w:rStyle w:val="Strong"/>
          <w:b w:val="0"/>
          <w:i/>
          <w:color w:val="000000"/>
          <w:spacing w:val="-4"/>
          <w:shd w:val="clear" w:color="auto" w:fill="FFFFFF"/>
          <w:lang w:val="en-US"/>
        </w:rPr>
        <w:t xml:space="preserve"> </w:t>
      </w:r>
      <w:proofErr w:type="gramStart"/>
      <w:r w:rsidRPr="0079515C">
        <w:rPr>
          <w:rStyle w:val="Strong"/>
          <w:b w:val="0"/>
          <w:i/>
          <w:color w:val="000000"/>
          <w:spacing w:val="-4"/>
          <w:shd w:val="clear" w:color="auto" w:fill="FFFFFF"/>
          <w:lang w:val="en-US"/>
        </w:rPr>
        <w:t>Provisional measures with regard to Peru.</w:t>
      </w:r>
      <w:proofErr w:type="gramEnd"/>
      <w:r w:rsidRPr="0079515C">
        <w:rPr>
          <w:rStyle w:val="Strong"/>
          <w:b w:val="0"/>
          <w:color w:val="000000"/>
          <w:spacing w:val="-4"/>
          <w:shd w:val="clear" w:color="auto" w:fill="FFFFFF"/>
          <w:lang w:val="en-US"/>
        </w:rPr>
        <w:t xml:space="preserve"> </w:t>
      </w:r>
      <w:proofErr w:type="gramStart"/>
      <w:r w:rsidRPr="0079515C">
        <w:rPr>
          <w:rStyle w:val="Strong"/>
          <w:b w:val="0"/>
          <w:color w:val="000000"/>
          <w:spacing w:val="-4"/>
          <w:shd w:val="clear" w:color="auto" w:fill="FFFFFF"/>
          <w:lang w:val="en-US"/>
        </w:rPr>
        <w:t>Order of the Court of January 29, 2014</w:t>
      </w:r>
      <w:r w:rsidRPr="0079515C">
        <w:rPr>
          <w:spacing w:val="-4"/>
          <w:lang w:val="en-US"/>
        </w:rPr>
        <w:t xml:space="preserve">, </w:t>
      </w:r>
      <w:proofErr w:type="spellStart"/>
      <w:r w:rsidRPr="0079515C">
        <w:rPr>
          <w:i/>
          <w:spacing w:val="-4"/>
          <w:lang w:val="en-US"/>
        </w:rPr>
        <w:t>considerandum</w:t>
      </w:r>
      <w:proofErr w:type="spellEnd"/>
      <w:r w:rsidRPr="0079515C">
        <w:rPr>
          <w:spacing w:val="-4"/>
          <w:lang w:val="en-US"/>
        </w:rPr>
        <w:t xml:space="preserve"> 10, and </w:t>
      </w:r>
      <w:r w:rsidRPr="0079515C">
        <w:rPr>
          <w:i/>
          <w:spacing w:val="-4"/>
          <w:lang w:val="en-US"/>
        </w:rPr>
        <w:t>Case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spacing w:val="-4"/>
          <w:lang w:val="en-US"/>
        </w:rPr>
        <w:t xml:space="preserve">Order of the Court of March 31, 2014, </w:t>
      </w:r>
      <w:proofErr w:type="spellStart"/>
      <w:r w:rsidRPr="0079515C">
        <w:rPr>
          <w:i/>
          <w:spacing w:val="-4"/>
          <w:lang w:val="en-US"/>
        </w:rPr>
        <w:t>considerandum</w:t>
      </w:r>
      <w:proofErr w:type="spellEnd"/>
      <w:r w:rsidRPr="0079515C">
        <w:rPr>
          <w:spacing w:val="-4"/>
          <w:lang w:val="en-US"/>
        </w:rPr>
        <w:t xml:space="preserve"> 17.</w:t>
      </w:r>
      <w:proofErr w:type="gramEnd"/>
    </w:p>
  </w:footnote>
  <w:footnote w:id="300">
    <w:p w14:paraId="4DD11BDF" w14:textId="2C1F244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Extradition request from </w:t>
      </w:r>
      <w:r>
        <w:rPr>
          <w:spacing w:val="-4"/>
          <w:lang w:val="en-US"/>
        </w:rPr>
        <w:t xml:space="preserve">General Directorate </w:t>
      </w:r>
      <w:r w:rsidRPr="0079515C">
        <w:rPr>
          <w:spacing w:val="-4"/>
          <w:lang w:val="en-US"/>
        </w:rPr>
        <w:t>No. 24 of the Ministry of Public Security of the People’s Republic of China of November 3, 2008 (evidence file, folio 28), and Decision of the Second Criminal Court of El Callao of November 14, 2008 (evidence f</w:t>
      </w:r>
      <w:r>
        <w:rPr>
          <w:spacing w:val="-4"/>
          <w:lang w:val="en-US"/>
        </w:rPr>
        <w:t>ile, folios 1737 and 1738). The</w:t>
      </w:r>
      <w:r w:rsidRPr="0079515C">
        <w:rPr>
          <w:spacing w:val="-4"/>
          <w:lang w:val="en-US"/>
        </w:rPr>
        <w:t xml:space="preserve"> request was sent under a note of the Embassy of the People’s Republic of China dated November 13, 2008</w:t>
      </w:r>
      <w:r w:rsidRPr="0079515C">
        <w:rPr>
          <w:i/>
          <w:spacing w:val="-4"/>
          <w:lang w:val="en-US"/>
        </w:rPr>
        <w:t xml:space="preserve"> </w:t>
      </w:r>
      <w:r w:rsidRPr="0079515C">
        <w:rPr>
          <w:spacing w:val="-4"/>
          <w:lang w:val="en-US"/>
        </w:rPr>
        <w:t>(evidence file, folio 35).</w:t>
      </w:r>
    </w:p>
  </w:footnote>
  <w:footnote w:id="301">
    <w:p w14:paraId="435B7873" w14:textId="5610DD7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Extradition Treaty between the Republic of Peru and the People</w:t>
      </w:r>
      <w:r>
        <w:rPr>
          <w:spacing w:val="-4"/>
          <w:lang w:val="en-US"/>
        </w:rPr>
        <w:t>’s Republic of China, Article 7.1</w:t>
      </w:r>
      <w:r w:rsidRPr="0079515C">
        <w:rPr>
          <w:spacing w:val="-4"/>
          <w:lang w:val="en-US"/>
        </w:rPr>
        <w:t xml:space="preserve">.d (evidence file, folio 8299), and Code of Criminal Procedure, promulgated by Legislative Decree No. 957 of July 29, 2004, article 518.1.d. Available at: </w:t>
      </w:r>
      <w:hyperlink r:id="rId88" w:history="1">
        <w:r w:rsidRPr="0079515C">
          <w:rPr>
            <w:rStyle w:val="Hyperlink"/>
            <w:spacing w:val="-4"/>
            <w:lang w:val="en-US"/>
          </w:rPr>
          <w:t>http://www.leyes.congreso.gob.pe/Documentos/Decretoslegislativos/00957.pdf</w:t>
        </w:r>
      </w:hyperlink>
      <w:r w:rsidRPr="0079515C">
        <w:rPr>
          <w:spacing w:val="-4"/>
          <w:lang w:val="en-US"/>
        </w:rPr>
        <w:t>, cited in the Commission’s Merits Report, folio 24.</w:t>
      </w:r>
    </w:p>
  </w:footnote>
  <w:footnote w:id="302">
    <w:p w14:paraId="6A271F2A" w14:textId="5EFEFBD9" w:rsidR="002306C1" w:rsidRPr="0079515C" w:rsidRDefault="002306C1" w:rsidP="00853044">
      <w:pPr>
        <w:tabs>
          <w:tab w:val="left" w:pos="426"/>
        </w:tabs>
        <w:spacing w:before="120" w:after="120"/>
        <w:rPr>
          <w:color w:val="1F497D"/>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spacing w:val="-4"/>
          <w:sz w:val="16"/>
          <w:szCs w:val="16"/>
          <w:lang w:val="en-US"/>
        </w:rPr>
        <w:t>Extradition Treaty between the Republic of Peru and the People’s Republic of China, article 8 (evidence file, folio 8299).</w:t>
      </w:r>
      <w:proofErr w:type="gramEnd"/>
      <w:r w:rsidRPr="0079515C">
        <w:rPr>
          <w:spacing w:val="-4"/>
          <w:sz w:val="16"/>
          <w:szCs w:val="16"/>
          <w:lang w:val="en-US"/>
        </w:rPr>
        <w:t xml:space="preserve"> See also,</w:t>
      </w:r>
      <w:r w:rsidRPr="0079515C">
        <w:rPr>
          <w:i/>
          <w:spacing w:val="-4"/>
          <w:sz w:val="16"/>
          <w:szCs w:val="16"/>
          <w:lang w:val="en-US"/>
        </w:rPr>
        <w:t xml:space="preserve"> </w:t>
      </w:r>
      <w:r w:rsidRPr="0079515C">
        <w:rPr>
          <w:spacing w:val="-4"/>
          <w:sz w:val="16"/>
          <w:szCs w:val="16"/>
          <w:lang w:val="en-US"/>
        </w:rPr>
        <w:t xml:space="preserve">Supreme Decree No. 016-2006-JUS. Norms on judicial and government conduct in matters relating to extraditions and </w:t>
      </w:r>
      <w:r>
        <w:rPr>
          <w:spacing w:val="-4"/>
          <w:sz w:val="16"/>
          <w:szCs w:val="16"/>
          <w:lang w:val="en-US"/>
        </w:rPr>
        <w:t xml:space="preserve">prisoner </w:t>
      </w:r>
      <w:r w:rsidRPr="0079515C">
        <w:rPr>
          <w:spacing w:val="-4"/>
          <w:sz w:val="16"/>
          <w:szCs w:val="16"/>
          <w:lang w:val="en-US"/>
        </w:rPr>
        <w:t>transfer</w:t>
      </w:r>
      <w:r>
        <w:rPr>
          <w:spacing w:val="-4"/>
          <w:sz w:val="16"/>
          <w:szCs w:val="16"/>
          <w:lang w:val="en-US"/>
        </w:rPr>
        <w:t>s</w:t>
      </w:r>
      <w:r w:rsidRPr="0079515C">
        <w:rPr>
          <w:spacing w:val="-4"/>
          <w:sz w:val="16"/>
          <w:szCs w:val="16"/>
          <w:lang w:val="en-US"/>
        </w:rPr>
        <w:t xml:space="preserve">. Published on July 26, 2006, article 2 (evidence file, folio 8548), and Code of Criminal Procedure, promulgated by Legislative Decree No. 957 of July 29, 2004, article 518. Available at: </w:t>
      </w:r>
      <w:hyperlink r:id="rId89" w:history="1">
        <w:r w:rsidRPr="00DB4157">
          <w:rPr>
            <w:rStyle w:val="Hyperlink"/>
            <w:spacing w:val="-4"/>
            <w:sz w:val="16"/>
            <w:szCs w:val="16"/>
            <w:lang w:val="en-US"/>
          </w:rPr>
          <w:t xml:space="preserve">http://www.leyes.congreso.gob.pe/ </w:t>
        </w:r>
        <w:proofErr w:type="spellStart"/>
        <w:r w:rsidRPr="00DB4157">
          <w:rPr>
            <w:rStyle w:val="Hyperlink"/>
            <w:spacing w:val="-4"/>
            <w:sz w:val="16"/>
            <w:szCs w:val="16"/>
            <w:lang w:val="en-US"/>
          </w:rPr>
          <w:t>Documentos</w:t>
        </w:r>
        <w:proofErr w:type="spellEnd"/>
        <w:r w:rsidRPr="00DB4157">
          <w:rPr>
            <w:rStyle w:val="Hyperlink"/>
            <w:spacing w:val="-4"/>
            <w:sz w:val="16"/>
            <w:szCs w:val="16"/>
            <w:lang w:val="en-US"/>
          </w:rPr>
          <w:t>/</w:t>
        </w:r>
        <w:proofErr w:type="spellStart"/>
        <w:r w:rsidRPr="00DB4157">
          <w:rPr>
            <w:rStyle w:val="Hyperlink"/>
            <w:spacing w:val="-4"/>
            <w:sz w:val="16"/>
            <w:szCs w:val="16"/>
            <w:lang w:val="en-US"/>
          </w:rPr>
          <w:t>Decretoslegislativos</w:t>
        </w:r>
        <w:proofErr w:type="spellEnd"/>
        <w:r w:rsidRPr="00DB4157">
          <w:rPr>
            <w:rStyle w:val="Hyperlink"/>
            <w:spacing w:val="-4"/>
            <w:sz w:val="16"/>
            <w:szCs w:val="16"/>
            <w:lang w:val="en-US"/>
          </w:rPr>
          <w:t>/00957.pdf</w:t>
        </w:r>
      </w:hyperlink>
      <w:r w:rsidRPr="0079515C">
        <w:rPr>
          <w:spacing w:val="-4"/>
          <w:sz w:val="16"/>
          <w:szCs w:val="16"/>
          <w:lang w:val="en-US"/>
        </w:rPr>
        <w:t>, cited in the Commission’s Merits Report, folio 24.</w:t>
      </w:r>
    </w:p>
  </w:footnote>
  <w:footnote w:id="303">
    <w:p w14:paraId="79E37056" w14:textId="7F83968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Decision of the Second Special Criminal Chamber for proceedings with the accused in prison of the Superior Court of Justice of Lima of June 15, 2009 (evidence file, folio 6228).</w:t>
      </w:r>
    </w:p>
  </w:footnote>
  <w:footnote w:id="304">
    <w:p w14:paraId="25598A88" w14:textId="34F53F6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Advisory decision of the Permanent Criminal Chamber of January 27, 2010 (evidence file, folios 164 and 165).</w:t>
      </w:r>
      <w:proofErr w:type="gramEnd"/>
      <w:r w:rsidRPr="0079515C">
        <w:rPr>
          <w:spacing w:val="-4"/>
          <w:lang w:val="en-US"/>
        </w:rPr>
        <w:t xml:space="preserve"> </w:t>
      </w:r>
    </w:p>
  </w:footnote>
  <w:footnote w:id="305">
    <w:p w14:paraId="77243D79" w14:textId="1DC2B8C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Judgment of the Constitutional Court of May 24, 2011 (evidence file, folio 281).</w:t>
      </w:r>
      <w:proofErr w:type="gramEnd"/>
    </w:p>
  </w:footnote>
  <w:footnote w:id="306">
    <w:p w14:paraId="44574265" w14:textId="6C7C2F39" w:rsidR="002306C1" w:rsidRPr="0039093A" w:rsidRDefault="002306C1" w:rsidP="00853044">
      <w:pPr>
        <w:tabs>
          <w:tab w:val="left" w:pos="426"/>
        </w:tabs>
        <w:spacing w:before="120" w:after="120"/>
        <w:rPr>
          <w:spacing w:val="-4"/>
          <w:sz w:val="16"/>
          <w:szCs w:val="16"/>
        </w:rPr>
      </w:pPr>
      <w:r w:rsidRPr="0079515C">
        <w:rPr>
          <w:rStyle w:val="FootnoteReference"/>
          <w:spacing w:val="-4"/>
          <w:sz w:val="16"/>
          <w:szCs w:val="16"/>
          <w:lang w:val="en-US"/>
        </w:rPr>
        <w:footnoteRef/>
      </w:r>
      <w:r w:rsidRPr="0039093A">
        <w:rPr>
          <w:spacing w:val="-4"/>
          <w:sz w:val="16"/>
          <w:szCs w:val="16"/>
        </w:rPr>
        <w:t xml:space="preserve"> </w:t>
      </w:r>
      <w:r w:rsidRPr="0039093A">
        <w:rPr>
          <w:spacing w:val="-4"/>
          <w:sz w:val="16"/>
          <w:szCs w:val="16"/>
        </w:rPr>
        <w:tab/>
      </w:r>
      <w:r w:rsidRPr="0039093A">
        <w:rPr>
          <w:i/>
          <w:spacing w:val="-4"/>
          <w:sz w:val="16"/>
          <w:szCs w:val="16"/>
        </w:rPr>
        <w:t>Cf.</w:t>
      </w:r>
      <w:r w:rsidRPr="0039093A">
        <w:rPr>
          <w:spacing w:val="-4"/>
          <w:sz w:val="16"/>
          <w:szCs w:val="16"/>
        </w:rPr>
        <w:t xml:space="preserve"> </w:t>
      </w:r>
      <w:r w:rsidRPr="0039093A">
        <w:rPr>
          <w:bCs/>
          <w:i/>
          <w:spacing w:val="-4"/>
          <w:sz w:val="16"/>
          <w:szCs w:val="16"/>
        </w:rPr>
        <w:t>Case of Valle Jaramillo et al. v. Colombia, supra</w:t>
      </w:r>
      <w:r w:rsidRPr="0039093A">
        <w:rPr>
          <w:bCs/>
          <w:spacing w:val="-4"/>
          <w:sz w:val="16"/>
          <w:szCs w:val="16"/>
        </w:rPr>
        <w:t xml:space="preserve">, </w:t>
      </w:r>
      <w:r w:rsidRPr="0039093A">
        <w:rPr>
          <w:spacing w:val="-4"/>
          <w:sz w:val="16"/>
          <w:szCs w:val="16"/>
        </w:rPr>
        <w:t xml:space="preserve">para. 155, and </w:t>
      </w:r>
      <w:r w:rsidRPr="0039093A">
        <w:rPr>
          <w:i/>
          <w:spacing w:val="-4"/>
          <w:sz w:val="16"/>
          <w:szCs w:val="16"/>
        </w:rPr>
        <w:t>Case of Argüelles et al. v. Argentina, supra</w:t>
      </w:r>
      <w:r w:rsidRPr="0039093A">
        <w:rPr>
          <w:spacing w:val="-4"/>
          <w:sz w:val="16"/>
          <w:szCs w:val="16"/>
        </w:rPr>
        <w:t>, para. 196.</w:t>
      </w:r>
    </w:p>
  </w:footnote>
  <w:footnote w:id="307">
    <w:p w14:paraId="629AE4D8" w14:textId="4638CD4D" w:rsidR="002306C1" w:rsidRPr="0079515C" w:rsidRDefault="002306C1" w:rsidP="00853044">
      <w:pPr>
        <w:pStyle w:val="FootnoteText"/>
        <w:tabs>
          <w:tab w:val="clear" w:pos="567"/>
          <w:tab w:val="left" w:pos="426"/>
        </w:tabs>
        <w:spacing w:before="120" w:after="120"/>
        <w:rPr>
          <w:iCs/>
          <w:spacing w:val="-4"/>
          <w:lang w:val="en-US" w:bidi="en-US"/>
        </w:rPr>
      </w:pPr>
      <w:r w:rsidRPr="0079515C">
        <w:rPr>
          <w:rStyle w:val="FootnoteReference"/>
          <w:spacing w:val="-4"/>
          <w:lang w:val="en-US"/>
        </w:rPr>
        <w:footnoteRef/>
      </w:r>
      <w:r w:rsidRPr="0039093A">
        <w:rPr>
          <w:spacing w:val="-4"/>
        </w:rPr>
        <w:t xml:space="preserve"> </w:t>
      </w:r>
      <w:r w:rsidRPr="0039093A">
        <w:rPr>
          <w:spacing w:val="-4"/>
        </w:rPr>
        <w:tab/>
      </w:r>
      <w:r w:rsidRPr="0039093A">
        <w:rPr>
          <w:i/>
          <w:iCs/>
          <w:spacing w:val="-4"/>
          <w:lang w:bidi="en-US"/>
        </w:rPr>
        <w:t>Cf.</w:t>
      </w:r>
      <w:r w:rsidRPr="0039093A">
        <w:rPr>
          <w:spacing w:val="-4"/>
          <w:lang w:bidi="en-US"/>
        </w:rPr>
        <w:t xml:space="preserve"> </w:t>
      </w:r>
      <w:r w:rsidRPr="0039093A">
        <w:rPr>
          <w:i/>
          <w:spacing w:val="-4"/>
          <w:lang w:bidi="en-US"/>
        </w:rPr>
        <w:t xml:space="preserve">Case of </w:t>
      </w:r>
      <w:proofErr w:type="spellStart"/>
      <w:r w:rsidRPr="0039093A">
        <w:rPr>
          <w:i/>
          <w:spacing w:val="-4"/>
          <w:lang w:bidi="en-US"/>
        </w:rPr>
        <w:t>Genie</w:t>
      </w:r>
      <w:proofErr w:type="spellEnd"/>
      <w:r w:rsidRPr="0039093A">
        <w:rPr>
          <w:i/>
          <w:spacing w:val="-4"/>
          <w:lang w:bidi="en-US"/>
        </w:rPr>
        <w:t xml:space="preserve"> Lacayo v. Nicaragua, supra</w:t>
      </w:r>
      <w:r w:rsidRPr="0039093A">
        <w:rPr>
          <w:spacing w:val="-4"/>
          <w:lang w:bidi="en-US"/>
        </w:rPr>
        <w:t xml:space="preserve">, para. </w:t>
      </w:r>
      <w:proofErr w:type="gramStart"/>
      <w:r w:rsidRPr="0079515C">
        <w:rPr>
          <w:spacing w:val="-4"/>
          <w:lang w:val="en-US" w:bidi="en-US"/>
        </w:rPr>
        <w:t>74,</w:t>
      </w:r>
      <w:proofErr w:type="gramEnd"/>
      <w:r w:rsidRPr="0079515C">
        <w:rPr>
          <w:spacing w:val="-4"/>
          <w:lang w:val="en-US" w:bidi="en-US"/>
        </w:rPr>
        <w:t xml:space="preserve"> and </w:t>
      </w:r>
      <w:r w:rsidRPr="0079515C">
        <w:rPr>
          <w:i/>
          <w:iCs/>
          <w:spacing w:val="-4"/>
          <w:lang w:val="en-US" w:bidi="en-US"/>
        </w:rPr>
        <w:t>Case of the Constitutional Tribunal (</w:t>
      </w:r>
      <w:proofErr w:type="spellStart"/>
      <w:r w:rsidRPr="0079515C">
        <w:rPr>
          <w:i/>
          <w:iCs/>
          <w:spacing w:val="-4"/>
          <w:lang w:val="en-US" w:bidi="en-US"/>
        </w:rPr>
        <w:t>Camba</w:t>
      </w:r>
      <w:proofErr w:type="spellEnd"/>
      <w:r w:rsidRPr="0079515C">
        <w:rPr>
          <w:i/>
          <w:iCs/>
          <w:spacing w:val="-4"/>
          <w:lang w:val="en-US" w:bidi="en-US"/>
        </w:rPr>
        <w:t xml:space="preserve"> Campos et al.) v. Ecuador. </w:t>
      </w:r>
      <w:proofErr w:type="gramStart"/>
      <w:r w:rsidRPr="0079515C">
        <w:rPr>
          <w:i/>
          <w:iCs/>
          <w:spacing w:val="-4"/>
          <w:lang w:val="en-US" w:bidi="en-US"/>
        </w:rPr>
        <w:t>Preliminary objections, merits, reparations and costs.</w:t>
      </w:r>
      <w:proofErr w:type="gramEnd"/>
      <w:r w:rsidRPr="0079515C">
        <w:rPr>
          <w:i/>
          <w:iCs/>
          <w:spacing w:val="-4"/>
          <w:lang w:val="en-US" w:bidi="en-US"/>
        </w:rPr>
        <w:t xml:space="preserve"> </w:t>
      </w:r>
      <w:r w:rsidRPr="0079515C">
        <w:rPr>
          <w:iCs/>
          <w:spacing w:val="-4"/>
          <w:lang w:val="en-US" w:bidi="en-US"/>
        </w:rPr>
        <w:t>Judgment of August 28, 2013. Series C No. 268, para. 181.</w:t>
      </w:r>
    </w:p>
  </w:footnote>
  <w:footnote w:id="308">
    <w:p w14:paraId="6B4A2F99" w14:textId="14F6C853" w:rsidR="002306C1" w:rsidRPr="0039093A" w:rsidRDefault="002306C1" w:rsidP="00853044">
      <w:pPr>
        <w:pStyle w:val="FootnoteText"/>
        <w:tabs>
          <w:tab w:val="clear" w:pos="567"/>
          <w:tab w:val="left" w:pos="426"/>
        </w:tabs>
        <w:spacing w:before="120" w:after="120"/>
        <w:rPr>
          <w:b/>
          <w:spacing w:val="-4"/>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w:t>
      </w:r>
      <w:r w:rsidRPr="0079515C">
        <w:rPr>
          <w:bCs w:val="0"/>
          <w:i/>
          <w:spacing w:val="-4"/>
          <w:lang w:val="en-US"/>
        </w:rPr>
        <w:t>Case of the Constitutional Court v. Peru, supra</w:t>
      </w:r>
      <w:r w:rsidRPr="0079515C">
        <w:rPr>
          <w:spacing w:val="-4"/>
          <w:lang w:val="en-US"/>
        </w:rPr>
        <w:t xml:space="preserve">, para. </w:t>
      </w:r>
      <w:r w:rsidRPr="0039093A">
        <w:rPr>
          <w:spacing w:val="-4"/>
        </w:rPr>
        <w:t xml:space="preserve">81, and </w:t>
      </w:r>
      <w:r w:rsidRPr="0039093A">
        <w:rPr>
          <w:i/>
          <w:iCs/>
          <w:spacing w:val="-4"/>
          <w:lang w:bidi="en-US"/>
        </w:rPr>
        <w:t xml:space="preserve">Case of </w:t>
      </w:r>
      <w:proofErr w:type="spellStart"/>
      <w:r w:rsidRPr="0039093A">
        <w:rPr>
          <w:i/>
          <w:iCs/>
          <w:spacing w:val="-4"/>
          <w:lang w:bidi="en-US"/>
        </w:rPr>
        <w:t>the</w:t>
      </w:r>
      <w:proofErr w:type="spellEnd"/>
      <w:r w:rsidRPr="0039093A">
        <w:rPr>
          <w:i/>
          <w:iCs/>
          <w:spacing w:val="-4"/>
          <w:lang w:bidi="en-US"/>
        </w:rPr>
        <w:t xml:space="preserve"> </w:t>
      </w:r>
      <w:proofErr w:type="spellStart"/>
      <w:r w:rsidRPr="0039093A">
        <w:rPr>
          <w:i/>
          <w:iCs/>
          <w:spacing w:val="-4"/>
          <w:lang w:bidi="en-US"/>
        </w:rPr>
        <w:t>Constitutional</w:t>
      </w:r>
      <w:proofErr w:type="spellEnd"/>
      <w:r w:rsidRPr="0039093A">
        <w:rPr>
          <w:i/>
          <w:iCs/>
          <w:spacing w:val="-4"/>
          <w:lang w:bidi="en-US"/>
        </w:rPr>
        <w:t xml:space="preserve"> Tribunal (Camba Campos et al.) v. Ecuador, supra</w:t>
      </w:r>
      <w:r w:rsidRPr="0039093A">
        <w:rPr>
          <w:iCs/>
          <w:spacing w:val="-4"/>
          <w:lang w:bidi="en-US"/>
        </w:rPr>
        <w:t>, para. 181.</w:t>
      </w:r>
    </w:p>
  </w:footnote>
  <w:footnote w:id="309">
    <w:p w14:paraId="1810E776" w14:textId="0DB8931A" w:rsidR="002306C1" w:rsidRPr="0079515C" w:rsidRDefault="002306C1" w:rsidP="00853044">
      <w:pPr>
        <w:pStyle w:val="FootnoteText"/>
        <w:tabs>
          <w:tab w:val="clear" w:pos="567"/>
          <w:tab w:val="left" w:pos="426"/>
        </w:tabs>
        <w:spacing w:before="120" w:after="120"/>
        <w:ind w:right="-93"/>
        <w:rPr>
          <w:spacing w:val="-4"/>
          <w:lang w:val="en-US"/>
        </w:rPr>
      </w:pPr>
      <w:r w:rsidRPr="0079515C">
        <w:rPr>
          <w:rStyle w:val="FootnoteReference"/>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 xml:space="preserve">Case of </w:t>
      </w:r>
      <w:proofErr w:type="spellStart"/>
      <w:r w:rsidRPr="0039093A">
        <w:rPr>
          <w:i/>
          <w:spacing w:val="-4"/>
        </w:rPr>
        <w:t>Baldeón</w:t>
      </w:r>
      <w:proofErr w:type="spellEnd"/>
      <w:r w:rsidRPr="0039093A">
        <w:rPr>
          <w:i/>
          <w:spacing w:val="-4"/>
        </w:rPr>
        <w:t xml:space="preserve"> García v. </w:t>
      </w:r>
      <w:proofErr w:type="spellStart"/>
      <w:r w:rsidRPr="0039093A">
        <w:rPr>
          <w:i/>
          <w:spacing w:val="-4"/>
        </w:rPr>
        <w:t>Peru</w:t>
      </w:r>
      <w:proofErr w:type="spellEnd"/>
      <w:r w:rsidRPr="0039093A">
        <w:rPr>
          <w:i/>
          <w:spacing w:val="-4"/>
        </w:rPr>
        <w:t>, supra</w:t>
      </w:r>
      <w:r w:rsidRPr="0039093A">
        <w:rPr>
          <w:spacing w:val="-4"/>
        </w:rPr>
        <w:t xml:space="preserve">, para. </w:t>
      </w:r>
      <w:proofErr w:type="gramStart"/>
      <w:r w:rsidRPr="0079515C">
        <w:rPr>
          <w:spacing w:val="-4"/>
          <w:lang w:val="en-US"/>
        </w:rPr>
        <w:t>146,</w:t>
      </w:r>
      <w:proofErr w:type="gramEnd"/>
      <w:r w:rsidRPr="0079515C">
        <w:rPr>
          <w:spacing w:val="-4"/>
          <w:lang w:val="en-US"/>
        </w:rPr>
        <w:t xml:space="preserve"> and </w:t>
      </w:r>
      <w:r w:rsidRPr="0079515C">
        <w:rPr>
          <w:i/>
          <w:iCs/>
          <w:spacing w:val="-4"/>
          <w:lang w:val="en-US" w:bidi="en-US"/>
        </w:rPr>
        <w:t>Case of the Constitutional Tribunal (</w:t>
      </w:r>
      <w:proofErr w:type="spellStart"/>
      <w:r w:rsidRPr="0079515C">
        <w:rPr>
          <w:i/>
          <w:iCs/>
          <w:spacing w:val="-4"/>
          <w:lang w:val="en-US" w:bidi="en-US"/>
        </w:rPr>
        <w:t>Camba</w:t>
      </w:r>
      <w:proofErr w:type="spellEnd"/>
      <w:r w:rsidRPr="0079515C">
        <w:rPr>
          <w:i/>
          <w:iCs/>
          <w:spacing w:val="-4"/>
          <w:lang w:val="en-US" w:bidi="en-US"/>
        </w:rPr>
        <w:t xml:space="preserve"> Campos et al.) v. Ecuador, supra</w:t>
      </w:r>
      <w:r w:rsidRPr="0079515C">
        <w:rPr>
          <w:iCs/>
          <w:spacing w:val="-4"/>
          <w:lang w:val="en-US" w:bidi="en-US"/>
        </w:rPr>
        <w:t>, para. 181.</w:t>
      </w:r>
    </w:p>
  </w:footnote>
  <w:footnote w:id="310">
    <w:p w14:paraId="5B8C5C7A" w14:textId="7BD3BEF7"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Affidavit made by Ben Saul on August 18, 2014 (evidence file, folios 6938 and 6942).</w:t>
      </w:r>
    </w:p>
  </w:footnote>
  <w:footnote w:id="311">
    <w:p w14:paraId="32C4A085" w14:textId="47A0864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The following States have a judicial stage and a political stage similar to Peru: Argentina (Law on International Cooperation in Criminal Matters, articles 22, 34 and 36, Available at </w:t>
      </w:r>
      <w:hyperlink r:id="rId90" w:history="1">
        <w:r w:rsidRPr="0079515C">
          <w:rPr>
            <w:rStyle w:val="Hyperlink"/>
            <w:spacing w:val="-4"/>
            <w:lang w:val="en-US"/>
          </w:rPr>
          <w:t>http://www.infoleg.gov.ar/infolegInternet/anexos/40000-44999/41442/norma.htm</w:t>
        </w:r>
      </w:hyperlink>
      <w:r w:rsidRPr="0079515C">
        <w:rPr>
          <w:spacing w:val="-4"/>
          <w:lang w:val="en-US"/>
        </w:rPr>
        <w:t xml:space="preserve">); Brazil (Aliens Statute, articles 66 and 83, Available at </w:t>
      </w:r>
      <w:hyperlink r:id="rId91" w:history="1">
        <w:r w:rsidRPr="0079515C">
          <w:rPr>
            <w:rStyle w:val="Hyperlink"/>
            <w:spacing w:val="-4"/>
            <w:lang w:val="en-US"/>
          </w:rPr>
          <w:t>http://www.pge.sp.gov.br/ centrodeestudos/bibliotecavirtual/dh/volume%20i/naclei6815.htm</w:t>
        </w:r>
      </w:hyperlink>
      <w:r w:rsidRPr="0079515C">
        <w:rPr>
          <w:spacing w:val="-4"/>
          <w:lang w:val="en-US"/>
        </w:rPr>
        <w:t xml:space="preserve">); Colombia (Code of Criminal Procedure, articles 491, 492, 501 and 503, Available at </w:t>
      </w:r>
      <w:hyperlink r:id="rId92" w:history="1">
        <w:r w:rsidRPr="0079515C">
          <w:rPr>
            <w:rStyle w:val="Hyperlink"/>
            <w:spacing w:val="-4"/>
            <w:lang w:val="en-US"/>
          </w:rPr>
          <w:t>http://www.secretariasenado.gov.co/senado/basedoc/ley_0906_2004_pr012.html</w:t>
        </w:r>
      </w:hyperlink>
      <w:r w:rsidRPr="0079515C">
        <w:rPr>
          <w:spacing w:val="-4"/>
          <w:lang w:val="en-US"/>
        </w:rPr>
        <w:t xml:space="preserve">); Ecuador (Extradition Act, articles 13 and 14, Available at  </w:t>
      </w:r>
      <w:hyperlink r:id="rId93" w:history="1">
        <w:r w:rsidRPr="0079515C">
          <w:rPr>
            <w:rStyle w:val="Hyperlink"/>
            <w:spacing w:val="-4"/>
            <w:lang w:val="en-US"/>
          </w:rPr>
          <w:t>https://www.oas.org/juridico/mla/sp/ecu/sp_ecu-ext-law-leyext.pdf</w:t>
        </w:r>
      </w:hyperlink>
      <w:r w:rsidRPr="0079515C">
        <w:rPr>
          <w:spacing w:val="-4"/>
          <w:lang w:val="en-US"/>
        </w:rPr>
        <w:t xml:space="preserve">); Mexico (Constitution of the United Mexican States, article 119, Available at </w:t>
      </w:r>
      <w:hyperlink r:id="rId94" w:history="1">
        <w:r w:rsidRPr="0079515C">
          <w:rPr>
            <w:rStyle w:val="Hyperlink"/>
            <w:spacing w:val="-4"/>
            <w:lang w:val="en-US"/>
          </w:rPr>
          <w:t>http://www.diputados.gob.mx/LeyesBiblio/htm/1.htm</w:t>
        </w:r>
      </w:hyperlink>
      <w:r w:rsidRPr="0079515C">
        <w:rPr>
          <w:spacing w:val="-4"/>
          <w:lang w:val="en-US"/>
        </w:rPr>
        <w:t xml:space="preserve"> and International Extradition Act, articles 27 and 30, Available at </w:t>
      </w:r>
      <w:hyperlink r:id="rId95" w:history="1">
        <w:r w:rsidRPr="0079515C">
          <w:rPr>
            <w:rStyle w:val="Hyperlink"/>
            <w:spacing w:val="-4"/>
            <w:lang w:val="en-US"/>
          </w:rPr>
          <w:t>http://www.diputados.gob.mx/LeyesBiblio/pdf/36.pdf</w:t>
        </w:r>
      </w:hyperlink>
      <w:r w:rsidRPr="0079515C">
        <w:rPr>
          <w:spacing w:val="-4"/>
          <w:lang w:val="en-US"/>
        </w:rPr>
        <w:t xml:space="preserve">) and Suriname (See Extradition system framework, Available at </w:t>
      </w:r>
      <w:hyperlink r:id="rId96" w:anchor=" últimaactualización" w:history="1">
        <w:r w:rsidRPr="0079515C">
          <w:rPr>
            <w:rStyle w:val="Hyperlink"/>
            <w:spacing w:val="-4"/>
            <w:lang w:val="en-US"/>
          </w:rPr>
          <w:t>http://www.oas.org/juridico/mla/sp/sur/index.html# últimaactualización</w:t>
        </w:r>
      </w:hyperlink>
      <w:r w:rsidRPr="0079515C">
        <w:rPr>
          <w:spacing w:val="-4"/>
          <w:lang w:val="en-US"/>
        </w:rPr>
        <w:t>). In the following States, the decision on extradition corresponds exclusively to the Executive</w:t>
      </w:r>
      <w:r>
        <w:rPr>
          <w:spacing w:val="-4"/>
          <w:lang w:val="en-US"/>
        </w:rPr>
        <w:t xml:space="preserve"> Branch</w:t>
      </w:r>
      <w:r w:rsidRPr="0079515C">
        <w:rPr>
          <w:spacing w:val="-4"/>
          <w:lang w:val="en-US"/>
        </w:rPr>
        <w:t xml:space="preserve">, although judicial remedies are established to appeal the decision: Jamaica (The Extradition Act, articles 7, 8, 11 and 12, Available at </w:t>
      </w:r>
      <w:hyperlink r:id="rId97" w:history="1">
        <w:r w:rsidRPr="0079515C">
          <w:rPr>
            <w:rStyle w:val="Hyperlink"/>
            <w:spacing w:val="-4"/>
            <w:lang w:val="en-US"/>
          </w:rPr>
          <w:t>http://www.oas.org/juridico/MLA/en/jam/en_jam-ext.pdf</w:t>
        </w:r>
      </w:hyperlink>
      <w:r w:rsidRPr="0079515C">
        <w:rPr>
          <w:spacing w:val="-4"/>
          <w:lang w:val="en-US"/>
        </w:rPr>
        <w:t xml:space="preserve">); Panama (Judicial Code of the Republic of Panama, articles 2504, 2510 and 2512, Available at </w:t>
      </w:r>
      <w:hyperlink r:id="rId98" w:history="1">
        <w:r w:rsidRPr="0079515C">
          <w:rPr>
            <w:rStyle w:val="Hyperlink"/>
            <w:spacing w:val="-4"/>
            <w:lang w:val="en-US"/>
          </w:rPr>
          <w:t>http://www.oas.org/juridico/spanish/mesicic3_pan_cod_judicial.pdf</w:t>
        </w:r>
      </w:hyperlink>
      <w:r w:rsidRPr="0079515C">
        <w:rPr>
          <w:spacing w:val="-4"/>
          <w:lang w:val="en-US"/>
        </w:rPr>
        <w:t xml:space="preserve">), and Dominican Republic (Extradition Act, article 1, Available at </w:t>
      </w:r>
      <w:hyperlink r:id="rId99" w:history="1">
        <w:r w:rsidRPr="0079515C">
          <w:rPr>
            <w:rStyle w:val="Hyperlink"/>
            <w:spacing w:val="-4"/>
            <w:lang w:val="en-US"/>
          </w:rPr>
          <w:t>http://www.oas.org/juridico/mla/sp/dom/sp_dom-ext-law-489.html</w:t>
        </w:r>
      </w:hyperlink>
      <w:r w:rsidRPr="0079515C">
        <w:rPr>
          <w:spacing w:val="-4"/>
          <w:lang w:val="en-US"/>
        </w:rPr>
        <w:t>).</w:t>
      </w:r>
    </w:p>
  </w:footnote>
  <w:footnote w:id="312">
    <w:p w14:paraId="3616C747" w14:textId="3848097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On July 9, 2010, the Official Commission for Extraditions and </w:t>
      </w:r>
      <w:r>
        <w:rPr>
          <w:spacing w:val="-4"/>
          <w:lang w:val="en-US"/>
        </w:rPr>
        <w:t xml:space="preserve">Prisoner Transfers </w:t>
      </w:r>
      <w:r w:rsidRPr="0079515C">
        <w:rPr>
          <w:spacing w:val="-4"/>
          <w:lang w:val="en-US"/>
        </w:rPr>
        <w:t xml:space="preserve">of the Ministry of Justice issued a new report on </w:t>
      </w:r>
      <w:r>
        <w:rPr>
          <w:spacing w:val="-4"/>
          <w:lang w:val="en-US"/>
        </w:rPr>
        <w:t xml:space="preserve">the </w:t>
      </w:r>
      <w:r w:rsidRPr="0079515C">
        <w:rPr>
          <w:spacing w:val="-4"/>
          <w:lang w:val="en-US"/>
        </w:rPr>
        <w:t xml:space="preserve">request for the extradition of Wong Ho Wing, </w:t>
      </w:r>
      <w:r>
        <w:rPr>
          <w:spacing w:val="-4"/>
          <w:lang w:val="en-US"/>
        </w:rPr>
        <w:t>as a contribution</w:t>
      </w:r>
      <w:r w:rsidRPr="0079515C">
        <w:rPr>
          <w:spacing w:val="-4"/>
          <w:lang w:val="en-US"/>
        </w:rPr>
        <w:t xml:space="preserve"> to the decision of the Executive Branch. On September 28, 2010, the representative asked the Ministry of Justice for a copy of this report, but his request was refused indicating that, pursuant to article 17 of the Law on Access to Public Information, the right to public information cannot be exercised in the case of “information prepared or obtained by legal advisers or lawyers of the entities of the Public Administration, the publication of which could reveal the strategy to be adopted in processing an administrative or judicial proceeding or in the defense. </w:t>
      </w:r>
      <w:r w:rsidRPr="0079515C">
        <w:rPr>
          <w:i/>
          <w:spacing w:val="-4"/>
          <w:lang w:val="en-US"/>
        </w:rPr>
        <w:t xml:space="preserve">Cf. </w:t>
      </w:r>
      <w:r w:rsidRPr="0079515C">
        <w:rPr>
          <w:spacing w:val="-4"/>
          <w:lang w:val="en-US"/>
        </w:rPr>
        <w:t>Request for copy of reasoned report of September 28, 2010 (evidence file, folio 265); report No. 34-2010-DNJ/DICAJ of September 29, 2010 (evidence file, folio 2997), and Law on Transparency and Access to Public Information No. 27806 (evidence file, folios 3014 and 3015).</w:t>
      </w:r>
    </w:p>
  </w:footnote>
  <w:footnote w:id="313">
    <w:p w14:paraId="22E7CC15" w14:textId="201D529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García</w:t>
      </w:r>
      <w:proofErr w:type="spellEnd"/>
      <w:r w:rsidRPr="0079515C">
        <w:rPr>
          <w:i/>
          <w:spacing w:val="-4"/>
          <w:lang w:val="en-US"/>
        </w:rPr>
        <w:t xml:space="preserve"> </w:t>
      </w:r>
      <w:proofErr w:type="spellStart"/>
      <w:r w:rsidRPr="0079515C">
        <w:rPr>
          <w:i/>
          <w:spacing w:val="-4"/>
          <w:lang w:val="en-US"/>
        </w:rPr>
        <w:t>Asto</w:t>
      </w:r>
      <w:proofErr w:type="spellEnd"/>
      <w:r w:rsidRPr="0079515C">
        <w:rPr>
          <w:i/>
          <w:spacing w:val="-4"/>
          <w:lang w:val="en-US"/>
        </w:rPr>
        <w:t xml:space="preserve"> and </w:t>
      </w:r>
      <w:proofErr w:type="spellStart"/>
      <w:r w:rsidRPr="0079515C">
        <w:rPr>
          <w:i/>
          <w:spacing w:val="-4"/>
          <w:lang w:val="en-US"/>
        </w:rPr>
        <w:t>Ramírez</w:t>
      </w:r>
      <w:proofErr w:type="spellEnd"/>
      <w:r w:rsidRPr="0079515C">
        <w:rPr>
          <w:i/>
          <w:spacing w:val="-4"/>
          <w:lang w:val="en-US"/>
        </w:rPr>
        <w:t xml:space="preserve"> Rojas v. Peru.</w:t>
      </w:r>
      <w:proofErr w:type="gramEnd"/>
      <w:r w:rsidRPr="0079515C">
        <w:rPr>
          <w:i/>
          <w:spacing w:val="-4"/>
          <w:lang w:val="en-US"/>
        </w:rPr>
        <w:t xml:space="preserve"> </w:t>
      </w:r>
      <w:proofErr w:type="gramStart"/>
      <w:r w:rsidRPr="0079515C">
        <w:rPr>
          <w:i/>
          <w:spacing w:val="-4"/>
          <w:lang w:val="en-US"/>
        </w:rPr>
        <w:t>Preliminary objection, merits, reparations and costs</w:t>
      </w:r>
      <w:r w:rsidRPr="0079515C">
        <w:rPr>
          <w:spacing w:val="-4"/>
          <w:lang w:val="en-US"/>
        </w:rPr>
        <w:t>.</w:t>
      </w:r>
      <w:proofErr w:type="gramEnd"/>
      <w:r w:rsidRPr="0079515C">
        <w:rPr>
          <w:spacing w:val="-4"/>
          <w:lang w:val="en-US"/>
        </w:rPr>
        <w:t xml:space="preserve"> Judgment of November 25, 2005. Series C No. 137, paras. </w:t>
      </w:r>
      <w:proofErr w:type="gramStart"/>
      <w:r w:rsidRPr="0079515C">
        <w:rPr>
          <w:spacing w:val="-4"/>
          <w:lang w:val="en-US"/>
        </w:rPr>
        <w:t xml:space="preserve">115 and 134, and </w:t>
      </w:r>
      <w:r w:rsidRPr="0079515C">
        <w:rPr>
          <w:i/>
          <w:spacing w:val="-4"/>
          <w:lang w:val="en-US"/>
        </w:rPr>
        <w:t xml:space="preserve">Case of </w:t>
      </w:r>
      <w:proofErr w:type="spellStart"/>
      <w:r w:rsidRPr="0079515C">
        <w:rPr>
          <w:i/>
          <w:spacing w:val="-4"/>
          <w:lang w:val="en-US"/>
        </w:rPr>
        <w:t>Yvon</w:t>
      </w:r>
      <w:proofErr w:type="spellEnd"/>
      <w:r w:rsidRPr="0079515C">
        <w:rPr>
          <w:i/>
          <w:spacing w:val="-4"/>
          <w:lang w:val="en-US"/>
        </w:rPr>
        <w:t xml:space="preserve"> Neptune v. Haiti.</w:t>
      </w:r>
      <w:proofErr w:type="gramEnd"/>
      <w:r w:rsidRPr="0079515C">
        <w:rPr>
          <w:i/>
          <w:spacing w:val="-4"/>
          <w:lang w:val="en-US"/>
        </w:rPr>
        <w:t xml:space="preserve"> </w:t>
      </w:r>
      <w:proofErr w:type="gramStart"/>
      <w:r w:rsidRPr="0079515C">
        <w:rPr>
          <w:i/>
          <w:spacing w:val="-4"/>
          <w:lang w:val="en-US"/>
        </w:rPr>
        <w:t>Merits, reparations and costs.</w:t>
      </w:r>
      <w:proofErr w:type="gramEnd"/>
      <w:r w:rsidRPr="0079515C">
        <w:rPr>
          <w:spacing w:val="-4"/>
          <w:lang w:val="en-US"/>
        </w:rPr>
        <w:t xml:space="preserve"> Judgment of May 6, 2008. Series C No. 180, para. 100.</w:t>
      </w:r>
    </w:p>
  </w:footnote>
  <w:footnote w:id="314">
    <w:p w14:paraId="318CFA93" w14:textId="1EA8EF8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Loayza</w:t>
      </w:r>
      <w:proofErr w:type="spellEnd"/>
      <w:r w:rsidRPr="0079515C">
        <w:rPr>
          <w:i/>
          <w:spacing w:val="-4"/>
          <w:lang w:val="en-US"/>
        </w:rPr>
        <w:t xml:space="preserve"> Tamayo v. Peru.</w:t>
      </w:r>
      <w:proofErr w:type="gramEnd"/>
      <w:r w:rsidRPr="0079515C">
        <w:rPr>
          <w:i/>
          <w:spacing w:val="-4"/>
          <w:lang w:val="en-US"/>
        </w:rPr>
        <w:t xml:space="preserve"> </w:t>
      </w:r>
      <w:proofErr w:type="gramStart"/>
      <w:r w:rsidRPr="0079515C">
        <w:rPr>
          <w:i/>
          <w:spacing w:val="-4"/>
          <w:lang w:val="en-US"/>
        </w:rPr>
        <w:t>Merits, supra</w:t>
      </w:r>
      <w:r w:rsidRPr="0079515C">
        <w:rPr>
          <w:spacing w:val="-4"/>
          <w:lang w:val="en-US"/>
        </w:rPr>
        <w:t>, para.</w:t>
      </w:r>
      <w:proofErr w:type="gramEnd"/>
      <w:r w:rsidRPr="0079515C">
        <w:rPr>
          <w:spacing w:val="-4"/>
          <w:lang w:val="en-US"/>
        </w:rPr>
        <w:t xml:space="preserve"> </w:t>
      </w:r>
      <w:proofErr w:type="gramStart"/>
      <w:r w:rsidRPr="0079515C">
        <w:rPr>
          <w:spacing w:val="-4"/>
          <w:lang w:val="en-US"/>
        </w:rPr>
        <w:t>61,</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xml:space="preserve">, paras. </w:t>
      </w:r>
      <w:proofErr w:type="gramStart"/>
      <w:r w:rsidRPr="0079515C">
        <w:rPr>
          <w:spacing w:val="-4"/>
          <w:lang w:val="en-US"/>
        </w:rPr>
        <w:t>128 and 137.</w:t>
      </w:r>
      <w:proofErr w:type="gramEnd"/>
    </w:p>
  </w:footnote>
  <w:footnote w:id="315">
    <w:p w14:paraId="0875B50B" w14:textId="0EA8869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6BB">
        <w:rPr>
          <w:spacing w:val="-4"/>
        </w:rPr>
        <w:t xml:space="preserve"> </w:t>
      </w:r>
      <w:r w:rsidRPr="007956BB">
        <w:rPr>
          <w:spacing w:val="-4"/>
        </w:rPr>
        <w:tab/>
      </w:r>
      <w:r w:rsidRPr="007956BB">
        <w:rPr>
          <w:i/>
          <w:spacing w:val="-4"/>
        </w:rPr>
        <w:t>Cf.</w:t>
      </w:r>
      <w:r w:rsidRPr="007956BB">
        <w:rPr>
          <w:b/>
          <w:spacing w:val="-4"/>
        </w:rPr>
        <w:t xml:space="preserve"> </w:t>
      </w:r>
      <w:r w:rsidRPr="007956BB">
        <w:rPr>
          <w:i/>
          <w:spacing w:val="-4"/>
        </w:rPr>
        <w:t xml:space="preserve">Case of Vélez Loor v. </w:t>
      </w:r>
      <w:proofErr w:type="spellStart"/>
      <w:r w:rsidRPr="007956BB">
        <w:rPr>
          <w:i/>
          <w:spacing w:val="-4"/>
        </w:rPr>
        <w:t>Panama</w:t>
      </w:r>
      <w:proofErr w:type="spellEnd"/>
      <w:r w:rsidRPr="007956BB">
        <w:rPr>
          <w:i/>
          <w:spacing w:val="-4"/>
        </w:rPr>
        <w:t>, supra</w:t>
      </w:r>
      <w:r w:rsidRPr="007956BB">
        <w:rPr>
          <w:spacing w:val="-4"/>
        </w:rPr>
        <w:t xml:space="preserve">, para. </w:t>
      </w:r>
      <w:proofErr w:type="gramStart"/>
      <w:r w:rsidRPr="0079515C">
        <w:rPr>
          <w:spacing w:val="-4"/>
          <w:lang w:val="en-US"/>
        </w:rPr>
        <w:t>106,</w:t>
      </w:r>
      <w:proofErr w:type="gramEnd"/>
      <w:r w:rsidRPr="0079515C">
        <w:rPr>
          <w:spacing w:val="-4"/>
          <w:lang w:val="en-US"/>
        </w:rPr>
        <w:t xml:space="preserve"> and </w:t>
      </w:r>
      <w:r w:rsidRPr="0079515C">
        <w:rPr>
          <w:i/>
          <w:spacing w:val="-4"/>
          <w:lang w:val="en-US"/>
        </w:rPr>
        <w:t xml:space="preserve">Case of Expelled Dominicans and Haitians v. Dominican Republic. </w:t>
      </w:r>
      <w:proofErr w:type="gramStart"/>
      <w:r w:rsidRPr="0079515C">
        <w:rPr>
          <w:i/>
          <w:spacing w:val="-4"/>
          <w:lang w:val="en-US"/>
        </w:rPr>
        <w:t>Preliminary objections, merits, reparations and costs</w:t>
      </w:r>
      <w:r w:rsidRPr="0079515C">
        <w:rPr>
          <w:spacing w:val="-4"/>
          <w:lang w:val="en-US"/>
        </w:rPr>
        <w:t>.</w:t>
      </w:r>
      <w:proofErr w:type="gramEnd"/>
      <w:r w:rsidRPr="0079515C">
        <w:rPr>
          <w:spacing w:val="-4"/>
          <w:lang w:val="en-US"/>
        </w:rPr>
        <w:t xml:space="preserve"> Judgment of August 28, 2014. Series C No. 282, paras. </w:t>
      </w:r>
      <w:proofErr w:type="gramStart"/>
      <w:r w:rsidRPr="0079515C">
        <w:rPr>
          <w:spacing w:val="-4"/>
          <w:lang w:val="en-US"/>
        </w:rPr>
        <w:t>368, 370, 374, 379, and 380.</w:t>
      </w:r>
      <w:proofErr w:type="gramEnd"/>
    </w:p>
  </w:footnote>
  <w:footnote w:id="316">
    <w:p w14:paraId="26AF2018" w14:textId="0B386603"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Bulacio</w:t>
      </w:r>
      <w:proofErr w:type="spellEnd"/>
      <w:r w:rsidRPr="0079515C">
        <w:rPr>
          <w:i/>
          <w:spacing w:val="-4"/>
          <w:lang w:val="en-US"/>
        </w:rPr>
        <w:t xml:space="preserve"> v. Argentina.</w:t>
      </w:r>
      <w:proofErr w:type="gramEnd"/>
      <w:r w:rsidRPr="0079515C">
        <w:rPr>
          <w:i/>
          <w:spacing w:val="-4"/>
          <w:lang w:val="en-US"/>
        </w:rPr>
        <w:t xml:space="preserv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September 18, 2003. Series C No. 100, para. </w:t>
      </w:r>
      <w:proofErr w:type="gramStart"/>
      <w:r w:rsidRPr="0079515C">
        <w:rPr>
          <w:spacing w:val="-4"/>
          <w:lang w:val="en-US"/>
        </w:rPr>
        <w:t xml:space="preserve">38, and </w:t>
      </w:r>
      <w:r w:rsidRPr="0079515C">
        <w:rPr>
          <w:i/>
          <w:spacing w:val="-4"/>
          <w:lang w:val="en-US"/>
        </w:rPr>
        <w:t>Case of Expelled Dominicans and Haitians v. Dominican Republic, supra</w:t>
      </w:r>
      <w:r w:rsidRPr="0079515C">
        <w:rPr>
          <w:spacing w:val="-4"/>
          <w:lang w:val="en-US"/>
        </w:rPr>
        <w:t>, paras.</w:t>
      </w:r>
      <w:proofErr w:type="gramEnd"/>
      <w:r w:rsidRPr="0079515C">
        <w:rPr>
          <w:spacing w:val="-4"/>
          <w:lang w:val="en-US"/>
        </w:rPr>
        <w:t xml:space="preserve"> </w:t>
      </w:r>
      <w:proofErr w:type="gramStart"/>
      <w:r w:rsidRPr="0079515C">
        <w:rPr>
          <w:spacing w:val="-4"/>
          <w:lang w:val="en-US"/>
        </w:rPr>
        <w:t>368, 374, 380 and 383.</w:t>
      </w:r>
      <w:proofErr w:type="gramEnd"/>
    </w:p>
  </w:footnote>
  <w:footnote w:id="317">
    <w:p w14:paraId="276EFBEE" w14:textId="550BE4E5"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Case of the “Street Children” (</w:t>
      </w:r>
      <w:proofErr w:type="spellStart"/>
      <w:r w:rsidRPr="0079515C">
        <w:rPr>
          <w:i/>
          <w:spacing w:val="-4"/>
          <w:lang w:val="en-US"/>
        </w:rPr>
        <w:t>Villagrán</w:t>
      </w:r>
      <w:proofErr w:type="spellEnd"/>
      <w:r w:rsidRPr="0079515C">
        <w:rPr>
          <w:i/>
          <w:spacing w:val="-4"/>
          <w:lang w:val="en-US"/>
        </w:rPr>
        <w:t xml:space="preserve"> Morales et al.) v. Guatemala.</w:t>
      </w:r>
      <w:proofErr w:type="gramEnd"/>
      <w:r w:rsidRPr="0079515C">
        <w:rPr>
          <w:i/>
          <w:spacing w:val="-4"/>
          <w:lang w:val="en-US"/>
        </w:rPr>
        <w:t xml:space="preserve"> </w:t>
      </w:r>
      <w:proofErr w:type="gramStart"/>
      <w:r w:rsidRPr="0079515C">
        <w:rPr>
          <w:i/>
          <w:spacing w:val="-4"/>
          <w:lang w:val="en-US"/>
        </w:rPr>
        <w:t>Merits, supra</w:t>
      </w:r>
      <w:r w:rsidRPr="0079515C">
        <w:rPr>
          <w:spacing w:val="-4"/>
          <w:lang w:val="en-US"/>
        </w:rPr>
        <w:t>, paras.</w:t>
      </w:r>
      <w:proofErr w:type="gramEnd"/>
      <w:r w:rsidRPr="0079515C">
        <w:rPr>
          <w:spacing w:val="-4"/>
          <w:lang w:val="en-US"/>
        </w:rPr>
        <w:t xml:space="preserve"> 132, 135 and 143, and </w:t>
      </w:r>
      <w:r w:rsidRPr="0079515C">
        <w:rPr>
          <w:i/>
          <w:spacing w:val="-4"/>
          <w:lang w:val="en-US"/>
        </w:rPr>
        <w:t>Case of Rodríguez Vera et al. (The Disappeared of the Palace of Justice) v. Colombia, supra</w:t>
      </w:r>
      <w:r w:rsidRPr="0079515C">
        <w:rPr>
          <w:spacing w:val="-4"/>
          <w:lang w:val="en-US"/>
        </w:rPr>
        <w:t xml:space="preserve">, paras. </w:t>
      </w:r>
      <w:r w:rsidRPr="0039093A">
        <w:rPr>
          <w:spacing w:val="-4"/>
        </w:rPr>
        <w:t>368 and 369.</w:t>
      </w:r>
    </w:p>
  </w:footnote>
  <w:footnote w:id="318">
    <w:p w14:paraId="67C3B0AD" w14:textId="26C675D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39093A">
        <w:rPr>
          <w:spacing w:val="-4"/>
        </w:rPr>
        <w:t xml:space="preserve"> </w:t>
      </w:r>
      <w:r w:rsidRPr="0039093A">
        <w:rPr>
          <w:spacing w:val="-4"/>
        </w:rPr>
        <w:tab/>
      </w:r>
      <w:r w:rsidRPr="0039093A">
        <w:rPr>
          <w:i/>
          <w:spacing w:val="-4"/>
        </w:rPr>
        <w:t>Cf.</w:t>
      </w:r>
      <w:r w:rsidRPr="0039093A">
        <w:rPr>
          <w:b/>
          <w:spacing w:val="-4"/>
        </w:rPr>
        <w:t xml:space="preserve"> </w:t>
      </w:r>
      <w:r w:rsidRPr="0039093A">
        <w:rPr>
          <w:i/>
          <w:spacing w:val="-4"/>
        </w:rPr>
        <w:t xml:space="preserve">Case of Velásquez Rodríguez v. Honduras. </w:t>
      </w:r>
      <w:proofErr w:type="spellStart"/>
      <w:r w:rsidRPr="0039093A">
        <w:rPr>
          <w:i/>
          <w:spacing w:val="-4"/>
        </w:rPr>
        <w:t>Merits</w:t>
      </w:r>
      <w:proofErr w:type="spellEnd"/>
      <w:r w:rsidRPr="0039093A">
        <w:rPr>
          <w:i/>
          <w:spacing w:val="-4"/>
        </w:rPr>
        <w:t>, supra</w:t>
      </w:r>
      <w:r w:rsidRPr="0039093A">
        <w:rPr>
          <w:spacing w:val="-4"/>
        </w:rPr>
        <w:t xml:space="preserve">, para. </w:t>
      </w:r>
      <w:proofErr w:type="gramStart"/>
      <w:r w:rsidRPr="0079515C">
        <w:rPr>
          <w:spacing w:val="-4"/>
          <w:lang w:val="en-US"/>
        </w:rPr>
        <w:t>186,</w:t>
      </w:r>
      <w:proofErr w:type="gramEnd"/>
      <w:r w:rsidRPr="0079515C">
        <w:rPr>
          <w:spacing w:val="-4"/>
          <w:lang w:val="en-US"/>
        </w:rPr>
        <w:t xml:space="preserve"> and </w:t>
      </w:r>
      <w:r w:rsidRPr="0079515C">
        <w:rPr>
          <w:i/>
          <w:spacing w:val="-4"/>
          <w:lang w:val="en-US"/>
        </w:rPr>
        <w:t>Case of Rodríguez Vera et al. (The Disappeared of the Palace of Justice) v. Colombia, supra</w:t>
      </w:r>
      <w:r w:rsidRPr="0079515C">
        <w:rPr>
          <w:spacing w:val="-4"/>
          <w:lang w:val="en-US"/>
        </w:rPr>
        <w:t xml:space="preserve">, paras. </w:t>
      </w:r>
      <w:proofErr w:type="gramStart"/>
      <w:r w:rsidRPr="0079515C">
        <w:rPr>
          <w:spacing w:val="-4"/>
          <w:lang w:val="en-US"/>
        </w:rPr>
        <w:t>322, 324, 368 and 369.</w:t>
      </w:r>
      <w:proofErr w:type="gramEnd"/>
    </w:p>
  </w:footnote>
  <w:footnote w:id="319">
    <w:p w14:paraId="252D3BFC" w14:textId="1FD530BD" w:rsidR="002306C1" w:rsidRPr="0079515C" w:rsidRDefault="002306C1" w:rsidP="00851076">
      <w:pPr>
        <w:tabs>
          <w:tab w:val="left" w:pos="480"/>
          <w:tab w:val="left" w:pos="1080"/>
          <w:tab w:val="left" w:pos="1680"/>
          <w:tab w:val="left" w:pos="5400"/>
        </w:tabs>
        <w:suppressAutoHyphens/>
        <w:rPr>
          <w:spacing w:val="-3"/>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Article 7 of the Convention establishes that: “1. </w:t>
      </w:r>
      <w:proofErr w:type="gramStart"/>
      <w:r w:rsidRPr="0079515C">
        <w:rPr>
          <w:spacing w:val="-3"/>
          <w:sz w:val="16"/>
          <w:szCs w:val="16"/>
          <w:lang w:val="en-US"/>
        </w:rPr>
        <w:t>Every</w:t>
      </w:r>
      <w:proofErr w:type="gramEnd"/>
      <w:r w:rsidRPr="0079515C">
        <w:rPr>
          <w:spacing w:val="-3"/>
          <w:sz w:val="16"/>
          <w:szCs w:val="16"/>
          <w:lang w:val="en-US"/>
        </w:rPr>
        <w:t xml:space="preserve"> person has the right to personal liberty and security. 2. No one shall be deprived of his physical liberty except for the reasons and under the conditions established beforehand by the Constitution of the State Party concerned or by a law established pursuant thereto. 3. No one shall be subject to arbitrary arrest or imprisonment. 4. Anyone who is detained shall be informed of the reasons for his detention and shall be promptly notified of the charge or charges against him. 5. 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 6. Anyone who is deprived of his liberty shall be entitled to recourse to a competent court, in order that the court may decide without delay on the lawfulness of his arrest or detention and order his release if the arrest or detention is unlawful.  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 […].</w:t>
      </w:r>
    </w:p>
  </w:footnote>
  <w:footnote w:id="320">
    <w:p w14:paraId="595DC72B" w14:textId="63CD57BC"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spacing w:val="-4"/>
          <w:lang w:val="en-US"/>
        </w:rPr>
        <w:t xml:space="preserve">Case of </w:t>
      </w:r>
      <w:proofErr w:type="spellStart"/>
      <w:r w:rsidRPr="0079515C">
        <w:rPr>
          <w:i/>
          <w:spacing w:val="-4"/>
          <w:lang w:val="en-US"/>
        </w:rPr>
        <w:t>Chaparro</w:t>
      </w:r>
      <w:proofErr w:type="spellEnd"/>
      <w:r w:rsidRPr="0079515C">
        <w:rPr>
          <w:i/>
          <w:spacing w:val="-4"/>
          <w:lang w:val="en-US"/>
        </w:rPr>
        <w:t xml:space="preserve"> </w:t>
      </w:r>
      <w:proofErr w:type="spellStart"/>
      <w:r w:rsidRPr="0079515C">
        <w:rPr>
          <w:i/>
          <w:spacing w:val="-4"/>
          <w:lang w:val="en-US"/>
        </w:rPr>
        <w:t>Álvarez</w:t>
      </w:r>
      <w:proofErr w:type="spellEnd"/>
      <w:r w:rsidRPr="0079515C">
        <w:rPr>
          <w:i/>
          <w:spacing w:val="-4"/>
          <w:lang w:val="en-US"/>
        </w:rPr>
        <w:t xml:space="preserve"> and </w:t>
      </w:r>
      <w:proofErr w:type="spellStart"/>
      <w:r w:rsidRPr="0079515C">
        <w:rPr>
          <w:i/>
          <w:spacing w:val="-4"/>
          <w:lang w:val="en-US"/>
        </w:rPr>
        <w:t>Lapo</w:t>
      </w:r>
      <w:proofErr w:type="spellEnd"/>
      <w:r w:rsidRPr="0079515C">
        <w:rPr>
          <w:i/>
          <w:spacing w:val="-4"/>
          <w:lang w:val="en-US"/>
        </w:rPr>
        <w:t xml:space="preserve"> </w:t>
      </w:r>
      <w:proofErr w:type="spellStart"/>
      <w:r w:rsidRPr="0079515C">
        <w:rPr>
          <w:i/>
          <w:spacing w:val="-4"/>
          <w:lang w:val="en-US"/>
        </w:rPr>
        <w:t>Íñiguez</w:t>
      </w:r>
      <w:proofErr w:type="spellEnd"/>
      <w:r w:rsidRPr="0079515C">
        <w:rPr>
          <w:i/>
          <w:spacing w:val="-4"/>
          <w:lang w:val="en-US"/>
        </w:rPr>
        <w:t xml:space="preserve"> v. Ecuador.</w:t>
      </w:r>
      <w:proofErr w:type="gramEnd"/>
      <w:r w:rsidRPr="0079515C">
        <w:rPr>
          <w:i/>
          <w:spacing w:val="-4"/>
          <w:lang w:val="en-US"/>
        </w:rPr>
        <w:t xml:space="preserve"> </w:t>
      </w:r>
      <w:proofErr w:type="gramStart"/>
      <w:r w:rsidRPr="0079515C">
        <w:rPr>
          <w:i/>
          <w:spacing w:val="-4"/>
          <w:lang w:val="en-US"/>
        </w:rPr>
        <w:t>Preliminary objection, merits, reparations and costs</w:t>
      </w:r>
      <w:r w:rsidRPr="0079515C">
        <w:rPr>
          <w:spacing w:val="-4"/>
          <w:lang w:val="en-US"/>
        </w:rPr>
        <w:t>.</w:t>
      </w:r>
      <w:proofErr w:type="gramEnd"/>
      <w:r w:rsidRPr="0079515C">
        <w:rPr>
          <w:spacing w:val="-4"/>
          <w:lang w:val="en-US"/>
        </w:rPr>
        <w:t xml:space="preserve"> Judgment of November 21, 2007. Series C No. 170, para. </w:t>
      </w:r>
      <w:proofErr w:type="gramStart"/>
      <w:r w:rsidRPr="0079515C">
        <w:rPr>
          <w:spacing w:val="-4"/>
          <w:lang w:val="en-US"/>
        </w:rPr>
        <w:t>51,</w:t>
      </w:r>
      <w:proofErr w:type="gramEnd"/>
      <w:r w:rsidRPr="0079515C">
        <w:rPr>
          <w:spacing w:val="-4"/>
          <w:lang w:val="en-US"/>
        </w:rPr>
        <w:t xml:space="preserve"> and </w:t>
      </w:r>
      <w:r w:rsidRPr="0079515C">
        <w:rPr>
          <w:i/>
          <w:spacing w:val="-4"/>
          <w:lang w:val="en-US"/>
        </w:rPr>
        <w:t xml:space="preserve">Case of Espinoza </w:t>
      </w:r>
      <w:proofErr w:type="spellStart"/>
      <w:r w:rsidRPr="0079515C">
        <w:rPr>
          <w:i/>
          <w:spacing w:val="-4"/>
          <w:lang w:val="en-US"/>
        </w:rPr>
        <w:t>Gonzáles</w:t>
      </w:r>
      <w:proofErr w:type="spellEnd"/>
      <w:r w:rsidRPr="0079515C">
        <w:rPr>
          <w:i/>
          <w:spacing w:val="-4"/>
          <w:lang w:val="en-US"/>
        </w:rPr>
        <w:t xml:space="preserve"> v. Peru. </w:t>
      </w:r>
      <w:proofErr w:type="gramStart"/>
      <w:r w:rsidRPr="0079515C">
        <w:rPr>
          <w:i/>
          <w:spacing w:val="-4"/>
          <w:lang w:val="en-US"/>
        </w:rPr>
        <w:t>Preliminary objections, merits, reparations and costs.</w:t>
      </w:r>
      <w:proofErr w:type="gramEnd"/>
      <w:r w:rsidRPr="0079515C">
        <w:rPr>
          <w:spacing w:val="-4"/>
          <w:lang w:val="en-US"/>
        </w:rPr>
        <w:t xml:space="preserve"> Judgment of November 20, 2014. Series C No. 289, para. </w:t>
      </w:r>
      <w:r w:rsidRPr="0039093A">
        <w:rPr>
          <w:spacing w:val="-4"/>
        </w:rPr>
        <w:t>106.</w:t>
      </w:r>
    </w:p>
  </w:footnote>
  <w:footnote w:id="321">
    <w:p w14:paraId="7DAEB327" w14:textId="7232A91F"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Chaparro Álvarez and Lapo Íñiguez v. Ecuador, supra</w:t>
      </w:r>
      <w:r w:rsidRPr="0039093A">
        <w:rPr>
          <w:spacing w:val="-4"/>
        </w:rPr>
        <w:t xml:space="preserve">, para. 54, and </w:t>
      </w:r>
      <w:r w:rsidRPr="0039093A">
        <w:rPr>
          <w:i/>
          <w:spacing w:val="-4"/>
        </w:rPr>
        <w:t xml:space="preserve">Case of Espinoza Gonzáles v. </w:t>
      </w:r>
      <w:proofErr w:type="spellStart"/>
      <w:r w:rsidRPr="0039093A">
        <w:rPr>
          <w:i/>
          <w:spacing w:val="-4"/>
        </w:rPr>
        <w:t>Peru</w:t>
      </w:r>
      <w:proofErr w:type="spellEnd"/>
      <w:r w:rsidRPr="0039093A">
        <w:rPr>
          <w:i/>
          <w:spacing w:val="-4"/>
        </w:rPr>
        <w:t>, supra</w:t>
      </w:r>
      <w:r w:rsidRPr="0039093A">
        <w:rPr>
          <w:spacing w:val="-4"/>
        </w:rPr>
        <w:t>, para. 106.</w:t>
      </w:r>
    </w:p>
  </w:footnote>
  <w:footnote w:id="322">
    <w:p w14:paraId="321BED02" w14:textId="20EB05C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 Case of Chaparro Álvarez and Lapo Íñiguez v. Ecuador, supra</w:t>
      </w:r>
      <w:r w:rsidRPr="0039093A">
        <w:rPr>
          <w:spacing w:val="-4"/>
        </w:rPr>
        <w:t xml:space="preserve">, para. </w:t>
      </w:r>
      <w:proofErr w:type="gramStart"/>
      <w:r w:rsidRPr="0079515C">
        <w:rPr>
          <w:spacing w:val="-4"/>
          <w:lang w:val="en-US"/>
        </w:rPr>
        <w:t>57,</w:t>
      </w:r>
      <w:proofErr w:type="gramEnd"/>
      <w:r w:rsidRPr="0079515C">
        <w:rPr>
          <w:spacing w:val="-4"/>
          <w:lang w:val="en-US"/>
        </w:rPr>
        <w:t xml:space="preserve"> and </w:t>
      </w:r>
      <w:r w:rsidRPr="0079515C">
        <w:rPr>
          <w:rStyle w:val="Strong"/>
          <w:b w:val="0"/>
          <w:i/>
          <w:color w:val="000000"/>
          <w:spacing w:val="-4"/>
          <w:shd w:val="clear" w:color="auto" w:fill="FFFFFF"/>
          <w:lang w:val="en-US"/>
        </w:rPr>
        <w:t>Case of Argüelles et al. v. Argentina, supra</w:t>
      </w:r>
      <w:r w:rsidRPr="0079515C">
        <w:rPr>
          <w:rStyle w:val="Strong"/>
          <w:b w:val="0"/>
          <w:color w:val="000000"/>
          <w:spacing w:val="-4"/>
          <w:shd w:val="clear" w:color="auto" w:fill="FFFFFF"/>
          <w:lang w:val="en-US"/>
        </w:rPr>
        <w:t xml:space="preserve">, para. 116. </w:t>
      </w:r>
    </w:p>
  </w:footnote>
  <w:footnote w:id="323">
    <w:p w14:paraId="746039B8" w14:textId="732AB341"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Gangaram</w:t>
      </w:r>
      <w:proofErr w:type="spellEnd"/>
      <w:r w:rsidRPr="0079515C">
        <w:rPr>
          <w:i/>
          <w:spacing w:val="-4"/>
          <w:lang w:val="en-US"/>
        </w:rPr>
        <w:t xml:space="preserve"> </w:t>
      </w:r>
      <w:proofErr w:type="spellStart"/>
      <w:r w:rsidRPr="0079515C">
        <w:rPr>
          <w:i/>
          <w:spacing w:val="-4"/>
          <w:lang w:val="en-US"/>
        </w:rPr>
        <w:t>Panday</w:t>
      </w:r>
      <w:proofErr w:type="spellEnd"/>
      <w:r w:rsidRPr="0079515C">
        <w:rPr>
          <w:i/>
          <w:spacing w:val="-4"/>
          <w:lang w:val="en-US"/>
        </w:rPr>
        <w:t xml:space="preserve"> v. Suriname.</w:t>
      </w:r>
      <w:proofErr w:type="gramEnd"/>
      <w:r w:rsidRPr="0079515C">
        <w:rPr>
          <w:i/>
          <w:spacing w:val="-4"/>
          <w:lang w:val="en-US"/>
        </w:rPr>
        <w:t xml:space="preserve"> </w:t>
      </w:r>
      <w:proofErr w:type="gramStart"/>
      <w:r w:rsidRPr="0079515C">
        <w:rPr>
          <w:i/>
          <w:spacing w:val="-4"/>
          <w:lang w:val="en-US"/>
        </w:rPr>
        <w:t>Merits, reparations and costs.</w:t>
      </w:r>
      <w:proofErr w:type="gramEnd"/>
      <w:r w:rsidRPr="0079515C">
        <w:rPr>
          <w:i/>
          <w:spacing w:val="-4"/>
          <w:lang w:val="en-US"/>
        </w:rPr>
        <w:t xml:space="preserve"> </w:t>
      </w:r>
      <w:r w:rsidRPr="0079515C">
        <w:rPr>
          <w:spacing w:val="-4"/>
          <w:lang w:val="en-US"/>
        </w:rPr>
        <w:t xml:space="preserve">Judgment of January 21, 1994. Series C No. 16, para. </w:t>
      </w:r>
      <w:proofErr w:type="gramStart"/>
      <w:r w:rsidRPr="0079515C">
        <w:rPr>
          <w:spacing w:val="-4"/>
          <w:lang w:val="en-US"/>
        </w:rPr>
        <w:t xml:space="preserve">47, and </w:t>
      </w:r>
      <w:r w:rsidRPr="0079515C">
        <w:rPr>
          <w:i/>
          <w:spacing w:val="-4"/>
          <w:lang w:val="en-US"/>
        </w:rPr>
        <w:t>Case of Expelled Dominicans and Haitians v. Dominican Republic, supra</w:t>
      </w:r>
      <w:r w:rsidRPr="0079515C">
        <w:rPr>
          <w:spacing w:val="-4"/>
          <w:lang w:val="en-US"/>
        </w:rPr>
        <w:t>, para.</w:t>
      </w:r>
      <w:proofErr w:type="gramEnd"/>
      <w:r w:rsidRPr="0079515C">
        <w:rPr>
          <w:spacing w:val="-4"/>
          <w:lang w:val="en-US"/>
        </w:rPr>
        <w:t xml:space="preserve"> </w:t>
      </w:r>
      <w:r w:rsidRPr="0039093A">
        <w:rPr>
          <w:spacing w:val="-4"/>
        </w:rPr>
        <w:t>364</w:t>
      </w:r>
      <w:r w:rsidRPr="0039093A">
        <w:rPr>
          <w:rStyle w:val="Strong"/>
          <w:b w:val="0"/>
          <w:color w:val="000000"/>
          <w:spacing w:val="-4"/>
          <w:shd w:val="clear" w:color="auto" w:fill="FFFFFF"/>
        </w:rPr>
        <w:t>.</w:t>
      </w:r>
    </w:p>
  </w:footnote>
  <w:footnote w:id="324">
    <w:p w14:paraId="2A933970" w14:textId="0A97628A"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Chaparro Álvarez and Lapo Íñiguez v. Ecuador, supra</w:t>
      </w:r>
      <w:r w:rsidRPr="0039093A">
        <w:rPr>
          <w:spacing w:val="-4"/>
        </w:rPr>
        <w:t xml:space="preserve">, paras. </w:t>
      </w:r>
      <w:proofErr w:type="gramStart"/>
      <w:r w:rsidRPr="0079515C">
        <w:rPr>
          <w:spacing w:val="-4"/>
          <w:lang w:val="en-US"/>
        </w:rPr>
        <w:t xml:space="preserve">93 and 96, and </w:t>
      </w:r>
      <w:r w:rsidRPr="0079515C">
        <w:rPr>
          <w:i/>
          <w:spacing w:val="-4"/>
          <w:lang w:val="en-US"/>
        </w:rPr>
        <w:t>Case of Rodríguez Vera et al. (The Disappeared of the Palace of Justice) v. Colombia, supra</w:t>
      </w:r>
      <w:r w:rsidRPr="0079515C">
        <w:rPr>
          <w:spacing w:val="-4"/>
          <w:lang w:val="en-US"/>
        </w:rPr>
        <w:t>, para.</w:t>
      </w:r>
      <w:proofErr w:type="gramEnd"/>
      <w:r w:rsidRPr="0079515C">
        <w:rPr>
          <w:spacing w:val="-4"/>
          <w:lang w:val="en-US"/>
        </w:rPr>
        <w:t xml:space="preserve"> </w:t>
      </w:r>
      <w:r w:rsidRPr="0039093A">
        <w:rPr>
          <w:spacing w:val="-4"/>
        </w:rPr>
        <w:t>401.</w:t>
      </w:r>
    </w:p>
  </w:footnote>
  <w:footnote w:id="325">
    <w:p w14:paraId="6D0F3F3F" w14:textId="1D33BD99"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Chaparro Álvarez and Lapo Íñiguez v. Ecuador, supra</w:t>
      </w:r>
      <w:r w:rsidRPr="0039093A">
        <w:rPr>
          <w:spacing w:val="-4"/>
        </w:rPr>
        <w:t xml:space="preserve">, para. </w:t>
      </w:r>
      <w:proofErr w:type="gramStart"/>
      <w:r w:rsidRPr="0079515C">
        <w:rPr>
          <w:spacing w:val="-4"/>
          <w:lang w:val="en-US"/>
        </w:rPr>
        <w:t>91,</w:t>
      </w:r>
      <w:proofErr w:type="gramEnd"/>
      <w:r w:rsidRPr="0079515C">
        <w:rPr>
          <w:spacing w:val="-4"/>
          <w:lang w:val="en-US"/>
        </w:rPr>
        <w:t xml:space="preserve"> and </w:t>
      </w:r>
      <w:r w:rsidRPr="0079515C">
        <w:rPr>
          <w:i/>
          <w:spacing w:val="-4"/>
          <w:lang w:val="en-US"/>
        </w:rPr>
        <w:t>Case of Rodríguez Vera et al. (The Disappeared of the Palace of Justice) v. Colombia, supra</w:t>
      </w:r>
      <w:r w:rsidRPr="0079515C">
        <w:rPr>
          <w:spacing w:val="-4"/>
          <w:lang w:val="en-US"/>
        </w:rPr>
        <w:t xml:space="preserve">, para. </w:t>
      </w:r>
      <w:r w:rsidRPr="0039093A">
        <w:rPr>
          <w:spacing w:val="-4"/>
        </w:rPr>
        <w:t>401.</w:t>
      </w:r>
    </w:p>
  </w:footnote>
  <w:footnote w:id="326">
    <w:p w14:paraId="7CFA519D" w14:textId="6356FB65"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Chaparro Álvarez and Lapo Íñiguez v. Ecuador, supra</w:t>
      </w:r>
      <w:r w:rsidRPr="0039093A">
        <w:rPr>
          <w:spacing w:val="-4"/>
        </w:rPr>
        <w:t xml:space="preserve">, para. </w:t>
      </w:r>
      <w:proofErr w:type="gramStart"/>
      <w:r w:rsidRPr="0079515C">
        <w:rPr>
          <w:spacing w:val="-4"/>
          <w:lang w:val="en-US"/>
        </w:rPr>
        <w:t>92,</w:t>
      </w:r>
      <w:proofErr w:type="gramEnd"/>
      <w:r w:rsidRPr="0079515C">
        <w:rPr>
          <w:spacing w:val="-4"/>
          <w:lang w:val="en-US"/>
        </w:rPr>
        <w:t xml:space="preserve"> and </w:t>
      </w:r>
      <w:r w:rsidRPr="0079515C">
        <w:rPr>
          <w:i/>
          <w:spacing w:val="-4"/>
          <w:lang w:val="en-US"/>
        </w:rPr>
        <w:t>Case of Rodríguez Vera et al. (The Disappeared of the Palace of Justice) v. Colombia, supra</w:t>
      </w:r>
      <w:r w:rsidRPr="0079515C">
        <w:rPr>
          <w:spacing w:val="-4"/>
          <w:lang w:val="en-US"/>
        </w:rPr>
        <w:t>, para. 401.</w:t>
      </w:r>
    </w:p>
  </w:footnote>
  <w:footnote w:id="327">
    <w:p w14:paraId="2A19EC72" w14:textId="2D20C90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Extradition Treaty between the Republic of Peru and the People’s Republic of China (evidence file, folio 1635).</w:t>
      </w:r>
      <w:proofErr w:type="gramEnd"/>
    </w:p>
  </w:footnote>
  <w:footnote w:id="328">
    <w:p w14:paraId="3F90A75B" w14:textId="0B5D2C1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1993 Constitution of Peru, Available at: </w:t>
      </w:r>
      <w:hyperlink r:id="rId100" w:history="1">
        <w:r w:rsidRPr="0079515C">
          <w:rPr>
            <w:rStyle w:val="Hyperlink"/>
            <w:spacing w:val="-4"/>
            <w:lang w:val="en-US"/>
          </w:rPr>
          <w:t>www.congreso.gob.pe/ntley/ConstitucionP.htm</w:t>
        </w:r>
      </w:hyperlink>
      <w:r w:rsidRPr="0079515C">
        <w:rPr>
          <w:spacing w:val="-4"/>
          <w:lang w:val="en-US"/>
        </w:rPr>
        <w:t xml:space="preserve">, cited in the Commission’s Merits Report, folio 19.    </w:t>
      </w:r>
    </w:p>
  </w:footnote>
  <w:footnote w:id="329">
    <w:p w14:paraId="2B713503" w14:textId="7E740BB2"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Code of Criminal Procedure, promulgated by Legislative Decree No. 957 of July 29, 2004, Available at: </w:t>
      </w:r>
      <w:hyperlink r:id="rId101" w:history="1">
        <w:r w:rsidRPr="0079515C">
          <w:rPr>
            <w:rStyle w:val="Hyperlink"/>
            <w:spacing w:val="-4"/>
            <w:lang w:val="en-US"/>
          </w:rPr>
          <w:t>http://www.leyes.congreso.gob.pe/Documentos/DecretosLegislativos/00957.pdf</w:t>
        </w:r>
      </w:hyperlink>
      <w:r w:rsidRPr="0079515C">
        <w:rPr>
          <w:spacing w:val="-4"/>
          <w:lang w:val="en-US"/>
        </w:rPr>
        <w:t>, cited in the Commission’s Merits Report, folio 24.</w:t>
      </w:r>
      <w:proofErr w:type="gramEnd"/>
      <w:r w:rsidRPr="0079515C">
        <w:rPr>
          <w:spacing w:val="-4"/>
          <w:lang w:val="en-US"/>
        </w:rPr>
        <w:t xml:space="preserve"> </w:t>
      </w:r>
    </w:p>
  </w:footnote>
  <w:footnote w:id="330">
    <w:p w14:paraId="310B7D99" w14:textId="3F0A5EA6" w:rsidR="002306C1" w:rsidRPr="0079515C" w:rsidRDefault="002306C1" w:rsidP="00853044">
      <w:pPr>
        <w:tabs>
          <w:tab w:val="left" w:pos="426"/>
        </w:tabs>
        <w:spacing w:before="120" w:after="120"/>
        <w:rPr>
          <w:spacing w:val="-4"/>
          <w:sz w:val="16"/>
          <w:szCs w:val="16"/>
          <w:lang w:val="en-US"/>
        </w:rPr>
      </w:pPr>
      <w:r w:rsidRPr="0079515C">
        <w:rPr>
          <w:rStyle w:val="FootnoteReference"/>
          <w:color w:val="1F497D" w:themeColor="text2"/>
          <w:spacing w:val="-4"/>
          <w:sz w:val="16"/>
          <w:szCs w:val="16"/>
          <w:lang w:val="en-US"/>
        </w:rPr>
        <w:footnoteRef/>
      </w:r>
      <w:r w:rsidRPr="0079515C">
        <w:rPr>
          <w:color w:val="1F497D" w:themeColor="text2"/>
          <w:spacing w:val="-4"/>
          <w:sz w:val="16"/>
          <w:szCs w:val="16"/>
          <w:lang w:val="en-US"/>
        </w:rPr>
        <w:t xml:space="preserve"> </w:t>
      </w:r>
      <w:r w:rsidRPr="0079515C">
        <w:rPr>
          <w:spacing w:val="-4"/>
          <w:sz w:val="16"/>
          <w:szCs w:val="16"/>
          <w:lang w:val="en-US"/>
        </w:rPr>
        <w:tab/>
        <w:t>Procedural Code promulgated by Legislative Decree No. 638 of April 27, 1991 (evidence file, folio 8623).</w:t>
      </w:r>
    </w:p>
  </w:footnote>
  <w:footnote w:id="331">
    <w:p w14:paraId="20DE1154" w14:textId="2CA6AC9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Provisional arrest warrant of October 28, 2008 (evidence file, folio 18).</w:t>
      </w:r>
      <w:proofErr w:type="gramEnd"/>
    </w:p>
  </w:footnote>
  <w:footnote w:id="332">
    <w:p w14:paraId="024B8695" w14:textId="33B0144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rFonts w:cs="Segoe UI"/>
          <w:color w:val="000000"/>
          <w:spacing w:val="-4"/>
          <w:lang w:val="en-US" w:eastAsia="es-MX"/>
        </w:rPr>
        <w:t xml:space="preserve">Decision of December 11, 2008, delivered by the First Transitory Combined Superior Chamber </w:t>
      </w:r>
      <w:r w:rsidRPr="0079515C">
        <w:rPr>
          <w:spacing w:val="-4"/>
          <w:lang w:val="en-US"/>
        </w:rPr>
        <w:t>(evidence file, folio 44).</w:t>
      </w:r>
    </w:p>
  </w:footnote>
  <w:footnote w:id="333">
    <w:p w14:paraId="2676A50C" w14:textId="3E8411F9"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39093A">
        <w:rPr>
          <w:spacing w:val="-4"/>
        </w:rPr>
        <w:t xml:space="preserve"> </w:t>
      </w:r>
      <w:r w:rsidRPr="0039093A">
        <w:rPr>
          <w:spacing w:val="-4"/>
        </w:rPr>
        <w:tab/>
      </w:r>
      <w:r w:rsidRPr="0039093A">
        <w:rPr>
          <w:i/>
          <w:spacing w:val="-4"/>
        </w:rPr>
        <w:t>Cf.</w:t>
      </w:r>
      <w:r w:rsidRPr="0039093A">
        <w:rPr>
          <w:b/>
          <w:spacing w:val="-4"/>
        </w:rPr>
        <w:t xml:space="preserve"> </w:t>
      </w:r>
      <w:r w:rsidRPr="0039093A">
        <w:rPr>
          <w:i/>
          <w:spacing w:val="-4"/>
        </w:rPr>
        <w:t>Case of Chaparro Álvarez and Lapo Íñiguez v. Ecuador, supra</w:t>
      </w:r>
      <w:r w:rsidRPr="0039093A">
        <w:rPr>
          <w:spacing w:val="-4"/>
        </w:rPr>
        <w:t xml:space="preserve">, para. </w:t>
      </w:r>
      <w:proofErr w:type="gramStart"/>
      <w:r w:rsidRPr="0079515C">
        <w:rPr>
          <w:spacing w:val="-4"/>
          <w:lang w:val="en-US"/>
        </w:rPr>
        <w:t>93,</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120.</w:t>
      </w:r>
    </w:p>
  </w:footnote>
  <w:footnote w:id="334">
    <w:p w14:paraId="30A68991" w14:textId="40EF223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 xml:space="preserve">Case of Ricardo </w:t>
      </w:r>
      <w:proofErr w:type="spellStart"/>
      <w:r w:rsidRPr="0079515C">
        <w:rPr>
          <w:i/>
          <w:spacing w:val="-4"/>
          <w:lang w:val="en-US"/>
        </w:rPr>
        <w:t>Canese</w:t>
      </w:r>
      <w:proofErr w:type="spellEnd"/>
      <w:r w:rsidRPr="0079515C">
        <w:rPr>
          <w:i/>
          <w:spacing w:val="-4"/>
          <w:lang w:val="en-US"/>
        </w:rPr>
        <w:t xml:space="preserve"> v. Paraguay.</w:t>
      </w:r>
      <w:proofErr w:type="gramEnd"/>
      <w:r w:rsidRPr="0079515C">
        <w:rPr>
          <w:i/>
          <w:spacing w:val="-4"/>
          <w:lang w:val="en-US"/>
        </w:rPr>
        <w:t xml:space="preserv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August 31, 2004. Series C No. 111, para. </w:t>
      </w:r>
      <w:proofErr w:type="gramStart"/>
      <w:r w:rsidRPr="0079515C">
        <w:rPr>
          <w:spacing w:val="-4"/>
          <w:lang w:val="en-US"/>
        </w:rPr>
        <w:t>129,</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Norín</w:t>
      </w:r>
      <w:proofErr w:type="spellEnd"/>
      <w:r w:rsidRPr="0079515C">
        <w:rPr>
          <w:i/>
          <w:spacing w:val="-4"/>
          <w:lang w:val="en-US"/>
        </w:rPr>
        <w:t xml:space="preserve"> </w:t>
      </w:r>
      <w:proofErr w:type="spellStart"/>
      <w:r w:rsidRPr="0079515C">
        <w:rPr>
          <w:i/>
          <w:spacing w:val="-4"/>
          <w:lang w:val="en-US"/>
        </w:rPr>
        <w:t>Catrimán</w:t>
      </w:r>
      <w:proofErr w:type="spellEnd"/>
      <w:r w:rsidRPr="0079515C">
        <w:rPr>
          <w:i/>
          <w:spacing w:val="-4"/>
          <w:lang w:val="en-US"/>
        </w:rPr>
        <w:t xml:space="preserve"> et al. (Leaders, members and an activist of the </w:t>
      </w:r>
      <w:proofErr w:type="spellStart"/>
      <w:r w:rsidRPr="0079515C">
        <w:rPr>
          <w:i/>
          <w:spacing w:val="-4"/>
          <w:lang w:val="en-US"/>
        </w:rPr>
        <w:t>Mapuche</w:t>
      </w:r>
      <w:proofErr w:type="spellEnd"/>
      <w:r w:rsidRPr="0079515C">
        <w:rPr>
          <w:i/>
          <w:spacing w:val="-4"/>
          <w:lang w:val="en-US"/>
        </w:rPr>
        <w:t xml:space="preserve"> Indigenous People) v. Chile.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May 29, 2014. Series C No. 279, para. 310.</w:t>
      </w:r>
    </w:p>
  </w:footnote>
  <w:footnote w:id="335">
    <w:p w14:paraId="7FF83FBC" w14:textId="3530403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b/>
          <w:spacing w:val="-4"/>
          <w:lang w:val="en-US"/>
        </w:rPr>
        <w:t xml:space="preserve"> </w:t>
      </w:r>
      <w:r w:rsidRPr="0079515C">
        <w:rPr>
          <w:i/>
          <w:spacing w:val="-4"/>
          <w:lang w:val="en-US"/>
        </w:rPr>
        <w:t xml:space="preserve">Case of Ricardo </w:t>
      </w:r>
      <w:proofErr w:type="spellStart"/>
      <w:r w:rsidRPr="0079515C">
        <w:rPr>
          <w:i/>
          <w:spacing w:val="-4"/>
          <w:lang w:val="en-US"/>
        </w:rPr>
        <w:t>Canese</w:t>
      </w:r>
      <w:proofErr w:type="spellEnd"/>
      <w:r w:rsidRPr="0079515C">
        <w:rPr>
          <w:i/>
          <w:spacing w:val="-4"/>
          <w:lang w:val="en-US"/>
        </w:rPr>
        <w:t xml:space="preserve"> v. Paraguay, supra</w:t>
      </w:r>
      <w:r w:rsidRPr="0079515C">
        <w:rPr>
          <w:spacing w:val="-4"/>
          <w:lang w:val="en-US"/>
        </w:rPr>
        <w:t xml:space="preserve">, para. </w:t>
      </w:r>
      <w:proofErr w:type="gramStart"/>
      <w:r w:rsidRPr="0079515C">
        <w:rPr>
          <w:spacing w:val="-4"/>
          <w:lang w:val="en-US"/>
        </w:rPr>
        <w:t>129,</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120.</w:t>
      </w:r>
    </w:p>
  </w:footnote>
  <w:footnote w:id="336">
    <w:p w14:paraId="71B21B1C" w14:textId="617CE8F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Chaparro</w:t>
      </w:r>
      <w:proofErr w:type="spellEnd"/>
      <w:r w:rsidRPr="0079515C">
        <w:rPr>
          <w:i/>
          <w:spacing w:val="-4"/>
          <w:lang w:val="en-US"/>
        </w:rPr>
        <w:t xml:space="preserve"> </w:t>
      </w:r>
      <w:proofErr w:type="spellStart"/>
      <w:r w:rsidRPr="0079515C">
        <w:rPr>
          <w:i/>
          <w:spacing w:val="-4"/>
          <w:lang w:val="en-US"/>
        </w:rPr>
        <w:t>Álvarez</w:t>
      </w:r>
      <w:proofErr w:type="spellEnd"/>
      <w:r w:rsidRPr="0079515C">
        <w:rPr>
          <w:i/>
          <w:spacing w:val="-4"/>
          <w:lang w:val="en-US"/>
        </w:rPr>
        <w:t xml:space="preserve"> and </w:t>
      </w:r>
      <w:proofErr w:type="spellStart"/>
      <w:r w:rsidRPr="0079515C">
        <w:rPr>
          <w:i/>
          <w:spacing w:val="-4"/>
          <w:lang w:val="en-US"/>
        </w:rPr>
        <w:t>Lapo</w:t>
      </w:r>
      <w:proofErr w:type="spellEnd"/>
      <w:r w:rsidRPr="0079515C">
        <w:rPr>
          <w:i/>
          <w:spacing w:val="-4"/>
          <w:lang w:val="en-US"/>
        </w:rPr>
        <w:t xml:space="preserve"> </w:t>
      </w:r>
      <w:proofErr w:type="spellStart"/>
      <w:r w:rsidRPr="0079515C">
        <w:rPr>
          <w:i/>
          <w:spacing w:val="-4"/>
          <w:lang w:val="en-US"/>
        </w:rPr>
        <w:t>Íñiguez</w:t>
      </w:r>
      <w:proofErr w:type="spellEnd"/>
      <w:r w:rsidRPr="0079515C">
        <w:rPr>
          <w:i/>
          <w:spacing w:val="-4"/>
          <w:lang w:val="en-US"/>
        </w:rPr>
        <w:t>.</w:t>
      </w:r>
      <w:proofErr w:type="gramEnd"/>
      <w:r w:rsidRPr="0079515C">
        <w:rPr>
          <w:i/>
          <w:spacing w:val="-4"/>
          <w:lang w:val="en-US"/>
        </w:rPr>
        <w:t xml:space="preserve"> v. Ecuador, supra</w:t>
      </w:r>
      <w:r w:rsidRPr="0079515C">
        <w:rPr>
          <w:spacing w:val="-4"/>
          <w:lang w:val="en-US"/>
        </w:rPr>
        <w:t xml:space="preserve">, para. </w:t>
      </w:r>
      <w:proofErr w:type="gramStart"/>
      <w:r w:rsidRPr="0079515C">
        <w:rPr>
          <w:spacing w:val="-4"/>
          <w:lang w:val="en-US"/>
        </w:rPr>
        <w:t>93,</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120.</w:t>
      </w:r>
    </w:p>
  </w:footnote>
  <w:footnote w:id="337">
    <w:p w14:paraId="58C6FF46" w14:textId="435B9F2B"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García</w:t>
      </w:r>
      <w:proofErr w:type="spellEnd"/>
      <w:r w:rsidRPr="0079515C">
        <w:rPr>
          <w:i/>
          <w:spacing w:val="-4"/>
          <w:lang w:val="en-US"/>
        </w:rPr>
        <w:t xml:space="preserve"> </w:t>
      </w:r>
      <w:proofErr w:type="spellStart"/>
      <w:r w:rsidRPr="0079515C">
        <w:rPr>
          <w:i/>
          <w:spacing w:val="-4"/>
          <w:lang w:val="en-US"/>
        </w:rPr>
        <w:t>Asto</w:t>
      </w:r>
      <w:proofErr w:type="spellEnd"/>
      <w:r w:rsidRPr="0079515C">
        <w:rPr>
          <w:i/>
          <w:spacing w:val="-4"/>
          <w:lang w:val="en-US"/>
        </w:rPr>
        <w:t xml:space="preserve"> and </w:t>
      </w:r>
      <w:proofErr w:type="spellStart"/>
      <w:r w:rsidRPr="0079515C">
        <w:rPr>
          <w:i/>
          <w:spacing w:val="-4"/>
          <w:lang w:val="en-US"/>
        </w:rPr>
        <w:t>Ramírez</w:t>
      </w:r>
      <w:proofErr w:type="spellEnd"/>
      <w:r w:rsidRPr="0079515C">
        <w:rPr>
          <w:i/>
          <w:spacing w:val="-4"/>
          <w:lang w:val="en-US"/>
        </w:rPr>
        <w:t xml:space="preserve"> Rojas v. Peru, supra</w:t>
      </w:r>
      <w:r w:rsidRPr="0079515C">
        <w:rPr>
          <w:spacing w:val="-4"/>
          <w:lang w:val="en-US"/>
        </w:rPr>
        <w:t xml:space="preserve">, para. </w:t>
      </w:r>
      <w:proofErr w:type="gramStart"/>
      <w:r w:rsidRPr="0079515C">
        <w:rPr>
          <w:spacing w:val="-4"/>
          <w:lang w:val="en-US"/>
        </w:rPr>
        <w:t>128,</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120.</w:t>
      </w:r>
    </w:p>
  </w:footnote>
  <w:footnote w:id="338">
    <w:p w14:paraId="653C153E" w14:textId="5F1A862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Cf.</w:t>
      </w:r>
      <w:r w:rsidRPr="0079515C">
        <w:rPr>
          <w:spacing w:val="-4"/>
          <w:lang w:val="en-US"/>
        </w:rPr>
        <w:t xml:space="preserve"> </w:t>
      </w:r>
      <w:r w:rsidRPr="0079515C">
        <w:rPr>
          <w:i/>
          <w:spacing w:val="-4"/>
          <w:lang w:val="en-US"/>
        </w:rPr>
        <w:t xml:space="preserve">Case of Suárez </w:t>
      </w:r>
      <w:proofErr w:type="spellStart"/>
      <w:r w:rsidRPr="0079515C">
        <w:rPr>
          <w:i/>
          <w:spacing w:val="-4"/>
          <w:lang w:val="en-US"/>
        </w:rPr>
        <w:t>Rosero</w:t>
      </w:r>
      <w:proofErr w:type="spellEnd"/>
      <w:r w:rsidRPr="0079515C">
        <w:rPr>
          <w:i/>
          <w:spacing w:val="-4"/>
          <w:lang w:val="en-US"/>
        </w:rPr>
        <w:t xml:space="preserve"> v. Ecuador.</w:t>
      </w:r>
      <w:proofErr w:type="gramEnd"/>
      <w:r w:rsidRPr="0079515C">
        <w:rPr>
          <w:i/>
          <w:spacing w:val="-4"/>
          <w:lang w:val="en-US"/>
        </w:rPr>
        <w:t xml:space="preserve"> </w:t>
      </w:r>
      <w:proofErr w:type="gramStart"/>
      <w:r w:rsidRPr="0079515C">
        <w:rPr>
          <w:i/>
          <w:spacing w:val="-4"/>
          <w:lang w:val="en-US"/>
        </w:rPr>
        <w:t>Merits, supra</w:t>
      </w:r>
      <w:r w:rsidRPr="0079515C">
        <w:rPr>
          <w:color w:val="000000"/>
          <w:spacing w:val="-4"/>
          <w:lang w:val="en-US"/>
        </w:rPr>
        <w:t>, para.</w:t>
      </w:r>
      <w:proofErr w:type="gramEnd"/>
      <w:r w:rsidRPr="0079515C">
        <w:rPr>
          <w:color w:val="000000"/>
          <w:spacing w:val="-4"/>
          <w:lang w:val="en-US"/>
        </w:rPr>
        <w:t xml:space="preserve"> 77, and </w:t>
      </w:r>
      <w:r w:rsidRPr="0079515C">
        <w:rPr>
          <w:i/>
          <w:spacing w:val="-4"/>
          <w:lang w:val="en-US"/>
        </w:rPr>
        <w:t xml:space="preserve">Case of </w:t>
      </w:r>
      <w:proofErr w:type="spellStart"/>
      <w:r w:rsidRPr="0079515C">
        <w:rPr>
          <w:i/>
          <w:spacing w:val="-4"/>
          <w:lang w:val="en-US"/>
        </w:rPr>
        <w:t>Norín</w:t>
      </w:r>
      <w:proofErr w:type="spellEnd"/>
      <w:r w:rsidRPr="0079515C">
        <w:rPr>
          <w:i/>
          <w:spacing w:val="-4"/>
          <w:lang w:val="en-US"/>
        </w:rPr>
        <w:t xml:space="preserve"> </w:t>
      </w:r>
      <w:proofErr w:type="spellStart"/>
      <w:r w:rsidRPr="0079515C">
        <w:rPr>
          <w:i/>
          <w:spacing w:val="-4"/>
          <w:lang w:val="en-US"/>
        </w:rPr>
        <w:t>Catrimán</w:t>
      </w:r>
      <w:proofErr w:type="spellEnd"/>
      <w:r w:rsidRPr="0079515C">
        <w:rPr>
          <w:i/>
          <w:spacing w:val="-4"/>
          <w:lang w:val="en-US"/>
        </w:rPr>
        <w:t xml:space="preserve"> et al. (Leaders, members and an activist of the </w:t>
      </w:r>
      <w:proofErr w:type="spellStart"/>
      <w:r w:rsidRPr="0079515C">
        <w:rPr>
          <w:i/>
          <w:spacing w:val="-4"/>
          <w:lang w:val="en-US"/>
        </w:rPr>
        <w:t>Mapuche</w:t>
      </w:r>
      <w:proofErr w:type="spellEnd"/>
      <w:r w:rsidRPr="0079515C">
        <w:rPr>
          <w:i/>
          <w:spacing w:val="-4"/>
          <w:lang w:val="en-US"/>
        </w:rPr>
        <w:t xml:space="preserve"> Indigenous People) v. Chile, supra</w:t>
      </w:r>
      <w:r w:rsidRPr="0079515C">
        <w:rPr>
          <w:spacing w:val="-4"/>
          <w:lang w:val="en-US"/>
        </w:rPr>
        <w:t>, para. 312.</w:t>
      </w:r>
    </w:p>
  </w:footnote>
  <w:footnote w:id="339">
    <w:p w14:paraId="4D07CC2E" w14:textId="237B24B8"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Barreto</w:t>
      </w:r>
      <w:proofErr w:type="spellEnd"/>
      <w:r w:rsidRPr="0079515C">
        <w:rPr>
          <w:i/>
          <w:spacing w:val="-4"/>
          <w:lang w:val="en-US"/>
        </w:rPr>
        <w:t xml:space="preserve"> </w:t>
      </w:r>
      <w:proofErr w:type="spellStart"/>
      <w:r w:rsidRPr="0079515C">
        <w:rPr>
          <w:i/>
          <w:spacing w:val="-4"/>
          <w:lang w:val="en-US"/>
        </w:rPr>
        <w:t>Leiva</w:t>
      </w:r>
      <w:proofErr w:type="spellEnd"/>
      <w:r w:rsidRPr="0079515C">
        <w:rPr>
          <w:i/>
          <w:spacing w:val="-4"/>
          <w:lang w:val="en-US"/>
        </w:rPr>
        <w:t xml:space="preserve"> v. Venezuela.</w:t>
      </w:r>
      <w:proofErr w:type="gramEnd"/>
      <w:r w:rsidRPr="0079515C">
        <w:rPr>
          <w:i/>
          <w:spacing w:val="-4"/>
          <w:lang w:val="en-US"/>
        </w:rPr>
        <w:t xml:space="preserve"> </w:t>
      </w:r>
      <w:proofErr w:type="gramStart"/>
      <w:r w:rsidRPr="0079515C">
        <w:rPr>
          <w:i/>
          <w:spacing w:val="-4"/>
          <w:lang w:val="en-US"/>
        </w:rPr>
        <w:t>Merits, reparations and costs.</w:t>
      </w:r>
      <w:proofErr w:type="gramEnd"/>
      <w:r w:rsidRPr="0079515C">
        <w:rPr>
          <w:spacing w:val="-4"/>
          <w:lang w:val="en-US"/>
        </w:rPr>
        <w:t xml:space="preserve"> Judgment of November 17, 2009. Series C No. 206</w:t>
      </w:r>
      <w:r w:rsidRPr="0079515C">
        <w:rPr>
          <w:rFonts w:eastAsia="Batang"/>
          <w:spacing w:val="-4"/>
          <w:lang w:val="en-US"/>
        </w:rPr>
        <w:t xml:space="preserve">, para. </w:t>
      </w:r>
      <w:r w:rsidRPr="0079515C">
        <w:rPr>
          <w:spacing w:val="-4"/>
          <w:lang w:val="en-US"/>
        </w:rPr>
        <w:t xml:space="preserve">115, and </w:t>
      </w:r>
      <w:r w:rsidRPr="0079515C">
        <w:rPr>
          <w:i/>
          <w:spacing w:val="-4"/>
          <w:lang w:val="en-US"/>
        </w:rPr>
        <w:t xml:space="preserve">Case of </w:t>
      </w:r>
      <w:proofErr w:type="spellStart"/>
      <w:r w:rsidRPr="0079515C">
        <w:rPr>
          <w:i/>
          <w:spacing w:val="-4"/>
          <w:lang w:val="en-US"/>
        </w:rPr>
        <w:t>Norín</w:t>
      </w:r>
      <w:proofErr w:type="spellEnd"/>
      <w:r w:rsidRPr="0079515C">
        <w:rPr>
          <w:i/>
          <w:spacing w:val="-4"/>
          <w:lang w:val="en-US"/>
        </w:rPr>
        <w:t xml:space="preserve"> </w:t>
      </w:r>
      <w:proofErr w:type="spellStart"/>
      <w:r w:rsidRPr="0079515C">
        <w:rPr>
          <w:i/>
          <w:spacing w:val="-4"/>
          <w:lang w:val="en-US"/>
        </w:rPr>
        <w:t>Catrimán</w:t>
      </w:r>
      <w:proofErr w:type="spellEnd"/>
      <w:r w:rsidRPr="0079515C">
        <w:rPr>
          <w:i/>
          <w:spacing w:val="-4"/>
          <w:lang w:val="en-US"/>
        </w:rPr>
        <w:t xml:space="preserve"> et al. (Leaders, members and an activist of the </w:t>
      </w:r>
      <w:proofErr w:type="spellStart"/>
      <w:r w:rsidRPr="0079515C">
        <w:rPr>
          <w:i/>
          <w:spacing w:val="-4"/>
          <w:lang w:val="en-US"/>
        </w:rPr>
        <w:t>Mapuche</w:t>
      </w:r>
      <w:proofErr w:type="spellEnd"/>
      <w:r w:rsidRPr="0079515C">
        <w:rPr>
          <w:i/>
          <w:spacing w:val="-4"/>
          <w:lang w:val="en-US"/>
        </w:rPr>
        <w:t xml:space="preserve"> Indigenous People) v. Chile, supra</w:t>
      </w:r>
      <w:r w:rsidRPr="0079515C">
        <w:rPr>
          <w:spacing w:val="-4"/>
          <w:lang w:val="en-US"/>
        </w:rPr>
        <w:t xml:space="preserve">, para. 312. </w:t>
      </w:r>
    </w:p>
  </w:footnote>
  <w:footnote w:id="340">
    <w:p w14:paraId="3F30E6B0" w14:textId="08979B11"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t xml:space="preserve">Appeal filed on October 28, 2008 (evidence file, folio 24). Similarly, on October 28, 2008, Wong Ho Wing had declared that he was in Peru “owing to a business investment of the Hotel </w:t>
      </w:r>
      <w:proofErr w:type="spellStart"/>
      <w:r w:rsidRPr="0079515C">
        <w:rPr>
          <w:spacing w:val="-4"/>
          <w:lang w:val="en-US"/>
        </w:rPr>
        <w:t>Maur</w:t>
      </w:r>
      <w:proofErr w:type="spellEnd"/>
      <w:r w:rsidRPr="0079515C">
        <w:rPr>
          <w:spacing w:val="-4"/>
          <w:lang w:val="en-US"/>
        </w:rPr>
        <w:t>[y,] of which he was the majority shareholder, and also to see if he could invest in mines” and that, in Peru, he had “three hotels and a house that are the Hotel Maury and two small hotels and [his] house located in Camacho La Molina.” Preliminary statement made by Wong Ho Wing on October 28, 2008, before the Special Criminal Court of El Callao (evidence file, folio 13).</w:t>
      </w:r>
    </w:p>
  </w:footnote>
  <w:footnote w:id="341">
    <w:p w14:paraId="520ECFF1" w14:textId="1EDE1CFD"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Decision of December 11, 2008</w:t>
      </w:r>
      <w:r>
        <w:rPr>
          <w:rFonts w:cs="Segoe UI"/>
          <w:color w:val="000000"/>
          <w:spacing w:val="-4"/>
          <w:lang w:val="en-US" w:eastAsia="es-MX"/>
        </w:rPr>
        <w:t>,</w:t>
      </w:r>
      <w:r w:rsidRPr="0079515C">
        <w:rPr>
          <w:rFonts w:cs="Segoe UI"/>
          <w:color w:val="000000"/>
          <w:spacing w:val="-4"/>
          <w:lang w:val="en-US" w:eastAsia="es-MX"/>
        </w:rPr>
        <w:t xml:space="preserve"> delivered by the First Transitory Combined Superior Chamber </w:t>
      </w:r>
      <w:r w:rsidRPr="0079515C">
        <w:rPr>
          <w:spacing w:val="-4"/>
          <w:lang w:val="en-US"/>
        </w:rPr>
        <w:t>(evidence file, folio 44).</w:t>
      </w:r>
      <w:proofErr w:type="gramEnd"/>
    </w:p>
  </w:footnote>
  <w:footnote w:id="342">
    <w:p w14:paraId="11616935" w14:textId="490AA229" w:rsidR="002306C1" w:rsidRPr="0079515C" w:rsidRDefault="002306C1" w:rsidP="00853044">
      <w:pPr>
        <w:tabs>
          <w:tab w:val="left" w:pos="426"/>
        </w:tabs>
        <w:autoSpaceDE w:val="0"/>
        <w:autoSpaceDN w:val="0"/>
        <w:adjustRightInd w:val="0"/>
        <w:spacing w:before="120" w:after="120"/>
        <w:rPr>
          <w:rFonts w:cs="Verdana"/>
          <w:spacing w:val="-4"/>
          <w:sz w:val="16"/>
          <w:szCs w:val="16"/>
          <w:lang w:val="en-US"/>
        </w:rPr>
      </w:pPr>
      <w:r w:rsidRPr="0079515C">
        <w:rPr>
          <w:rStyle w:val="FootnoteReference"/>
          <w:spacing w:val="-4"/>
          <w:sz w:val="16"/>
          <w:szCs w:val="16"/>
          <w:lang w:val="en-US"/>
        </w:rPr>
        <w:footnoteRef/>
      </w:r>
      <w:r w:rsidRPr="0039093A">
        <w:rPr>
          <w:spacing w:val="-4"/>
          <w:sz w:val="16"/>
          <w:szCs w:val="16"/>
        </w:rPr>
        <w:t xml:space="preserve"> </w:t>
      </w:r>
      <w:r w:rsidRPr="0039093A">
        <w:rPr>
          <w:spacing w:val="-4"/>
          <w:sz w:val="16"/>
          <w:szCs w:val="16"/>
        </w:rPr>
        <w:tab/>
      </w:r>
      <w:r w:rsidRPr="0039093A">
        <w:rPr>
          <w:i/>
          <w:spacing w:val="-4"/>
          <w:sz w:val="16"/>
          <w:szCs w:val="16"/>
        </w:rPr>
        <w:t>Cf. Case of Chaparro Álvarez and Lapo Íñiguez v. Ecuador, supra</w:t>
      </w:r>
      <w:r w:rsidRPr="0039093A">
        <w:rPr>
          <w:spacing w:val="-4"/>
          <w:sz w:val="16"/>
          <w:szCs w:val="16"/>
        </w:rPr>
        <w:t xml:space="preserve">, paras. </w:t>
      </w:r>
      <w:proofErr w:type="gramStart"/>
      <w:r w:rsidRPr="0079515C">
        <w:rPr>
          <w:spacing w:val="-4"/>
          <w:sz w:val="16"/>
          <w:szCs w:val="16"/>
          <w:lang w:val="en-US"/>
        </w:rPr>
        <w:t xml:space="preserve">56 and 57, and </w:t>
      </w:r>
      <w:r w:rsidRPr="0079515C">
        <w:rPr>
          <w:i/>
          <w:spacing w:val="-4"/>
          <w:sz w:val="16"/>
          <w:szCs w:val="16"/>
          <w:lang w:val="en-US"/>
        </w:rPr>
        <w:t>Case of Argüelles et al. v. Argentina, supra</w:t>
      </w:r>
      <w:r w:rsidRPr="0079515C">
        <w:rPr>
          <w:spacing w:val="-4"/>
          <w:sz w:val="16"/>
          <w:szCs w:val="16"/>
          <w:lang w:val="en-US"/>
        </w:rPr>
        <w:t>, para.</w:t>
      </w:r>
      <w:proofErr w:type="gramEnd"/>
      <w:r w:rsidRPr="0079515C">
        <w:rPr>
          <w:spacing w:val="-4"/>
          <w:sz w:val="16"/>
          <w:szCs w:val="16"/>
          <w:lang w:val="en-US"/>
        </w:rPr>
        <w:t xml:space="preserve"> 116. </w:t>
      </w:r>
    </w:p>
  </w:footnote>
  <w:footnote w:id="343">
    <w:p w14:paraId="610DC096" w14:textId="6FF21AC8"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Similarly, the European Court has established that the protection of the individual from arbitrariness means that the law must be sufficiently precise and its application foreseeable. </w:t>
      </w:r>
      <w:r w:rsidRPr="0079515C">
        <w:rPr>
          <w:i/>
          <w:spacing w:val="-4"/>
          <w:lang w:val="en-US"/>
        </w:rPr>
        <w:t xml:space="preserve">Cf. </w:t>
      </w:r>
      <w:r w:rsidRPr="0079515C">
        <w:rPr>
          <w:spacing w:val="-4"/>
          <w:lang w:val="en-US"/>
        </w:rPr>
        <w:t xml:space="preserve">ECHR,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xml:space="preserve">, No. 8320/04.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 xml:space="preserve">127; </w:t>
      </w:r>
      <w:r w:rsidRPr="0079515C">
        <w:rPr>
          <w:i/>
          <w:spacing w:val="-4"/>
          <w:lang w:val="en-US"/>
        </w:rPr>
        <w:t>Case of</w:t>
      </w:r>
      <w:r w:rsidRPr="0079515C">
        <w:rPr>
          <w:spacing w:val="-4"/>
          <w:lang w:val="en-US"/>
        </w:rPr>
        <w:t xml:space="preserve"> </w:t>
      </w:r>
      <w:proofErr w:type="spellStart"/>
      <w:r w:rsidRPr="0079515C">
        <w:rPr>
          <w:rStyle w:val="sb8d990e2"/>
          <w:rFonts w:eastAsia="Calibri"/>
          <w:i/>
          <w:spacing w:val="-4"/>
          <w:lang w:val="en-US"/>
        </w:rPr>
        <w:t>Baranowski</w:t>
      </w:r>
      <w:proofErr w:type="spellEnd"/>
      <w:r w:rsidRPr="0079515C">
        <w:rPr>
          <w:rStyle w:val="sb8d990e2"/>
          <w:rFonts w:eastAsia="Calibri"/>
          <w:i/>
          <w:spacing w:val="-4"/>
          <w:lang w:val="en-US"/>
        </w:rPr>
        <w:t xml:space="preserve"> v. Poland,</w:t>
      </w:r>
      <w:r w:rsidRPr="0079515C">
        <w:rPr>
          <w:rStyle w:val="sb8d990e2"/>
          <w:rFonts w:eastAsia="Calibri"/>
          <w:spacing w:val="-4"/>
          <w:lang w:val="en-US"/>
        </w:rPr>
        <w:t xml:space="preserve"> No. 28358/95.</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Judgment of March 28, 2000, paras.</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 xml:space="preserve">50 to 52; </w:t>
      </w:r>
      <w:r w:rsidRPr="0079515C">
        <w:rPr>
          <w:rStyle w:val="sb8d990e2"/>
          <w:rFonts w:eastAsia="Calibri"/>
          <w:i/>
          <w:spacing w:val="-4"/>
          <w:lang w:val="en-US"/>
        </w:rPr>
        <w:t xml:space="preserve">Case of </w:t>
      </w:r>
      <w:proofErr w:type="spellStart"/>
      <w:r w:rsidRPr="0079515C">
        <w:rPr>
          <w:rStyle w:val="sb8d990e2"/>
          <w:rFonts w:eastAsia="Calibri"/>
          <w:i/>
          <w:spacing w:val="-4"/>
          <w:lang w:val="en-US"/>
        </w:rPr>
        <w:t>Khudoyorov</w:t>
      </w:r>
      <w:proofErr w:type="spellEnd"/>
      <w:r w:rsidRPr="0079515C">
        <w:rPr>
          <w:rStyle w:val="sb8d990e2"/>
          <w:rFonts w:eastAsia="Calibri"/>
          <w:i/>
          <w:spacing w:val="-4"/>
          <w:lang w:val="en-US"/>
        </w:rPr>
        <w:t xml:space="preserve"> v. Russia</w:t>
      </w:r>
      <w:r w:rsidRPr="0079515C">
        <w:rPr>
          <w:rStyle w:val="sb8d990e2"/>
          <w:rFonts w:eastAsia="Calibri"/>
          <w:spacing w:val="-4"/>
          <w:lang w:val="en-US"/>
        </w:rPr>
        <w:t>, No. 6847/02.</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Judgment of November 8, 2005, para.</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 xml:space="preserve">125; </w:t>
      </w:r>
      <w:r w:rsidRPr="0079515C">
        <w:rPr>
          <w:rStyle w:val="sb8d990e2"/>
          <w:rFonts w:eastAsia="Calibri"/>
          <w:i/>
          <w:spacing w:val="-4"/>
          <w:lang w:val="en-US"/>
        </w:rPr>
        <w:t xml:space="preserve">Case of </w:t>
      </w:r>
      <w:proofErr w:type="spellStart"/>
      <w:r w:rsidRPr="0079515C">
        <w:rPr>
          <w:rStyle w:val="sb8d990e2"/>
          <w:rFonts w:eastAsia="Calibri"/>
          <w:i/>
          <w:spacing w:val="-4"/>
          <w:lang w:val="en-US"/>
        </w:rPr>
        <w:t>Calovskis</w:t>
      </w:r>
      <w:proofErr w:type="spellEnd"/>
      <w:r w:rsidRPr="0079515C">
        <w:rPr>
          <w:rStyle w:val="sb8d990e2"/>
          <w:rFonts w:eastAsia="Calibri"/>
          <w:i/>
          <w:spacing w:val="-4"/>
          <w:lang w:val="en-US"/>
        </w:rPr>
        <w:t xml:space="preserve"> v. Latvia</w:t>
      </w:r>
      <w:r w:rsidRPr="0079515C">
        <w:rPr>
          <w:rStyle w:val="sb8d990e2"/>
          <w:rFonts w:eastAsia="Calibri"/>
          <w:spacing w:val="-4"/>
          <w:lang w:val="en-US"/>
        </w:rPr>
        <w:t>, No. 22205/13.</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Judgment of July 24, 2014, para.</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 xml:space="preserve">182; </w:t>
      </w:r>
      <w:r w:rsidRPr="0079515C">
        <w:rPr>
          <w:rStyle w:val="sb8d990e2"/>
          <w:rFonts w:eastAsia="Calibri"/>
          <w:i/>
          <w:spacing w:val="-4"/>
          <w:lang w:val="en-US"/>
        </w:rPr>
        <w:t>Case of L.M. v. Slovenia</w:t>
      </w:r>
      <w:r w:rsidRPr="0079515C">
        <w:rPr>
          <w:rStyle w:val="sb8d990e2"/>
          <w:rFonts w:eastAsia="Calibri"/>
          <w:spacing w:val="-4"/>
          <w:lang w:val="en-US"/>
        </w:rPr>
        <w:t>, No. 32863/05.</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Judgment of June 12, 2014, paras.</w:t>
      </w:r>
      <w:proofErr w:type="gramEnd"/>
      <w:r w:rsidRPr="0079515C">
        <w:rPr>
          <w:rStyle w:val="sb8d990e2"/>
          <w:rFonts w:eastAsia="Calibri"/>
          <w:spacing w:val="-4"/>
          <w:lang w:val="en-US"/>
        </w:rPr>
        <w:t xml:space="preserve"> </w:t>
      </w:r>
      <w:proofErr w:type="gramStart"/>
      <w:r w:rsidRPr="0079515C">
        <w:rPr>
          <w:rStyle w:val="sb8d990e2"/>
          <w:rFonts w:eastAsia="Calibri"/>
          <w:spacing w:val="-4"/>
          <w:lang w:val="en-US"/>
        </w:rPr>
        <w:t>121 and 122.</w:t>
      </w:r>
      <w:proofErr w:type="gramEnd"/>
      <w:r w:rsidRPr="0079515C">
        <w:rPr>
          <w:spacing w:val="-4"/>
          <w:lang w:val="en-US"/>
        </w:rPr>
        <w:t xml:space="preserve">  </w:t>
      </w:r>
    </w:p>
  </w:footnote>
  <w:footnote w:id="344">
    <w:p w14:paraId="67A22C62" w14:textId="5877928E" w:rsidR="002306C1" w:rsidRPr="0079515C" w:rsidRDefault="002306C1" w:rsidP="00853044">
      <w:pPr>
        <w:pStyle w:val="FootnoteText"/>
        <w:tabs>
          <w:tab w:val="clear" w:pos="567"/>
          <w:tab w:val="left" w:pos="426"/>
        </w:tabs>
        <w:spacing w:before="120" w:after="120"/>
        <w:rPr>
          <w:spacing w:val="-4"/>
          <w:highlight w:val="green"/>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In this regard, the European Court has indicated </w:t>
      </w:r>
      <w:r w:rsidRPr="003D2FF4">
        <w:rPr>
          <w:spacing w:val="-4"/>
          <w:lang w:val="en-US"/>
        </w:rPr>
        <w:t xml:space="preserve">that: “The Court observes that the domestic law regulated in detail </w:t>
      </w:r>
      <w:proofErr w:type="gramStart"/>
      <w:r w:rsidRPr="003D2FF4">
        <w:rPr>
          <w:spacing w:val="-4"/>
          <w:lang w:val="en-US"/>
        </w:rPr>
        <w:t>‘detention pending</w:t>
      </w:r>
      <w:proofErr w:type="gramEnd"/>
      <w:r w:rsidRPr="003D2FF4">
        <w:rPr>
          <w:spacing w:val="-4"/>
          <w:lang w:val="en-US"/>
        </w:rPr>
        <w:t xml:space="preserve"> investigation’ in ordinary criminal proceedings and set specific time-limits for the pre-trial detention of criminal defendants. However, there was no provision in the domestic law concerning a time</w:t>
      </w:r>
      <w:r w:rsidRPr="003D2FF4">
        <w:rPr>
          <w:spacing w:val="-4"/>
          <w:lang w:val="en-US"/>
        </w:rPr>
        <w:noBreakHyphen/>
        <w:t>limit specifically applying to detention ‘with a view to extradition’. The Court notes that in the absence of clear legal provisions establishing the procedure for ordering and extending detention with a view to extradition and setting time-limits for such detention</w:t>
      </w:r>
      <w:r w:rsidRPr="0079515C">
        <w:rPr>
          <w:spacing w:val="-4"/>
          <w:lang w:val="en-US"/>
        </w:rPr>
        <w:t xml:space="preserve">, the deprivation of liberty to which the applicant was subjected was not circumscribed by adequate safeguards against arbitrariness”. ECHR, </w:t>
      </w:r>
      <w:r w:rsidRPr="0079515C">
        <w:rPr>
          <w:i/>
          <w:iCs/>
          <w:spacing w:val="-4"/>
          <w:lang w:val="en-US"/>
        </w:rPr>
        <w:t xml:space="preserve">Case of </w:t>
      </w:r>
      <w:proofErr w:type="spellStart"/>
      <w:r w:rsidRPr="0079515C">
        <w:rPr>
          <w:i/>
          <w:iCs/>
          <w:spacing w:val="-4"/>
          <w:lang w:val="en-US"/>
        </w:rPr>
        <w:t>Garayev</w:t>
      </w:r>
      <w:proofErr w:type="spellEnd"/>
      <w:r w:rsidRPr="0079515C">
        <w:rPr>
          <w:i/>
          <w:iCs/>
          <w:spacing w:val="-4"/>
          <w:lang w:val="en-US"/>
        </w:rPr>
        <w:t xml:space="preserve"> v. Azerbaijan</w:t>
      </w:r>
      <w:r w:rsidRPr="0079515C">
        <w:rPr>
          <w:spacing w:val="-4"/>
          <w:lang w:val="en-US"/>
        </w:rPr>
        <w:t xml:space="preserve">, No. 53688/08. </w:t>
      </w:r>
      <w:proofErr w:type="gramStart"/>
      <w:r w:rsidRPr="0079515C">
        <w:rPr>
          <w:spacing w:val="-4"/>
          <w:lang w:val="en-US"/>
        </w:rPr>
        <w:t>Judgment of June 10, 2010, para.</w:t>
      </w:r>
      <w:proofErr w:type="gramEnd"/>
      <w:r w:rsidRPr="0079515C">
        <w:rPr>
          <w:spacing w:val="-4"/>
          <w:lang w:val="en-US"/>
        </w:rPr>
        <w:t xml:space="preserve"> 99. See also, ECHR,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xml:space="preserve">, No. 8320/04. </w:t>
      </w:r>
      <w:proofErr w:type="gramStart"/>
      <w:r w:rsidRPr="0079515C">
        <w:rPr>
          <w:spacing w:val="-4"/>
          <w:lang w:val="en-US"/>
        </w:rPr>
        <w:t>Judgment of June 19, 2008, para.</w:t>
      </w:r>
      <w:proofErr w:type="gramEnd"/>
      <w:r w:rsidRPr="0079515C">
        <w:rPr>
          <w:spacing w:val="-4"/>
          <w:lang w:val="en-US"/>
        </w:rPr>
        <w:t xml:space="preserve"> 129. </w:t>
      </w:r>
    </w:p>
  </w:footnote>
  <w:footnote w:id="345">
    <w:p w14:paraId="538D8909" w14:textId="3AD8A955"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Affidavit made by Ben Saul on August 18, 2014 (evidence file, folios 6904 and 6950). </w:t>
      </w:r>
    </w:p>
  </w:footnote>
  <w:footnote w:id="346">
    <w:p w14:paraId="77CF0B83" w14:textId="45D3366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6459).</w:t>
      </w:r>
      <w:proofErr w:type="gramEnd"/>
    </w:p>
  </w:footnote>
  <w:footnote w:id="347">
    <w:p w14:paraId="5CF99A59" w14:textId="73B45FCD" w:rsidR="002306C1" w:rsidRPr="0079515C" w:rsidRDefault="002306C1" w:rsidP="00853044">
      <w:pPr>
        <w:pStyle w:val="FootnoteText"/>
        <w:tabs>
          <w:tab w:val="clear" w:pos="567"/>
          <w:tab w:val="left" w:pos="426"/>
          <w:tab w:val="left" w:pos="540"/>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Regarding the length of the detention, the Extradition Treaty between China and Peru only establishes that: “The preventive detention shall conclude if the competent authority of the Requested Party has not received the formal extradition request within 60 days of the detention of the person sought. This period may be extended by a further 30 days when the Requesting Party provides reasons that justify this.” </w:t>
      </w:r>
      <w:proofErr w:type="gramStart"/>
      <w:r w:rsidRPr="0079515C">
        <w:rPr>
          <w:spacing w:val="-4"/>
          <w:lang w:val="en-US"/>
        </w:rPr>
        <w:t>Extradition Treaty between the Republic of Peru and the People’s Republic of China (evidence file, folio 1635).</w:t>
      </w:r>
      <w:proofErr w:type="gramEnd"/>
    </w:p>
  </w:footnote>
  <w:footnote w:id="348">
    <w:p w14:paraId="6EA3289D" w14:textId="248EB43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Vote of Supreme Justice José Antonio </w:t>
      </w:r>
      <w:proofErr w:type="spellStart"/>
      <w:r w:rsidRPr="0079515C">
        <w:rPr>
          <w:spacing w:val="-4"/>
          <w:lang w:val="en-US"/>
        </w:rPr>
        <w:t>Neyra</w:t>
      </w:r>
      <w:proofErr w:type="spellEnd"/>
      <w:r w:rsidRPr="0079515C">
        <w:rPr>
          <w:spacing w:val="-4"/>
          <w:lang w:val="en-US"/>
        </w:rPr>
        <w:t xml:space="preserve"> Flores of October 13, 2010, with regard to the decision of the Permanent Criminal Chamber of</w:t>
      </w:r>
      <w:r>
        <w:rPr>
          <w:spacing w:val="-4"/>
          <w:lang w:val="en-US"/>
        </w:rPr>
        <w:t xml:space="preserve"> the Supreme Court of Justice of</w:t>
      </w:r>
      <w:r w:rsidRPr="0079515C">
        <w:rPr>
          <w:spacing w:val="-4"/>
          <w:lang w:val="en-US"/>
        </w:rPr>
        <w:t xml:space="preserve"> October 19, 2010 (evidence file, folios 1608 to 1611); Judgment of the 30th Criminal Court Lima of May 30, 2012 (evidence file, folios 6447 and 6448), and </w:t>
      </w:r>
      <w:r w:rsidRPr="0079515C">
        <w:rPr>
          <w:rFonts w:cs="Segoe UI"/>
          <w:color w:val="000000"/>
          <w:spacing w:val="-4"/>
          <w:lang w:val="en-US" w:eastAsia="es-MX"/>
        </w:rPr>
        <w:t xml:space="preserve">Decision of the Seventh Criminal Court of El Callao of March 10, 2014 </w:t>
      </w:r>
      <w:r w:rsidRPr="0079515C">
        <w:rPr>
          <w:spacing w:val="-4"/>
          <w:lang w:val="en-US"/>
        </w:rPr>
        <w:t>(evidence file, folio 6463).</w:t>
      </w:r>
    </w:p>
  </w:footnote>
  <w:footnote w:id="349">
    <w:p w14:paraId="729E6E0A" w14:textId="779D8D7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Article 2 of the Convention establishes that: “</w:t>
      </w:r>
      <w:r w:rsidRPr="0079515C">
        <w:rPr>
          <w:spacing w:val="-3"/>
          <w:lang w:val="en-US"/>
        </w:rPr>
        <w:t>Where the exercise of any of the rights or freedoms referred to in Article 1 is not already ensured by legislative or other provisions, the States Parties undertake to adopt, in accordance with their constitutional processes and the provisions of this Convention, such legislative or other measures as may be necessary to give effect to those rights or freedoms.</w:t>
      </w:r>
      <w:r w:rsidRPr="0079515C">
        <w:rPr>
          <w:spacing w:val="-4"/>
          <w:lang w:val="en-US"/>
        </w:rPr>
        <w:t>”</w:t>
      </w:r>
    </w:p>
  </w:footnote>
  <w:footnote w:id="350">
    <w:p w14:paraId="47F637E6" w14:textId="7784AE35"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spacing w:val="-4"/>
          <w:lang w:val="en-US"/>
        </w:rPr>
        <w:t xml:space="preserve"> Code of Criminal </w:t>
      </w:r>
      <w:proofErr w:type="gramStart"/>
      <w:r w:rsidRPr="0079515C">
        <w:rPr>
          <w:spacing w:val="-4"/>
          <w:lang w:val="en-US"/>
        </w:rPr>
        <w:t>Procedure,</w:t>
      </w:r>
      <w:proofErr w:type="gramEnd"/>
      <w:r w:rsidRPr="0079515C">
        <w:rPr>
          <w:spacing w:val="-4"/>
          <w:lang w:val="en-US"/>
        </w:rPr>
        <w:t xml:space="preserve"> promulgated by Legislative Decree No. 957 of July 29, 2004, Available at: </w:t>
      </w:r>
      <w:hyperlink r:id="rId102" w:history="1">
        <w:r w:rsidRPr="0079515C">
          <w:rPr>
            <w:rStyle w:val="Hyperlink"/>
            <w:spacing w:val="-4"/>
            <w:lang w:val="en-US"/>
          </w:rPr>
          <w:t>http://www.leyes.congreso.gob.pe/Documentos/Decretoslegislativos/00957.pdf</w:t>
        </w:r>
      </w:hyperlink>
      <w:r w:rsidRPr="0079515C">
        <w:rPr>
          <w:rStyle w:val="Hyperlink"/>
          <w:spacing w:val="-4"/>
          <w:u w:val="none"/>
          <w:lang w:val="en-US"/>
        </w:rPr>
        <w:t xml:space="preserve">, </w:t>
      </w:r>
      <w:r w:rsidRPr="0079515C">
        <w:rPr>
          <w:spacing w:val="-4"/>
          <w:lang w:val="en-US"/>
        </w:rPr>
        <w:t>cited in the Commission’s Merits Report, folio 24. See also,</w:t>
      </w:r>
      <w:r w:rsidRPr="0079515C">
        <w:rPr>
          <w:i/>
          <w:spacing w:val="-4"/>
          <w:lang w:val="en-US"/>
        </w:rPr>
        <w:t xml:space="preserve"> </w:t>
      </w:r>
      <w:r w:rsidRPr="0079515C">
        <w:rPr>
          <w:spacing w:val="-4"/>
          <w:lang w:val="en-US"/>
        </w:rPr>
        <w:t xml:space="preserve">testimony of </w:t>
      </w:r>
      <w:proofErr w:type="spellStart"/>
      <w:r w:rsidRPr="0079515C">
        <w:rPr>
          <w:spacing w:val="-4"/>
          <w:lang w:val="en-US"/>
        </w:rPr>
        <w:t>Víctor</w:t>
      </w:r>
      <w:proofErr w:type="spellEnd"/>
      <w:r w:rsidRPr="0079515C">
        <w:rPr>
          <w:spacing w:val="-4"/>
          <w:lang w:val="en-US"/>
        </w:rPr>
        <w:t xml:space="preserve"> </w:t>
      </w:r>
      <w:proofErr w:type="spellStart"/>
      <w:r w:rsidRPr="0079515C">
        <w:rPr>
          <w:spacing w:val="-4"/>
          <w:lang w:val="en-US"/>
        </w:rPr>
        <w:t>García</w:t>
      </w:r>
      <w:proofErr w:type="spellEnd"/>
      <w:r w:rsidRPr="0079515C">
        <w:rPr>
          <w:spacing w:val="-4"/>
          <w:lang w:val="en-US"/>
        </w:rPr>
        <w:t xml:space="preserve"> </w:t>
      </w:r>
      <w:proofErr w:type="spellStart"/>
      <w:r w:rsidRPr="0079515C">
        <w:rPr>
          <w:spacing w:val="-4"/>
          <w:lang w:val="en-US"/>
        </w:rPr>
        <w:t>Toma</w:t>
      </w:r>
      <w:proofErr w:type="spellEnd"/>
      <w:r w:rsidRPr="0079515C">
        <w:rPr>
          <w:spacing w:val="-4"/>
          <w:lang w:val="en-US"/>
        </w:rPr>
        <w:t xml:space="preserve"> during the public hearing in this case. </w:t>
      </w:r>
    </w:p>
  </w:footnote>
  <w:footnote w:id="351">
    <w:p w14:paraId="4BCB425A" w14:textId="16966A3E"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Bayarri</w:t>
      </w:r>
      <w:proofErr w:type="spellEnd"/>
      <w:r w:rsidRPr="0079515C">
        <w:rPr>
          <w:i/>
          <w:spacing w:val="-4"/>
          <w:lang w:val="en-US"/>
        </w:rPr>
        <w:t xml:space="preserve"> v. Argentina.</w:t>
      </w:r>
      <w:proofErr w:type="gramEnd"/>
      <w:r w:rsidRPr="0079515C">
        <w:rPr>
          <w:i/>
          <w:spacing w:val="-4"/>
          <w:lang w:val="en-US"/>
        </w:rPr>
        <w:t xml:space="preserve"> </w:t>
      </w:r>
      <w:proofErr w:type="gramStart"/>
      <w:r w:rsidRPr="0079515C">
        <w:rPr>
          <w:i/>
          <w:spacing w:val="-4"/>
          <w:lang w:val="en-US"/>
        </w:rPr>
        <w:t>Preliminary objection, merits, reparations and costs.</w:t>
      </w:r>
      <w:proofErr w:type="gramEnd"/>
      <w:r w:rsidRPr="0079515C">
        <w:rPr>
          <w:spacing w:val="-4"/>
          <w:lang w:val="en-US"/>
        </w:rPr>
        <w:t xml:space="preserve"> Judgment of October 30, 2008. Series C No. 187, para. </w:t>
      </w:r>
      <w:proofErr w:type="gramStart"/>
      <w:r w:rsidRPr="0079515C">
        <w:rPr>
          <w:spacing w:val="-4"/>
          <w:lang w:val="en-US"/>
        </w:rPr>
        <w:t>70,</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xml:space="preserve">, para. 129. </w:t>
      </w:r>
    </w:p>
  </w:footnote>
  <w:footnote w:id="352">
    <w:p w14:paraId="4FBD61B1" w14:textId="6A5C7407" w:rsidR="002306C1" w:rsidRPr="0079515C" w:rsidRDefault="002306C1" w:rsidP="00853044">
      <w:pPr>
        <w:pStyle w:val="FootnoteText"/>
        <w:tabs>
          <w:tab w:val="clear" w:pos="567"/>
          <w:tab w:val="left" w:pos="426"/>
        </w:tabs>
        <w:spacing w:before="120" w:after="120"/>
        <w:rPr>
          <w:b/>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Cf.</w:t>
      </w:r>
      <w:r w:rsidRPr="0079515C">
        <w:rPr>
          <w:b/>
          <w:spacing w:val="-4"/>
          <w:lang w:val="en-US"/>
        </w:rPr>
        <w:t xml:space="preserve"> </w:t>
      </w:r>
      <w:r w:rsidRPr="0079515C">
        <w:rPr>
          <w:i/>
          <w:spacing w:val="-4"/>
          <w:lang w:val="en-US"/>
        </w:rPr>
        <w:t xml:space="preserve">Case of </w:t>
      </w:r>
      <w:proofErr w:type="spellStart"/>
      <w:r w:rsidRPr="0079515C">
        <w:rPr>
          <w:i/>
          <w:spacing w:val="-4"/>
          <w:lang w:val="en-US"/>
        </w:rPr>
        <w:t>Vélez</w:t>
      </w:r>
      <w:proofErr w:type="spellEnd"/>
      <w:r w:rsidRPr="0079515C">
        <w:rPr>
          <w:i/>
          <w:spacing w:val="-4"/>
          <w:lang w:val="en-US"/>
        </w:rPr>
        <w:t xml:space="preserve"> </w:t>
      </w:r>
      <w:proofErr w:type="spellStart"/>
      <w:r w:rsidRPr="0079515C">
        <w:rPr>
          <w:i/>
          <w:spacing w:val="-4"/>
          <w:lang w:val="en-US"/>
        </w:rPr>
        <w:t>Loor</w:t>
      </w:r>
      <w:proofErr w:type="spellEnd"/>
      <w:r w:rsidRPr="0079515C">
        <w:rPr>
          <w:i/>
          <w:spacing w:val="-4"/>
          <w:lang w:val="en-US"/>
        </w:rPr>
        <w:t xml:space="preserve"> v. Panama, supra</w:t>
      </w:r>
      <w:r w:rsidRPr="0079515C">
        <w:rPr>
          <w:spacing w:val="-4"/>
          <w:lang w:val="en-US"/>
        </w:rPr>
        <w:t xml:space="preserve">, para. 107. </w:t>
      </w:r>
    </w:p>
  </w:footnote>
  <w:footnote w:id="353">
    <w:p w14:paraId="2F59ABD4" w14:textId="2043116C" w:rsidR="002306C1" w:rsidRPr="0079515C" w:rsidRDefault="002306C1" w:rsidP="00853044">
      <w:pPr>
        <w:pStyle w:val="FootnoteText"/>
        <w:tabs>
          <w:tab w:val="clear" w:pos="567"/>
          <w:tab w:val="left" w:pos="360"/>
          <w:tab w:val="left" w:pos="426"/>
          <w:tab w:val="left" w:pos="540"/>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spacing w:val="-4"/>
          <w:lang w:val="en-US"/>
        </w:rPr>
        <w:tab/>
      </w:r>
      <w:r w:rsidRPr="0079515C">
        <w:rPr>
          <w:i/>
          <w:spacing w:val="-4"/>
          <w:lang w:val="en-US"/>
        </w:rPr>
        <w:t>Cf.</w:t>
      </w:r>
      <w:r w:rsidRPr="0079515C">
        <w:rPr>
          <w:spacing w:val="-4"/>
          <w:lang w:val="en-US"/>
        </w:rPr>
        <w:t xml:space="preserve"> ECHR, </w:t>
      </w:r>
      <w:r w:rsidRPr="0079515C">
        <w:rPr>
          <w:i/>
          <w:spacing w:val="-4"/>
          <w:lang w:val="en-US"/>
        </w:rPr>
        <w:t xml:space="preserve">Case of </w:t>
      </w:r>
      <w:proofErr w:type="spellStart"/>
      <w:r w:rsidRPr="0079515C">
        <w:rPr>
          <w:i/>
          <w:spacing w:val="-4"/>
          <w:lang w:val="en-US"/>
        </w:rPr>
        <w:t>Kolompar</w:t>
      </w:r>
      <w:proofErr w:type="spellEnd"/>
      <w:r w:rsidRPr="0079515C">
        <w:rPr>
          <w:i/>
          <w:spacing w:val="-4"/>
          <w:lang w:val="en-US"/>
        </w:rPr>
        <w:t xml:space="preserve"> v. Belgium</w:t>
      </w:r>
      <w:r w:rsidRPr="0079515C">
        <w:rPr>
          <w:spacing w:val="-4"/>
          <w:lang w:val="en-US"/>
        </w:rPr>
        <w:t xml:space="preserve">, No. 11613/85. </w:t>
      </w:r>
      <w:proofErr w:type="gramStart"/>
      <w:r w:rsidRPr="0079515C">
        <w:rPr>
          <w:spacing w:val="-4"/>
          <w:lang w:val="en-US"/>
        </w:rPr>
        <w:t>Judgment of September 24, 1992, para.</w:t>
      </w:r>
      <w:proofErr w:type="gramEnd"/>
      <w:r w:rsidRPr="0079515C">
        <w:rPr>
          <w:spacing w:val="-4"/>
          <w:lang w:val="en-US"/>
        </w:rPr>
        <w:t xml:space="preserve"> </w:t>
      </w:r>
      <w:proofErr w:type="gramStart"/>
      <w:r w:rsidRPr="0079515C">
        <w:rPr>
          <w:spacing w:val="-4"/>
          <w:lang w:val="en-US"/>
        </w:rPr>
        <w:t xml:space="preserve">36; </w:t>
      </w:r>
      <w:r w:rsidRPr="0079515C">
        <w:rPr>
          <w:i/>
          <w:spacing w:val="-4"/>
          <w:lang w:val="en-US"/>
        </w:rPr>
        <w:t>Case of Quinn v. France</w:t>
      </w:r>
      <w:r w:rsidRPr="0079515C">
        <w:rPr>
          <w:spacing w:val="-4"/>
          <w:lang w:val="en-US"/>
        </w:rPr>
        <w:t>, No. 18580/91.</w:t>
      </w:r>
      <w:proofErr w:type="gramEnd"/>
      <w:r w:rsidRPr="0079515C">
        <w:rPr>
          <w:spacing w:val="-4"/>
          <w:lang w:val="en-US"/>
        </w:rPr>
        <w:t xml:space="preserve"> </w:t>
      </w:r>
      <w:proofErr w:type="gramStart"/>
      <w:r w:rsidRPr="0079515C">
        <w:rPr>
          <w:spacing w:val="-4"/>
          <w:lang w:val="en-US"/>
        </w:rPr>
        <w:t>Judgment of March 22, 1995, para.</w:t>
      </w:r>
      <w:proofErr w:type="gramEnd"/>
      <w:r w:rsidRPr="0079515C">
        <w:rPr>
          <w:spacing w:val="-4"/>
          <w:lang w:val="en-US"/>
        </w:rPr>
        <w:t xml:space="preserve"> </w:t>
      </w:r>
      <w:proofErr w:type="gramStart"/>
      <w:r w:rsidRPr="0079515C">
        <w:rPr>
          <w:spacing w:val="-4"/>
          <w:lang w:val="en-US"/>
        </w:rPr>
        <w:t xml:space="preserve">48; </w:t>
      </w:r>
      <w:r w:rsidRPr="0079515C">
        <w:rPr>
          <w:i/>
          <w:spacing w:val="-4"/>
          <w:lang w:val="en-US"/>
        </w:rPr>
        <w:t xml:space="preserve">Case of </w:t>
      </w:r>
      <w:proofErr w:type="spellStart"/>
      <w:r w:rsidRPr="0079515C">
        <w:rPr>
          <w:i/>
          <w:spacing w:val="-4"/>
          <w:lang w:val="en-US"/>
        </w:rPr>
        <w:t>Chahal</w:t>
      </w:r>
      <w:proofErr w:type="spellEnd"/>
      <w:r w:rsidRPr="0079515C">
        <w:rPr>
          <w:i/>
          <w:spacing w:val="-4"/>
          <w:lang w:val="en-US"/>
        </w:rPr>
        <w:t xml:space="preserve"> v.</w:t>
      </w:r>
      <w:proofErr w:type="gramEnd"/>
      <w:r w:rsidRPr="0079515C">
        <w:rPr>
          <w:i/>
          <w:spacing w:val="-4"/>
          <w:lang w:val="en-US"/>
        </w:rPr>
        <w:t xml:space="preserve"> </w:t>
      </w:r>
      <w:proofErr w:type="gramStart"/>
      <w:r w:rsidRPr="0079515C">
        <w:rPr>
          <w:i/>
          <w:spacing w:val="-4"/>
          <w:lang w:val="en-US"/>
        </w:rPr>
        <w:t xml:space="preserve">The United Kingdom </w:t>
      </w:r>
      <w:r w:rsidRPr="0079515C">
        <w:rPr>
          <w:spacing w:val="-4"/>
          <w:lang w:val="en-US"/>
        </w:rPr>
        <w:t>[GS], No. 22414/93.</w:t>
      </w:r>
      <w:proofErr w:type="gramEnd"/>
      <w:r w:rsidRPr="0079515C">
        <w:rPr>
          <w:spacing w:val="-4"/>
          <w:lang w:val="en-US"/>
        </w:rPr>
        <w:t xml:space="preserve"> </w:t>
      </w:r>
      <w:proofErr w:type="gramStart"/>
      <w:r w:rsidRPr="0079515C">
        <w:rPr>
          <w:spacing w:val="-4"/>
          <w:lang w:val="en-US"/>
        </w:rPr>
        <w:t>Judgment of November 15, 1996, para.</w:t>
      </w:r>
      <w:proofErr w:type="gramEnd"/>
      <w:r w:rsidRPr="0079515C">
        <w:rPr>
          <w:spacing w:val="-4"/>
          <w:lang w:val="en-US"/>
        </w:rPr>
        <w:t xml:space="preserve"> </w:t>
      </w:r>
      <w:proofErr w:type="gramStart"/>
      <w:r w:rsidRPr="0079515C">
        <w:rPr>
          <w:spacing w:val="-4"/>
          <w:lang w:val="en-US"/>
        </w:rPr>
        <w:t xml:space="preserve">113; </w:t>
      </w:r>
      <w:r w:rsidRPr="0079515C">
        <w:rPr>
          <w:i/>
          <w:spacing w:val="-4"/>
          <w:lang w:val="en-US"/>
        </w:rPr>
        <w:t xml:space="preserve">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No. 8320/04.</w:t>
      </w:r>
      <w:proofErr w:type="gramEnd"/>
      <w:r w:rsidRPr="0079515C">
        <w:rPr>
          <w:spacing w:val="-4"/>
          <w:lang w:val="en-US"/>
        </w:rPr>
        <w:t xml:space="preserve">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 xml:space="preserve">131; </w:t>
      </w:r>
      <w:r w:rsidRPr="0079515C">
        <w:rPr>
          <w:i/>
          <w:spacing w:val="-4"/>
          <w:lang w:val="en-US"/>
        </w:rPr>
        <w:t xml:space="preserve">Case of </w:t>
      </w:r>
      <w:proofErr w:type="spellStart"/>
      <w:r w:rsidRPr="0079515C">
        <w:rPr>
          <w:i/>
          <w:spacing w:val="-4"/>
          <w:lang w:val="en-US"/>
        </w:rPr>
        <w:t>Akram</w:t>
      </w:r>
      <w:proofErr w:type="spellEnd"/>
      <w:r w:rsidRPr="0079515C">
        <w:rPr>
          <w:i/>
          <w:spacing w:val="-4"/>
          <w:lang w:val="en-US"/>
        </w:rPr>
        <w:t xml:space="preserve"> </w:t>
      </w:r>
      <w:proofErr w:type="spellStart"/>
      <w:r w:rsidRPr="0079515C">
        <w:rPr>
          <w:i/>
          <w:spacing w:val="-4"/>
          <w:lang w:val="en-US"/>
        </w:rPr>
        <w:t>Karimov</w:t>
      </w:r>
      <w:proofErr w:type="spellEnd"/>
      <w:r w:rsidRPr="0079515C">
        <w:rPr>
          <w:i/>
          <w:spacing w:val="-4"/>
          <w:lang w:val="en-US"/>
        </w:rPr>
        <w:t xml:space="preserve"> v. Russia</w:t>
      </w:r>
      <w:r w:rsidRPr="0079515C">
        <w:rPr>
          <w:spacing w:val="-4"/>
          <w:lang w:val="en-US"/>
        </w:rPr>
        <w:t>, No. 62892/12.</w:t>
      </w:r>
      <w:proofErr w:type="gramEnd"/>
      <w:r w:rsidRPr="0079515C">
        <w:rPr>
          <w:spacing w:val="-4"/>
          <w:lang w:val="en-US"/>
        </w:rPr>
        <w:t xml:space="preserve"> </w:t>
      </w:r>
      <w:proofErr w:type="gramStart"/>
      <w:r w:rsidRPr="0079515C">
        <w:rPr>
          <w:spacing w:val="-4"/>
          <w:lang w:val="en-US"/>
        </w:rPr>
        <w:t>Judgment of May 28, 2014, para.</w:t>
      </w:r>
      <w:proofErr w:type="gramEnd"/>
      <w:r w:rsidRPr="0079515C">
        <w:rPr>
          <w:spacing w:val="-4"/>
          <w:lang w:val="en-US"/>
        </w:rPr>
        <w:t xml:space="preserve"> </w:t>
      </w:r>
      <w:proofErr w:type="gramStart"/>
      <w:r w:rsidRPr="0079515C">
        <w:rPr>
          <w:spacing w:val="-4"/>
          <w:lang w:val="en-US"/>
        </w:rPr>
        <w:t>156,</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Khomullo</w:t>
      </w:r>
      <w:proofErr w:type="spellEnd"/>
      <w:r w:rsidRPr="0079515C">
        <w:rPr>
          <w:i/>
          <w:spacing w:val="-4"/>
          <w:lang w:val="en-US"/>
        </w:rPr>
        <w:t xml:space="preserve"> v. Ukraine</w:t>
      </w:r>
      <w:r w:rsidRPr="0079515C">
        <w:rPr>
          <w:spacing w:val="-4"/>
          <w:lang w:val="en-US"/>
        </w:rPr>
        <w:t xml:space="preserve">, No. 47593/10. </w:t>
      </w:r>
      <w:proofErr w:type="gramStart"/>
      <w:r w:rsidRPr="0079515C">
        <w:rPr>
          <w:spacing w:val="-4"/>
          <w:lang w:val="en-US"/>
        </w:rPr>
        <w:t>Judgment of November 27, 2014, para.</w:t>
      </w:r>
      <w:proofErr w:type="gramEnd"/>
      <w:r w:rsidRPr="0079515C">
        <w:rPr>
          <w:spacing w:val="-4"/>
          <w:lang w:val="en-US"/>
        </w:rPr>
        <w:t xml:space="preserve"> 52.</w:t>
      </w:r>
    </w:p>
  </w:footnote>
  <w:footnote w:id="354">
    <w:p w14:paraId="00CAD50D" w14:textId="54D9F9FA"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Similarly, see, ECHR,</w:t>
      </w:r>
      <w:r w:rsidRPr="0079515C">
        <w:rPr>
          <w:i/>
          <w:spacing w:val="-4"/>
          <w:lang w:val="en-US"/>
        </w:rPr>
        <w:t xml:space="preserve"> Case of </w:t>
      </w:r>
      <w:proofErr w:type="spellStart"/>
      <w:r w:rsidRPr="0079515C">
        <w:rPr>
          <w:i/>
          <w:spacing w:val="-4"/>
          <w:lang w:val="en-US"/>
        </w:rPr>
        <w:t>Ryabikin</w:t>
      </w:r>
      <w:proofErr w:type="spellEnd"/>
      <w:r w:rsidRPr="0079515C">
        <w:rPr>
          <w:i/>
          <w:spacing w:val="-4"/>
          <w:lang w:val="en-US"/>
        </w:rPr>
        <w:t xml:space="preserve"> v. Russia</w:t>
      </w:r>
      <w:r w:rsidRPr="0079515C">
        <w:rPr>
          <w:spacing w:val="-4"/>
          <w:lang w:val="en-US"/>
        </w:rPr>
        <w:t xml:space="preserve">, No. 8320/04. </w:t>
      </w:r>
      <w:proofErr w:type="gramStart"/>
      <w:r w:rsidRPr="0079515C">
        <w:rPr>
          <w:spacing w:val="-4"/>
          <w:lang w:val="en-US"/>
        </w:rPr>
        <w:t>Judgment of June 19, 2008, para.</w:t>
      </w:r>
      <w:proofErr w:type="gramEnd"/>
      <w:r w:rsidRPr="0079515C">
        <w:rPr>
          <w:spacing w:val="-4"/>
          <w:lang w:val="en-US"/>
        </w:rPr>
        <w:t xml:space="preserve"> </w:t>
      </w:r>
      <w:proofErr w:type="gramStart"/>
      <w:r w:rsidRPr="0079515C">
        <w:rPr>
          <w:spacing w:val="-4"/>
          <w:lang w:val="en-US"/>
        </w:rPr>
        <w:t>132,</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Gaforov</w:t>
      </w:r>
      <w:proofErr w:type="spellEnd"/>
      <w:r w:rsidRPr="0079515C">
        <w:rPr>
          <w:i/>
          <w:spacing w:val="-4"/>
          <w:lang w:val="en-US"/>
        </w:rPr>
        <w:t xml:space="preserve"> v. Russia</w:t>
      </w:r>
      <w:r w:rsidRPr="0079515C">
        <w:rPr>
          <w:spacing w:val="-4"/>
          <w:lang w:val="en-US"/>
        </w:rPr>
        <w:t xml:space="preserve">, No. 25404/09. </w:t>
      </w:r>
      <w:proofErr w:type="gramStart"/>
      <w:r w:rsidRPr="0079515C">
        <w:rPr>
          <w:spacing w:val="-4"/>
          <w:lang w:val="en-US"/>
        </w:rPr>
        <w:t>Judgment of October 21, 2010, para.</w:t>
      </w:r>
      <w:proofErr w:type="gramEnd"/>
      <w:r w:rsidRPr="0079515C">
        <w:rPr>
          <w:spacing w:val="-4"/>
          <w:lang w:val="en-US"/>
        </w:rPr>
        <w:t xml:space="preserve"> 200.</w:t>
      </w:r>
    </w:p>
  </w:footnote>
  <w:footnote w:id="355">
    <w:p w14:paraId="005BF96A" w14:textId="2AF97B80"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bCs w:val="0"/>
          <w:i/>
          <w:spacing w:val="-4"/>
          <w:lang w:val="en-US"/>
        </w:rPr>
        <w:t>Case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i/>
          <w:spacing w:val="-4"/>
          <w:lang w:val="en-US"/>
        </w:rPr>
        <w:t xml:space="preserve"> </w:t>
      </w:r>
      <w:proofErr w:type="gramStart"/>
      <w:r w:rsidRPr="0079515C">
        <w:rPr>
          <w:bCs w:val="0"/>
          <w:spacing w:val="-4"/>
          <w:lang w:val="en-US"/>
        </w:rPr>
        <w:t xml:space="preserve">Order of the Court of January 29, 2014, </w:t>
      </w:r>
      <w:proofErr w:type="spellStart"/>
      <w:r w:rsidRPr="0079515C">
        <w:rPr>
          <w:bCs w:val="0"/>
          <w:i/>
          <w:spacing w:val="-4"/>
          <w:lang w:val="en-US"/>
        </w:rPr>
        <w:t>considerandum</w:t>
      </w:r>
      <w:proofErr w:type="spellEnd"/>
      <w:r w:rsidRPr="0079515C">
        <w:rPr>
          <w:bCs w:val="0"/>
          <w:spacing w:val="-4"/>
          <w:lang w:val="en-US"/>
        </w:rPr>
        <w:t xml:space="preserve"> 14.</w:t>
      </w:r>
      <w:proofErr w:type="gramEnd"/>
      <w:r w:rsidRPr="0079515C">
        <w:rPr>
          <w:bCs w:val="0"/>
          <w:spacing w:val="-4"/>
          <w:lang w:val="en-US"/>
        </w:rPr>
        <w:t xml:space="preserve"> See also, </w:t>
      </w:r>
      <w:r w:rsidRPr="0079515C">
        <w:rPr>
          <w:i/>
          <w:spacing w:val="-4"/>
          <w:lang w:val="en-US"/>
        </w:rPr>
        <w:t>Matter of Wong Ho Wing</w:t>
      </w:r>
      <w:r w:rsidRPr="0079515C">
        <w:rPr>
          <w:spacing w:val="-4"/>
          <w:lang w:val="en-US"/>
        </w:rPr>
        <w:t xml:space="preserve">. </w:t>
      </w:r>
      <w:proofErr w:type="gramStart"/>
      <w:r w:rsidRPr="0079515C">
        <w:rPr>
          <w:i/>
          <w:spacing w:val="-4"/>
          <w:lang w:val="en-US"/>
        </w:rPr>
        <w:t>Provisional measures with regard to Peru.</w:t>
      </w:r>
      <w:proofErr w:type="gramEnd"/>
      <w:r w:rsidRPr="0079515C">
        <w:rPr>
          <w:i/>
          <w:spacing w:val="-4"/>
          <w:lang w:val="en-US"/>
        </w:rPr>
        <w:t xml:space="preserve"> </w:t>
      </w:r>
      <w:proofErr w:type="gramStart"/>
      <w:r w:rsidRPr="0079515C">
        <w:rPr>
          <w:spacing w:val="-4"/>
          <w:lang w:val="en-US"/>
        </w:rPr>
        <w:t xml:space="preserve">Order of the Court of May 28, 2010, </w:t>
      </w:r>
      <w:proofErr w:type="spellStart"/>
      <w:r w:rsidRPr="0079515C">
        <w:rPr>
          <w:i/>
          <w:spacing w:val="-4"/>
          <w:lang w:val="en-US"/>
        </w:rPr>
        <w:t>considerandum</w:t>
      </w:r>
      <w:proofErr w:type="spellEnd"/>
      <w:r w:rsidRPr="0079515C">
        <w:rPr>
          <w:spacing w:val="-4"/>
          <w:lang w:val="en-US"/>
        </w:rPr>
        <w:t xml:space="preserve"> 18; </w:t>
      </w:r>
      <w:r w:rsidRPr="0079515C">
        <w:rPr>
          <w:bCs w:val="0"/>
          <w:i/>
          <w:spacing w:val="-4"/>
          <w:lang w:val="en-US"/>
        </w:rPr>
        <w:t>Matter of Wong Ho Wing.</w:t>
      </w:r>
      <w:proofErr w:type="gramEnd"/>
      <w:r w:rsidRPr="0079515C">
        <w:rPr>
          <w:i/>
          <w:spacing w:val="-4"/>
          <w:lang w:val="en-US"/>
        </w:rPr>
        <w:t xml:space="preserve"> </w:t>
      </w:r>
      <w:proofErr w:type="gramStart"/>
      <w:r w:rsidRPr="0079515C">
        <w:rPr>
          <w:i/>
          <w:spacing w:val="-4"/>
          <w:lang w:val="en-US"/>
        </w:rPr>
        <w:t>Provisional measures with regard to Peru.</w:t>
      </w:r>
      <w:proofErr w:type="gramEnd"/>
      <w:r w:rsidRPr="0079515C">
        <w:rPr>
          <w:spacing w:val="-4"/>
          <w:lang w:val="en-US"/>
        </w:rPr>
        <w:t xml:space="preserve"> </w:t>
      </w:r>
      <w:proofErr w:type="gramStart"/>
      <w:r w:rsidRPr="0079515C">
        <w:rPr>
          <w:bCs w:val="0"/>
          <w:spacing w:val="-4"/>
          <w:lang w:val="en-US"/>
        </w:rPr>
        <w:t xml:space="preserve">Order of the Court of August 22, 2013, </w:t>
      </w:r>
      <w:proofErr w:type="spellStart"/>
      <w:r w:rsidRPr="0079515C">
        <w:rPr>
          <w:bCs w:val="0"/>
          <w:i/>
          <w:spacing w:val="-4"/>
          <w:lang w:val="en-US"/>
        </w:rPr>
        <w:t>considerandum</w:t>
      </w:r>
      <w:proofErr w:type="spellEnd"/>
      <w:r w:rsidRPr="0079515C">
        <w:rPr>
          <w:bCs w:val="0"/>
          <w:spacing w:val="-4"/>
          <w:lang w:val="en-US"/>
        </w:rPr>
        <w:t xml:space="preserve"> 13.</w:t>
      </w:r>
      <w:proofErr w:type="gramEnd"/>
    </w:p>
  </w:footnote>
  <w:footnote w:id="356">
    <w:p w14:paraId="637C18FF" w14:textId="140A62A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Note of the Ombudsman of September 4, 2014 (evidence file, folio 7293).</w:t>
      </w:r>
    </w:p>
  </w:footnote>
  <w:footnote w:id="357">
    <w:p w14:paraId="3381BA52" w14:textId="061F06AB"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Calibri"/>
          <w:spacing w:val="-4"/>
          <w:lang w:val="en-US"/>
        </w:rPr>
        <w:footnoteRef/>
      </w:r>
      <w:r w:rsidRPr="0039093A">
        <w:rPr>
          <w:spacing w:val="-4"/>
        </w:rPr>
        <w:t xml:space="preserve"> </w:t>
      </w:r>
      <w:r w:rsidRPr="0039093A">
        <w:rPr>
          <w:spacing w:val="-4"/>
        </w:rPr>
        <w:tab/>
      </w:r>
      <w:r w:rsidRPr="0039093A">
        <w:rPr>
          <w:i/>
          <w:spacing w:val="-4"/>
        </w:rPr>
        <w:t xml:space="preserve">Cf. Case of </w:t>
      </w:r>
      <w:proofErr w:type="spellStart"/>
      <w:r w:rsidRPr="0039093A">
        <w:rPr>
          <w:i/>
          <w:spacing w:val="-4"/>
        </w:rPr>
        <w:t>Anzualdo</w:t>
      </w:r>
      <w:proofErr w:type="spellEnd"/>
      <w:r w:rsidRPr="0039093A">
        <w:rPr>
          <w:i/>
          <w:spacing w:val="-4"/>
        </w:rPr>
        <w:t xml:space="preserve"> Castro v. </w:t>
      </w:r>
      <w:proofErr w:type="spellStart"/>
      <w:r w:rsidRPr="0039093A">
        <w:rPr>
          <w:i/>
          <w:spacing w:val="-4"/>
        </w:rPr>
        <w:t>Peru</w:t>
      </w:r>
      <w:proofErr w:type="spellEnd"/>
      <w:r w:rsidRPr="0039093A">
        <w:rPr>
          <w:i/>
          <w:spacing w:val="-4"/>
        </w:rPr>
        <w:t>, supra</w:t>
      </w:r>
      <w:r w:rsidRPr="0039093A">
        <w:rPr>
          <w:spacing w:val="-4"/>
        </w:rPr>
        <w:t xml:space="preserve">, para. </w:t>
      </w:r>
      <w:proofErr w:type="gramStart"/>
      <w:r w:rsidRPr="0079515C">
        <w:rPr>
          <w:spacing w:val="-4"/>
          <w:lang w:val="en-US"/>
        </w:rPr>
        <w:t>77,</w:t>
      </w:r>
      <w:proofErr w:type="gramEnd"/>
      <w:r w:rsidRPr="0079515C">
        <w:rPr>
          <w:spacing w:val="-4"/>
          <w:lang w:val="en-US"/>
        </w:rPr>
        <w:t xml:space="preserve"> and </w:t>
      </w:r>
      <w:r w:rsidRPr="0079515C">
        <w:rPr>
          <w:i/>
          <w:spacing w:val="-4"/>
          <w:lang w:val="en-US"/>
        </w:rPr>
        <w:t xml:space="preserve">Case of </w:t>
      </w:r>
      <w:proofErr w:type="spellStart"/>
      <w:r w:rsidRPr="0079515C">
        <w:rPr>
          <w:i/>
          <w:spacing w:val="-4"/>
          <w:lang w:val="en-US"/>
        </w:rPr>
        <w:t>Rochac</w:t>
      </w:r>
      <w:proofErr w:type="spellEnd"/>
      <w:r w:rsidRPr="0079515C">
        <w:rPr>
          <w:i/>
          <w:spacing w:val="-4"/>
          <w:lang w:val="en-US"/>
        </w:rPr>
        <w:t xml:space="preserve"> Hernández et al. v. El Salvador.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October 14, 2014. Series C No. 285,</w:t>
      </w:r>
      <w:r w:rsidRPr="0079515C">
        <w:rPr>
          <w:i/>
          <w:spacing w:val="-4"/>
          <w:lang w:val="en-US"/>
        </w:rPr>
        <w:t xml:space="preserve"> </w:t>
      </w:r>
      <w:r w:rsidRPr="0079515C">
        <w:rPr>
          <w:spacing w:val="-4"/>
          <w:lang w:val="en-US"/>
        </w:rPr>
        <w:t xml:space="preserve">para. </w:t>
      </w:r>
      <w:r w:rsidRPr="0039093A">
        <w:rPr>
          <w:spacing w:val="-4"/>
        </w:rPr>
        <w:t>162.</w:t>
      </w:r>
    </w:p>
  </w:footnote>
  <w:footnote w:id="358">
    <w:p w14:paraId="12D59962" w14:textId="3F55E432"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Chaparro Álvarez and Lapo Íñiguez. v. Ecuador, supra</w:t>
      </w:r>
      <w:r w:rsidRPr="0039093A">
        <w:rPr>
          <w:spacing w:val="-4"/>
        </w:rPr>
        <w:t xml:space="preserve">, para. 128, and </w:t>
      </w:r>
      <w:r w:rsidRPr="0039093A">
        <w:rPr>
          <w:i/>
          <w:spacing w:val="-4"/>
        </w:rPr>
        <w:t xml:space="preserve">Case of Espinoza Gonzáles v. </w:t>
      </w:r>
      <w:proofErr w:type="spellStart"/>
      <w:r w:rsidRPr="0039093A">
        <w:rPr>
          <w:i/>
          <w:spacing w:val="-4"/>
        </w:rPr>
        <w:t>Peru</w:t>
      </w:r>
      <w:proofErr w:type="spellEnd"/>
      <w:r w:rsidRPr="0039093A">
        <w:rPr>
          <w:i/>
          <w:spacing w:val="-4"/>
        </w:rPr>
        <w:t>, supra</w:t>
      </w:r>
      <w:r w:rsidRPr="0039093A">
        <w:rPr>
          <w:spacing w:val="-4"/>
        </w:rPr>
        <w:t>, para. 135.</w:t>
      </w:r>
    </w:p>
  </w:footnote>
  <w:footnote w:id="359">
    <w:p w14:paraId="276A03EB" w14:textId="7F8C5C34" w:rsidR="002306C1" w:rsidRPr="0039093A" w:rsidRDefault="002306C1" w:rsidP="00853044">
      <w:pPr>
        <w:pStyle w:val="FootnoteText"/>
        <w:tabs>
          <w:tab w:val="clear" w:pos="567"/>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Cf. Case of Acosta Calderón v. Ecuador, supra</w:t>
      </w:r>
      <w:r w:rsidRPr="0039093A">
        <w:rPr>
          <w:iCs/>
          <w:spacing w:val="-4"/>
        </w:rPr>
        <w:t xml:space="preserve">, para. 97, and </w:t>
      </w:r>
      <w:r w:rsidRPr="0039093A">
        <w:rPr>
          <w:i/>
          <w:spacing w:val="-4"/>
        </w:rPr>
        <w:t xml:space="preserve">Case of Espinoza Gonzáles v. </w:t>
      </w:r>
      <w:proofErr w:type="spellStart"/>
      <w:r w:rsidRPr="0039093A">
        <w:rPr>
          <w:i/>
          <w:spacing w:val="-4"/>
        </w:rPr>
        <w:t>Peru</w:t>
      </w:r>
      <w:proofErr w:type="spellEnd"/>
      <w:r w:rsidRPr="0039093A">
        <w:rPr>
          <w:i/>
          <w:spacing w:val="-4"/>
        </w:rPr>
        <w:t>, supra</w:t>
      </w:r>
      <w:r w:rsidRPr="0039093A">
        <w:rPr>
          <w:spacing w:val="-4"/>
        </w:rPr>
        <w:t>, para. 135.</w:t>
      </w:r>
    </w:p>
  </w:footnote>
  <w:footnote w:id="360">
    <w:p w14:paraId="0E90734E" w14:textId="069A4969" w:rsidR="002306C1" w:rsidRPr="0079515C" w:rsidRDefault="002306C1" w:rsidP="00853044">
      <w:pPr>
        <w:pStyle w:val="FootnoteText"/>
        <w:tabs>
          <w:tab w:val="clear" w:pos="567"/>
          <w:tab w:val="left" w:pos="426"/>
          <w:tab w:val="left" w:pos="540"/>
        </w:tabs>
        <w:spacing w:before="120" w:after="120"/>
        <w:rPr>
          <w:spacing w:val="-4"/>
          <w:highlight w:val="green"/>
          <w:lang w:val="en-US"/>
        </w:rPr>
      </w:pPr>
      <w:r w:rsidRPr="0079515C">
        <w:rPr>
          <w:rStyle w:val="FootnoteReference"/>
          <w:spacing w:val="-4"/>
          <w:lang w:val="en-US"/>
        </w:rPr>
        <w:footnoteRef/>
      </w:r>
      <w:r w:rsidRPr="0039093A">
        <w:rPr>
          <w:spacing w:val="-4"/>
        </w:rPr>
        <w:t xml:space="preserve"> </w:t>
      </w:r>
      <w:r w:rsidRPr="0039093A">
        <w:rPr>
          <w:spacing w:val="-4"/>
        </w:rPr>
        <w:tab/>
      </w:r>
      <w:r w:rsidRPr="0039093A">
        <w:rPr>
          <w:i/>
          <w:spacing w:val="-4"/>
        </w:rPr>
        <w:t>Cf.</w:t>
      </w:r>
      <w:r w:rsidRPr="0039093A">
        <w:rPr>
          <w:i/>
          <w:iCs/>
          <w:spacing w:val="-4"/>
        </w:rPr>
        <w:t xml:space="preserve"> Case of Velásquez Rodríguez v. Honduras. </w:t>
      </w:r>
      <w:proofErr w:type="spellStart"/>
      <w:r w:rsidRPr="0039093A">
        <w:rPr>
          <w:i/>
          <w:iCs/>
          <w:spacing w:val="-4"/>
        </w:rPr>
        <w:t>Merits</w:t>
      </w:r>
      <w:proofErr w:type="spellEnd"/>
      <w:r w:rsidRPr="0039093A">
        <w:rPr>
          <w:i/>
          <w:iCs/>
          <w:spacing w:val="-4"/>
        </w:rPr>
        <w:t>, supra</w:t>
      </w:r>
      <w:r w:rsidRPr="0039093A">
        <w:rPr>
          <w:spacing w:val="-4"/>
        </w:rPr>
        <w:t xml:space="preserve">, para. </w:t>
      </w:r>
      <w:proofErr w:type="gramStart"/>
      <w:r w:rsidRPr="0079515C">
        <w:rPr>
          <w:spacing w:val="-4"/>
          <w:lang w:val="en-US"/>
        </w:rPr>
        <w:t>67,</w:t>
      </w:r>
      <w:proofErr w:type="gramEnd"/>
      <w:r w:rsidRPr="0079515C">
        <w:rPr>
          <w:spacing w:val="-4"/>
          <w:lang w:val="en-US"/>
        </w:rPr>
        <w:t xml:space="preserve"> and </w:t>
      </w:r>
      <w:r w:rsidRPr="0079515C">
        <w:rPr>
          <w:i/>
          <w:iCs/>
          <w:spacing w:val="-4"/>
          <w:lang w:val="en-US"/>
        </w:rPr>
        <w:t xml:space="preserve">Case of Brewer </w:t>
      </w:r>
      <w:proofErr w:type="spellStart"/>
      <w:r w:rsidRPr="0079515C">
        <w:rPr>
          <w:i/>
          <w:iCs/>
          <w:spacing w:val="-4"/>
          <w:lang w:val="en-US"/>
        </w:rPr>
        <w:t>Carías</w:t>
      </w:r>
      <w:proofErr w:type="spellEnd"/>
      <w:r w:rsidRPr="0079515C">
        <w:rPr>
          <w:i/>
          <w:iCs/>
          <w:spacing w:val="-4"/>
          <w:lang w:val="en-US"/>
        </w:rPr>
        <w:t xml:space="preserve"> v. Venezuela. </w:t>
      </w:r>
      <w:proofErr w:type="gramStart"/>
      <w:r w:rsidRPr="0079515C">
        <w:rPr>
          <w:i/>
          <w:iCs/>
          <w:spacing w:val="-4"/>
          <w:lang w:val="en-US"/>
        </w:rPr>
        <w:t>Preliminary objections</w:t>
      </w:r>
      <w:r w:rsidRPr="0079515C">
        <w:rPr>
          <w:spacing w:val="-4"/>
          <w:lang w:val="en-US"/>
        </w:rPr>
        <w:t>.</w:t>
      </w:r>
      <w:proofErr w:type="gramEnd"/>
      <w:r w:rsidRPr="0079515C">
        <w:rPr>
          <w:spacing w:val="-4"/>
          <w:lang w:val="en-US"/>
        </w:rPr>
        <w:t xml:space="preserve"> Judgment of May 26, 2014. Series C No. 278, para. 87.</w:t>
      </w:r>
    </w:p>
  </w:footnote>
  <w:footnote w:id="361">
    <w:p w14:paraId="746CCF53" w14:textId="2D885DA6"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Request dated October 18, 2011 (evidence file, folios 306 and 310 to 312).</w:t>
      </w:r>
    </w:p>
  </w:footnote>
  <w:footnote w:id="362">
    <w:p w14:paraId="0D5A9ABE" w14:textId="643D727F"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rFonts w:cs="Segoe UI"/>
          <w:color w:val="000000"/>
          <w:spacing w:val="-4"/>
          <w:lang w:val="en-US" w:eastAsia="es-MX"/>
        </w:rPr>
        <w:t xml:space="preserve">Decision of the Seventh Criminal Court of El Callao of December 1, 2011 </w:t>
      </w:r>
      <w:r w:rsidRPr="0079515C">
        <w:rPr>
          <w:spacing w:val="-4"/>
          <w:lang w:val="en-US"/>
        </w:rPr>
        <w:t>(evidence file, folio 6472).</w:t>
      </w:r>
      <w:proofErr w:type="gramEnd"/>
    </w:p>
  </w:footnote>
  <w:footnote w:id="363">
    <w:p w14:paraId="67EF1A9A" w14:textId="052D756D"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Application for </w:t>
      </w:r>
      <w:r w:rsidRPr="0079515C">
        <w:rPr>
          <w:i/>
          <w:spacing w:val="-4"/>
          <w:lang w:val="en-US"/>
        </w:rPr>
        <w:t>habeas corpus</w:t>
      </w:r>
      <w:r w:rsidRPr="0079515C">
        <w:rPr>
          <w:spacing w:val="-4"/>
          <w:lang w:val="en-US"/>
        </w:rPr>
        <w:t xml:space="preserve"> of November 16, 2011 (evidence file, folio 326).</w:t>
      </w:r>
      <w:proofErr w:type="gramEnd"/>
    </w:p>
  </w:footnote>
  <w:footnote w:id="364">
    <w:p w14:paraId="3CE51DA7" w14:textId="31A8A74B" w:rsidR="002306C1" w:rsidRPr="0079515C" w:rsidRDefault="002306C1" w:rsidP="005806D6">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In this regard, the decision indicated that “[a]</w:t>
      </w:r>
      <w:proofErr w:type="spellStart"/>
      <w:r w:rsidRPr="0079515C">
        <w:rPr>
          <w:spacing w:val="-4"/>
          <w:sz w:val="16"/>
          <w:szCs w:val="16"/>
          <w:lang w:val="en-US"/>
        </w:rPr>
        <w:t>rticle</w:t>
      </w:r>
      <w:proofErr w:type="spellEnd"/>
      <w:r w:rsidRPr="0079515C">
        <w:rPr>
          <w:spacing w:val="-4"/>
          <w:sz w:val="16"/>
          <w:szCs w:val="16"/>
          <w:lang w:val="en-US"/>
        </w:rPr>
        <w:t xml:space="preserve"> 137 of the Code of Criminal Procedure (currently in force) amended by article 2 of Legislative Decree No. 983, published on July 22, 2007, has established that ‘The detention shall not last more than nine months in the ordinary proceeding and eighteen months in the special proceeding, provided that the requirements established in article 135 of the Code of Criminal Procedure are met. In the case of proceedings for offenses of drug-trafficking, terrorism, spying and others of a complex nature against more than ten accused, that have ha</w:t>
      </w:r>
      <w:r>
        <w:rPr>
          <w:spacing w:val="-4"/>
          <w:sz w:val="16"/>
          <w:szCs w:val="16"/>
          <w:lang w:val="en-US"/>
        </w:rPr>
        <w:t>rmed an equal number of persons</w:t>
      </w:r>
      <w:r w:rsidRPr="0079515C">
        <w:rPr>
          <w:spacing w:val="-4"/>
          <w:sz w:val="16"/>
          <w:szCs w:val="16"/>
          <w:lang w:val="en-US"/>
        </w:rPr>
        <w:t xml:space="preserve"> or the State, the </w:t>
      </w:r>
      <w:r>
        <w:rPr>
          <w:spacing w:val="-4"/>
          <w:sz w:val="16"/>
          <w:szCs w:val="16"/>
          <w:lang w:val="en-US"/>
        </w:rPr>
        <w:t>length of the detention sha</w:t>
      </w:r>
      <w:r w:rsidRPr="0079515C">
        <w:rPr>
          <w:spacing w:val="-4"/>
          <w:sz w:val="16"/>
          <w:szCs w:val="16"/>
          <w:lang w:val="en-US"/>
        </w:rPr>
        <w:t xml:space="preserve">ll be doubled. When the time </w:t>
      </w:r>
      <w:r>
        <w:rPr>
          <w:spacing w:val="-4"/>
          <w:sz w:val="16"/>
          <w:szCs w:val="16"/>
          <w:lang w:val="en-US"/>
        </w:rPr>
        <w:t>limit</w:t>
      </w:r>
      <w:r w:rsidRPr="0079515C">
        <w:rPr>
          <w:spacing w:val="-4"/>
          <w:sz w:val="16"/>
          <w:szCs w:val="16"/>
          <w:lang w:val="en-US"/>
        </w:rPr>
        <w:t xml:space="preserve"> has expired, without the delivery of a judgment in first instance, the immediate release of the accused shall be ordered, and the judge must establish the necessary measures to ensure his presence at </w:t>
      </w:r>
      <w:r>
        <w:rPr>
          <w:spacing w:val="-4"/>
          <w:sz w:val="16"/>
          <w:szCs w:val="16"/>
          <w:lang w:val="en-US"/>
        </w:rPr>
        <w:t>the trial</w:t>
      </w:r>
      <w:r w:rsidRPr="0079515C">
        <w:rPr>
          <w:spacing w:val="-4"/>
          <w:sz w:val="16"/>
          <w:szCs w:val="16"/>
          <w:lang w:val="en-US"/>
        </w:rPr>
        <w:t xml:space="preserve">.’ […] The said article also established that ‘When the circumstances are especially complex or result in a special prolongation of the investigation </w:t>
      </w:r>
      <w:r>
        <w:rPr>
          <w:spacing w:val="-4"/>
          <w:sz w:val="16"/>
          <w:szCs w:val="16"/>
          <w:lang w:val="en-US"/>
        </w:rPr>
        <w:t>and</w:t>
      </w:r>
      <w:r w:rsidRPr="0079515C">
        <w:rPr>
          <w:spacing w:val="-4"/>
          <w:sz w:val="16"/>
          <w:szCs w:val="16"/>
          <w:lang w:val="en-US"/>
        </w:rPr>
        <w:t xml:space="preserve"> the accused could evade prosecution, the detention may be extended for an equal length of time.” And ‘When the offense has been committed by a criminal organization and the accused may evade prosecution or interfere with the probative activities, the detention may be extended fo</w:t>
      </w:r>
      <w:r>
        <w:rPr>
          <w:spacing w:val="-4"/>
          <w:sz w:val="16"/>
          <w:szCs w:val="16"/>
          <w:lang w:val="en-US"/>
        </w:rPr>
        <w:t>r an equal length of time. The e</w:t>
      </w:r>
      <w:r w:rsidRPr="0079515C">
        <w:rPr>
          <w:spacing w:val="-4"/>
          <w:sz w:val="16"/>
          <w:szCs w:val="16"/>
          <w:lang w:val="en-US"/>
        </w:rPr>
        <w:t>xtension of the detention shall be decided by a duly founded order, issued by the judge</w:t>
      </w:r>
      <w:r>
        <w:rPr>
          <w:spacing w:val="-4"/>
          <w:sz w:val="16"/>
          <w:szCs w:val="16"/>
          <w:lang w:val="en-US"/>
        </w:rPr>
        <w:t xml:space="preserve"> on his own motion</w:t>
      </w:r>
      <w:r w:rsidRPr="0079515C">
        <w:rPr>
          <w:spacing w:val="-4"/>
          <w:sz w:val="16"/>
          <w:szCs w:val="16"/>
          <w:lang w:val="en-US"/>
        </w:rPr>
        <w:t xml:space="preserve">, or requested by the prosecutor and notified to the accused. An appeal is admissible against this order, to be decided by the Chamber, following the opinion of the Superior Prosecutor, within 72 hours.’” </w:t>
      </w:r>
      <w:proofErr w:type="gramStart"/>
      <w:r w:rsidRPr="0079515C">
        <w:rPr>
          <w:spacing w:val="-4"/>
          <w:sz w:val="16"/>
          <w:szCs w:val="16"/>
          <w:lang w:val="en-US"/>
        </w:rPr>
        <w:t>Decision of the 30th Special Criminal Court of Lima of May 30, 2012 (evidence file, folios 6445 and 6446).</w:t>
      </w:r>
      <w:proofErr w:type="gramEnd"/>
    </w:p>
  </w:footnote>
  <w:footnote w:id="365">
    <w:p w14:paraId="554A7D0F" w14:textId="567A5357"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rFonts w:eastAsia="Calibri"/>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Decision of the 30th Special Criminal Court of Lima of May 30, 2012 (evidence file, folios 6447 and 6448).</w:t>
      </w:r>
      <w:proofErr w:type="gramEnd"/>
    </w:p>
  </w:footnote>
  <w:footnote w:id="366">
    <w:p w14:paraId="25AC898F" w14:textId="25D587D4"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39093A">
        <w:rPr>
          <w:spacing w:val="-4"/>
        </w:rPr>
        <w:t xml:space="preserve"> </w:t>
      </w:r>
      <w:r w:rsidRPr="0039093A">
        <w:rPr>
          <w:spacing w:val="-4"/>
        </w:rPr>
        <w:tab/>
      </w:r>
      <w:r w:rsidRPr="0039093A">
        <w:rPr>
          <w:i/>
          <w:spacing w:val="-4"/>
        </w:rPr>
        <w:t>Cf.</w:t>
      </w:r>
      <w:r w:rsidRPr="0039093A">
        <w:rPr>
          <w:spacing w:val="-4"/>
        </w:rPr>
        <w:t xml:space="preserve"> </w:t>
      </w:r>
      <w:r w:rsidRPr="0039093A">
        <w:rPr>
          <w:i/>
          <w:spacing w:val="-4"/>
        </w:rPr>
        <w:t>Case of López Álvarez v. Honduras, supra</w:t>
      </w:r>
      <w:r w:rsidRPr="0039093A">
        <w:rPr>
          <w:spacing w:val="-4"/>
        </w:rPr>
        <w:t xml:space="preserve">, para. </w:t>
      </w:r>
      <w:r w:rsidRPr="0079515C">
        <w:rPr>
          <w:spacing w:val="-4"/>
          <w:lang w:val="en-US"/>
        </w:rPr>
        <w:t>96.</w:t>
      </w:r>
    </w:p>
  </w:footnote>
  <w:footnote w:id="367">
    <w:p w14:paraId="6725F602" w14:textId="4A48FAD2"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t xml:space="preserve">During the proceeding, the judge and the representative of the presumed victim presented various requests for the Ministry of Justice to </w:t>
      </w:r>
      <w:r>
        <w:rPr>
          <w:spacing w:val="-4"/>
          <w:lang w:val="en-US"/>
        </w:rPr>
        <w:t>forward</w:t>
      </w:r>
      <w:r w:rsidRPr="0079515C">
        <w:rPr>
          <w:spacing w:val="-4"/>
          <w:lang w:val="en-US"/>
        </w:rPr>
        <w:t xml:space="preserve"> the provisional arrest</w:t>
      </w:r>
      <w:r>
        <w:rPr>
          <w:spacing w:val="-4"/>
          <w:lang w:val="en-US"/>
        </w:rPr>
        <w:t xml:space="preserve"> file</w:t>
      </w:r>
      <w:r w:rsidRPr="0079515C">
        <w:rPr>
          <w:spacing w:val="-4"/>
          <w:lang w:val="en-US"/>
        </w:rPr>
        <w:t xml:space="preserve"> </w:t>
      </w:r>
      <w:r>
        <w:rPr>
          <w:spacing w:val="-4"/>
          <w:lang w:val="en-US"/>
        </w:rPr>
        <w:t>so that a</w:t>
      </w:r>
      <w:r w:rsidRPr="0079515C">
        <w:rPr>
          <w:spacing w:val="-4"/>
          <w:lang w:val="en-US"/>
        </w:rPr>
        <w:t xml:space="preserve"> decision</w:t>
      </w:r>
      <w:r>
        <w:rPr>
          <w:spacing w:val="-4"/>
          <w:lang w:val="en-US"/>
        </w:rPr>
        <w:t xml:space="preserve"> could be taken; this was sent</w:t>
      </w:r>
      <w:r w:rsidRPr="0079515C">
        <w:rPr>
          <w:spacing w:val="-4"/>
          <w:lang w:val="en-US"/>
        </w:rPr>
        <w:t xml:space="preserve"> on November 25, 2011 (</w:t>
      </w:r>
      <w:r w:rsidRPr="0079515C">
        <w:rPr>
          <w:i/>
          <w:spacing w:val="-4"/>
          <w:lang w:val="en-US"/>
        </w:rPr>
        <w:t xml:space="preserve">supra </w:t>
      </w:r>
      <w:r w:rsidRPr="0079515C">
        <w:rPr>
          <w:spacing w:val="-4"/>
          <w:lang w:val="en-US"/>
        </w:rPr>
        <w:t xml:space="preserve">paras. </w:t>
      </w:r>
      <w:r w:rsidRPr="0079515C">
        <w:rPr>
          <w:spacing w:val="-4"/>
          <w:lang w:val="en-US"/>
        </w:rPr>
        <w:fldChar w:fldCharType="begin"/>
      </w:r>
      <w:r w:rsidRPr="0079515C">
        <w:rPr>
          <w:spacing w:val="-4"/>
          <w:lang w:val="en-US"/>
        </w:rPr>
        <w:instrText xml:space="preserve"> REF _Ref429067012 \r \h  \* MERGEFORMAT </w:instrText>
      </w:r>
      <w:r w:rsidRPr="0079515C">
        <w:rPr>
          <w:spacing w:val="-4"/>
          <w:lang w:val="en-US"/>
        </w:rPr>
      </w:r>
      <w:r w:rsidRPr="0079515C">
        <w:rPr>
          <w:spacing w:val="-4"/>
          <w:lang w:val="en-US"/>
        </w:rPr>
        <w:fldChar w:fldCharType="separate"/>
      </w:r>
      <w:r w:rsidRPr="0079515C">
        <w:rPr>
          <w:spacing w:val="-4"/>
          <w:lang w:val="en-US"/>
        </w:rPr>
        <w:t>105</w:t>
      </w:r>
      <w:r w:rsidRPr="0079515C">
        <w:rPr>
          <w:spacing w:val="-4"/>
          <w:lang w:val="en-US"/>
        </w:rPr>
        <w:fldChar w:fldCharType="end"/>
      </w:r>
      <w:r w:rsidRPr="0079515C">
        <w:rPr>
          <w:spacing w:val="-4"/>
          <w:lang w:val="en-US"/>
        </w:rPr>
        <w:t xml:space="preserve">, </w:t>
      </w:r>
      <w:r w:rsidRPr="0079515C">
        <w:rPr>
          <w:spacing w:val="-4"/>
          <w:lang w:val="en-US"/>
        </w:rPr>
        <w:fldChar w:fldCharType="begin"/>
      </w:r>
      <w:r w:rsidRPr="0079515C">
        <w:rPr>
          <w:spacing w:val="-4"/>
          <w:lang w:val="en-US"/>
        </w:rPr>
        <w:instrText xml:space="preserve"> REF _Ref429067015 \r \h  \* MERGEFORMAT </w:instrText>
      </w:r>
      <w:r w:rsidRPr="0079515C">
        <w:rPr>
          <w:spacing w:val="-4"/>
          <w:lang w:val="en-US"/>
        </w:rPr>
      </w:r>
      <w:r w:rsidRPr="0079515C">
        <w:rPr>
          <w:spacing w:val="-4"/>
          <w:lang w:val="en-US"/>
        </w:rPr>
        <w:fldChar w:fldCharType="separate"/>
      </w:r>
      <w:r w:rsidRPr="0079515C">
        <w:rPr>
          <w:spacing w:val="-4"/>
          <w:lang w:val="en-US"/>
        </w:rPr>
        <w:t>106</w:t>
      </w:r>
      <w:r w:rsidRPr="0079515C">
        <w:rPr>
          <w:spacing w:val="-4"/>
          <w:lang w:val="en-US"/>
        </w:rPr>
        <w:fldChar w:fldCharType="end"/>
      </w:r>
      <w:r w:rsidRPr="0079515C">
        <w:rPr>
          <w:spacing w:val="-4"/>
          <w:lang w:val="en-US"/>
        </w:rPr>
        <w:t xml:space="preserve"> and </w:t>
      </w:r>
      <w:r w:rsidRPr="0079515C">
        <w:rPr>
          <w:spacing w:val="-4"/>
          <w:lang w:val="en-US"/>
        </w:rPr>
        <w:fldChar w:fldCharType="begin"/>
      </w:r>
      <w:r w:rsidRPr="0079515C">
        <w:rPr>
          <w:spacing w:val="-4"/>
          <w:lang w:val="en-US"/>
        </w:rPr>
        <w:instrText xml:space="preserve"> REF _Ref429068640 \r \h  \* MERGEFORMAT </w:instrText>
      </w:r>
      <w:r w:rsidRPr="0079515C">
        <w:rPr>
          <w:spacing w:val="-4"/>
          <w:lang w:val="en-US"/>
        </w:rPr>
      </w:r>
      <w:r w:rsidRPr="0079515C">
        <w:rPr>
          <w:spacing w:val="-4"/>
          <w:lang w:val="en-US"/>
        </w:rPr>
        <w:fldChar w:fldCharType="separate"/>
      </w:r>
      <w:r w:rsidRPr="0079515C">
        <w:rPr>
          <w:spacing w:val="-4"/>
          <w:lang w:val="en-US"/>
        </w:rPr>
        <w:t>286</w:t>
      </w:r>
      <w:r w:rsidRPr="0079515C">
        <w:rPr>
          <w:spacing w:val="-4"/>
          <w:lang w:val="en-US"/>
        </w:rPr>
        <w:fldChar w:fldCharType="end"/>
      </w:r>
      <w:r w:rsidRPr="0079515C">
        <w:rPr>
          <w:spacing w:val="-4"/>
          <w:lang w:val="en-US"/>
        </w:rPr>
        <w:t>).</w:t>
      </w:r>
    </w:p>
  </w:footnote>
  <w:footnote w:id="368">
    <w:p w14:paraId="365B9A5F" w14:textId="7BD1F83C" w:rsidR="002306C1" w:rsidRPr="0079515C" w:rsidRDefault="002306C1" w:rsidP="00853044">
      <w:pPr>
        <w:pStyle w:val="FootnoteText"/>
        <w:tabs>
          <w:tab w:val="clear" w:pos="567"/>
          <w:tab w:val="left" w:pos="426"/>
        </w:tabs>
        <w:spacing w:before="120" w:after="120"/>
        <w:rPr>
          <w:spacing w:val="-4"/>
          <w:lang w:val="en-US"/>
        </w:rPr>
      </w:pPr>
      <w:r w:rsidRPr="0079515C">
        <w:rPr>
          <w:rStyle w:val="FootnoteReference"/>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The State’s brief of December 1, 2014 (merits file, folio 1159). During this proce</w:t>
      </w:r>
      <w:r>
        <w:rPr>
          <w:spacing w:val="-4"/>
          <w:lang w:val="en-US"/>
        </w:rPr>
        <w:t>eding, on March 13, 2012, the application</w:t>
      </w:r>
      <w:r w:rsidRPr="0079515C">
        <w:rPr>
          <w:spacing w:val="-4"/>
          <w:lang w:val="en-US"/>
        </w:rPr>
        <w:t xml:space="preserve"> was declared “absolutely inadmissible.” </w:t>
      </w:r>
      <w:r>
        <w:rPr>
          <w:spacing w:val="-4"/>
          <w:lang w:val="en-US"/>
        </w:rPr>
        <w:t>The</w:t>
      </w:r>
      <w:r w:rsidRPr="0079515C">
        <w:rPr>
          <w:spacing w:val="-4"/>
          <w:lang w:val="en-US"/>
        </w:rPr>
        <w:t xml:space="preserve"> decision was</w:t>
      </w:r>
      <w:r>
        <w:rPr>
          <w:spacing w:val="-4"/>
          <w:lang w:val="en-US"/>
        </w:rPr>
        <w:t xml:space="preserve"> subsequently </w:t>
      </w:r>
      <w:r w:rsidRPr="0079515C">
        <w:rPr>
          <w:spacing w:val="-4"/>
          <w:lang w:val="en-US"/>
        </w:rPr>
        <w:t xml:space="preserve">revoked on December 26, 2012. On April 29, 2013, the </w:t>
      </w:r>
      <w:r>
        <w:rPr>
          <w:spacing w:val="-4"/>
          <w:lang w:val="en-US"/>
        </w:rPr>
        <w:t xml:space="preserve">application </w:t>
      </w:r>
      <w:r w:rsidRPr="0079515C">
        <w:rPr>
          <w:spacing w:val="-4"/>
          <w:lang w:val="en-US"/>
        </w:rPr>
        <w:t>was declared admissible (</w:t>
      </w:r>
      <w:r w:rsidRPr="0079515C">
        <w:rPr>
          <w:i/>
          <w:spacing w:val="-4"/>
          <w:lang w:val="en-US"/>
        </w:rPr>
        <w:t xml:space="preserve">supra note </w:t>
      </w:r>
      <w:r w:rsidRPr="0079515C">
        <w:rPr>
          <w:spacing w:val="-4"/>
          <w:lang w:val="en-US"/>
        </w:rPr>
        <w:fldChar w:fldCharType="begin"/>
      </w:r>
      <w:r w:rsidRPr="0079515C">
        <w:rPr>
          <w:spacing w:val="-4"/>
          <w:lang w:val="en-US"/>
        </w:rPr>
        <w:instrText xml:space="preserve"> NOTEREF _Ref429069594 \h  \* MERGEFORMAT </w:instrText>
      </w:r>
      <w:r w:rsidRPr="0079515C">
        <w:rPr>
          <w:spacing w:val="-4"/>
          <w:lang w:val="en-US"/>
        </w:rPr>
      </w:r>
      <w:r w:rsidRPr="0079515C">
        <w:rPr>
          <w:spacing w:val="-4"/>
          <w:lang w:val="en-US"/>
        </w:rPr>
        <w:fldChar w:fldCharType="separate"/>
      </w:r>
      <w:r w:rsidRPr="0079515C">
        <w:rPr>
          <w:spacing w:val="-4"/>
          <w:lang w:val="en-US"/>
        </w:rPr>
        <w:t>112</w:t>
      </w:r>
      <w:r w:rsidRPr="0079515C">
        <w:rPr>
          <w:spacing w:val="-4"/>
          <w:lang w:val="en-US"/>
        </w:rPr>
        <w:fldChar w:fldCharType="end"/>
      </w:r>
      <w:r w:rsidRPr="0079515C">
        <w:rPr>
          <w:spacing w:val="-4"/>
          <w:lang w:val="en-US"/>
        </w:rPr>
        <w:t xml:space="preserve">). On August 4, 2014, the Public Attorney’s Office presented its answering brief. </w:t>
      </w:r>
      <w:r w:rsidRPr="0079515C">
        <w:rPr>
          <w:i/>
          <w:spacing w:val="-4"/>
          <w:lang w:val="en-US"/>
        </w:rPr>
        <w:t xml:space="preserve">Cf. </w:t>
      </w:r>
      <w:r w:rsidRPr="0079515C">
        <w:rPr>
          <w:spacing w:val="-4"/>
          <w:lang w:val="en-US"/>
        </w:rPr>
        <w:t>Decision of the 41st Criminal Court of March 13, 2012 (evidence file, folios 8504 to 8507); Decision of the Second Special Criminal Chamber for Prisoners at Liberty of the Superior Court of Justice of Lima of December 26, 2012 (evidence file, folios 8508 to 8516), and Brief</w:t>
      </w:r>
      <w:r>
        <w:rPr>
          <w:spacing w:val="-4"/>
          <w:lang w:val="en-US"/>
        </w:rPr>
        <w:t xml:space="preserve"> of the Public Attorney</w:t>
      </w:r>
      <w:r w:rsidRPr="0079515C">
        <w:rPr>
          <w:spacing w:val="-4"/>
          <w:lang w:val="en-US"/>
        </w:rPr>
        <w:t xml:space="preserve"> of the Judiciary of Peru of August 4, 2014 (evidence file, folio 8522).</w:t>
      </w:r>
    </w:p>
  </w:footnote>
  <w:footnote w:id="369">
    <w:p w14:paraId="733DFAB6" w14:textId="695E4144" w:rsidR="002306C1" w:rsidRPr="0079515C" w:rsidRDefault="002306C1" w:rsidP="00853044">
      <w:pPr>
        <w:pStyle w:val="ListParagraph"/>
        <w:tabs>
          <w:tab w:val="left" w:pos="426"/>
        </w:tabs>
        <w:spacing w:before="120" w:after="120"/>
        <w:ind w:left="0"/>
        <w:contextualSpacing w:val="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t xml:space="preserve">In this regard, the Procedural Code in force under Legislative Decree No. 638 of April 27, 1991, establishes: “Article 184. Once the release request has been presented by the detainee, the prosecutor shall draw up the interlocutory motion within 24 hours and shall forward this to the judge, notifying the other parties to the proceedings. </w:t>
      </w:r>
      <w:proofErr w:type="gramStart"/>
      <w:r w:rsidRPr="0079515C">
        <w:rPr>
          <w:spacing w:val="-4"/>
          <w:sz w:val="16"/>
          <w:szCs w:val="16"/>
          <w:lang w:val="en-US"/>
        </w:rPr>
        <w:t>Article 185.</w:t>
      </w:r>
      <w:proofErr w:type="gramEnd"/>
      <w:r w:rsidRPr="0079515C">
        <w:rPr>
          <w:spacing w:val="-4"/>
          <w:sz w:val="16"/>
          <w:szCs w:val="16"/>
          <w:lang w:val="en-US"/>
        </w:rPr>
        <w:t xml:space="preserve"> The judge shall take a decision within 24 hours of receiving the interlocutory motion, shall notify the parties to the proceedings, and shall advise the prosecutor of his decision. The decision may be appealed within two working days.” </w:t>
      </w:r>
      <w:proofErr w:type="gramStart"/>
      <w:r w:rsidRPr="0079515C">
        <w:rPr>
          <w:spacing w:val="-4"/>
          <w:sz w:val="16"/>
          <w:szCs w:val="16"/>
          <w:lang w:val="en-US"/>
        </w:rPr>
        <w:t>Code of Criminal Procedure, promulgated by Legislative Decree No. 638 of April 27, 1991 (evidence file, folio 8624).</w:t>
      </w:r>
      <w:proofErr w:type="gramEnd"/>
    </w:p>
  </w:footnote>
  <w:footnote w:id="370">
    <w:p w14:paraId="2BC80DE8" w14:textId="1EF32EEF"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i/>
          <w:spacing w:val="-4"/>
          <w:sz w:val="16"/>
          <w:szCs w:val="16"/>
          <w:lang w:val="en-US"/>
        </w:rPr>
        <w:t>Cf.</w:t>
      </w:r>
      <w:r w:rsidRPr="0079515C">
        <w:rPr>
          <w:spacing w:val="-4"/>
          <w:sz w:val="16"/>
          <w:szCs w:val="16"/>
          <w:lang w:val="en-US"/>
        </w:rPr>
        <w:t xml:space="preserve"> </w:t>
      </w:r>
      <w:r w:rsidRPr="0079515C">
        <w:rPr>
          <w:i/>
          <w:spacing w:val="-4"/>
          <w:sz w:val="16"/>
          <w:szCs w:val="16"/>
          <w:lang w:val="en-US"/>
        </w:rPr>
        <w:t xml:space="preserve">Case of the Gómez </w:t>
      </w:r>
      <w:proofErr w:type="spellStart"/>
      <w:r w:rsidRPr="0079515C">
        <w:rPr>
          <w:i/>
          <w:spacing w:val="-4"/>
          <w:sz w:val="16"/>
          <w:szCs w:val="16"/>
          <w:lang w:val="en-US"/>
        </w:rPr>
        <w:t>Paquiyauri</w:t>
      </w:r>
      <w:proofErr w:type="spellEnd"/>
      <w:r w:rsidRPr="0079515C">
        <w:rPr>
          <w:i/>
          <w:spacing w:val="-4"/>
          <w:sz w:val="16"/>
          <w:szCs w:val="16"/>
          <w:lang w:val="en-US"/>
        </w:rPr>
        <w:t xml:space="preserve"> Brothers v. Peru.</w:t>
      </w:r>
      <w:proofErr w:type="gramEnd"/>
      <w:r w:rsidRPr="0079515C">
        <w:rPr>
          <w:i/>
          <w:spacing w:val="-4"/>
          <w:sz w:val="16"/>
          <w:szCs w:val="16"/>
          <w:lang w:val="en-US"/>
        </w:rPr>
        <w:t xml:space="preserve"> </w:t>
      </w:r>
      <w:proofErr w:type="gramStart"/>
      <w:r w:rsidRPr="0079515C">
        <w:rPr>
          <w:i/>
          <w:spacing w:val="-4"/>
          <w:sz w:val="16"/>
          <w:szCs w:val="16"/>
          <w:lang w:val="en-US"/>
        </w:rPr>
        <w:t>Merits, reparations and costs</w:t>
      </w:r>
      <w:r w:rsidRPr="0079515C">
        <w:rPr>
          <w:spacing w:val="-4"/>
          <w:sz w:val="16"/>
          <w:szCs w:val="16"/>
          <w:lang w:val="en-US"/>
        </w:rPr>
        <w:t>.</w:t>
      </w:r>
      <w:proofErr w:type="gramEnd"/>
      <w:r w:rsidRPr="0079515C">
        <w:rPr>
          <w:spacing w:val="-4"/>
          <w:sz w:val="16"/>
          <w:szCs w:val="16"/>
          <w:lang w:val="en-US"/>
        </w:rPr>
        <w:t xml:space="preserve"> Judgment of July 8, 2004. Series C No. 110, para. 108, and </w:t>
      </w:r>
      <w:r w:rsidRPr="0079515C">
        <w:rPr>
          <w:i/>
          <w:spacing w:val="-4"/>
          <w:sz w:val="16"/>
          <w:szCs w:val="16"/>
          <w:lang w:val="en-US"/>
        </w:rPr>
        <w:t xml:space="preserve">Case of </w:t>
      </w:r>
      <w:proofErr w:type="spellStart"/>
      <w:r w:rsidRPr="0079515C">
        <w:rPr>
          <w:i/>
          <w:spacing w:val="-4"/>
          <w:sz w:val="16"/>
          <w:szCs w:val="16"/>
          <w:lang w:val="en-US"/>
        </w:rPr>
        <w:t>Norín</w:t>
      </w:r>
      <w:proofErr w:type="spellEnd"/>
      <w:r w:rsidRPr="0079515C">
        <w:rPr>
          <w:i/>
          <w:spacing w:val="-4"/>
          <w:sz w:val="16"/>
          <w:szCs w:val="16"/>
          <w:lang w:val="en-US"/>
        </w:rPr>
        <w:t xml:space="preserve"> </w:t>
      </w:r>
      <w:proofErr w:type="spellStart"/>
      <w:r w:rsidRPr="0079515C">
        <w:rPr>
          <w:i/>
          <w:spacing w:val="-4"/>
          <w:sz w:val="16"/>
          <w:szCs w:val="16"/>
          <w:lang w:val="en-US"/>
        </w:rPr>
        <w:t>Catrimán</w:t>
      </w:r>
      <w:proofErr w:type="spellEnd"/>
      <w:r w:rsidRPr="0079515C">
        <w:rPr>
          <w:i/>
          <w:spacing w:val="-4"/>
          <w:sz w:val="16"/>
          <w:szCs w:val="16"/>
          <w:lang w:val="en-US"/>
        </w:rPr>
        <w:t xml:space="preserve"> et al. (Leaders, members and an activist of the </w:t>
      </w:r>
      <w:proofErr w:type="spellStart"/>
      <w:r w:rsidRPr="0079515C">
        <w:rPr>
          <w:i/>
          <w:spacing w:val="-4"/>
          <w:sz w:val="16"/>
          <w:szCs w:val="16"/>
          <w:lang w:val="en-US"/>
        </w:rPr>
        <w:t>Mapuche</w:t>
      </w:r>
      <w:proofErr w:type="spellEnd"/>
      <w:r w:rsidRPr="0079515C">
        <w:rPr>
          <w:i/>
          <w:spacing w:val="-4"/>
          <w:sz w:val="16"/>
          <w:szCs w:val="16"/>
          <w:lang w:val="en-US"/>
        </w:rPr>
        <w:t xml:space="preserve"> Indigenous People) v. Chile, supra</w:t>
      </w:r>
      <w:r w:rsidRPr="0079515C">
        <w:rPr>
          <w:spacing w:val="-4"/>
          <w:sz w:val="16"/>
          <w:szCs w:val="16"/>
          <w:lang w:val="en-US"/>
        </w:rPr>
        <w:t>, para. 390.</w:t>
      </w:r>
    </w:p>
  </w:footnote>
  <w:footnote w:id="371">
    <w:p w14:paraId="34CA4570" w14:textId="6BF1D9E5"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proofErr w:type="gramStart"/>
      <w:r w:rsidRPr="0079515C">
        <w:rPr>
          <w:i/>
          <w:spacing w:val="-4"/>
          <w:sz w:val="16"/>
          <w:szCs w:val="16"/>
          <w:lang w:val="en-US"/>
        </w:rPr>
        <w:t>Cf. Case of the “Juvenile Re-education Institute” v. Paraguay.</w:t>
      </w:r>
      <w:proofErr w:type="gramEnd"/>
      <w:r w:rsidRPr="0079515C">
        <w:rPr>
          <w:i/>
          <w:spacing w:val="-4"/>
          <w:sz w:val="16"/>
          <w:szCs w:val="16"/>
          <w:lang w:val="en-US"/>
        </w:rPr>
        <w:t xml:space="preserve"> </w:t>
      </w:r>
      <w:proofErr w:type="gramStart"/>
      <w:r w:rsidRPr="0079515C">
        <w:rPr>
          <w:i/>
          <w:spacing w:val="-4"/>
          <w:sz w:val="16"/>
          <w:szCs w:val="16"/>
          <w:lang w:val="en-US"/>
        </w:rPr>
        <w:t>Preliminary objections, merits, reparations and costs</w:t>
      </w:r>
      <w:r w:rsidRPr="0079515C">
        <w:rPr>
          <w:spacing w:val="-4"/>
          <w:sz w:val="16"/>
          <w:szCs w:val="16"/>
          <w:lang w:val="en-US"/>
        </w:rPr>
        <w:t>.</w:t>
      </w:r>
      <w:proofErr w:type="gramEnd"/>
      <w:r w:rsidRPr="0079515C">
        <w:rPr>
          <w:spacing w:val="-4"/>
          <w:sz w:val="16"/>
          <w:szCs w:val="16"/>
          <w:lang w:val="en-US"/>
        </w:rPr>
        <w:t xml:space="preserve"> Judgment of September 2, 2004. Series C No. 112, para. 154, and </w:t>
      </w:r>
      <w:r w:rsidRPr="0079515C">
        <w:rPr>
          <w:i/>
          <w:spacing w:val="-4"/>
          <w:sz w:val="16"/>
          <w:szCs w:val="16"/>
          <w:lang w:val="en-US"/>
        </w:rPr>
        <w:t xml:space="preserve">Case of </w:t>
      </w:r>
      <w:proofErr w:type="spellStart"/>
      <w:r w:rsidRPr="0079515C">
        <w:rPr>
          <w:i/>
          <w:spacing w:val="-4"/>
          <w:sz w:val="16"/>
          <w:szCs w:val="16"/>
          <w:lang w:val="en-US"/>
        </w:rPr>
        <w:t>Norín</w:t>
      </w:r>
      <w:proofErr w:type="spellEnd"/>
      <w:r w:rsidRPr="0079515C">
        <w:rPr>
          <w:i/>
          <w:spacing w:val="-4"/>
          <w:sz w:val="16"/>
          <w:szCs w:val="16"/>
          <w:lang w:val="en-US"/>
        </w:rPr>
        <w:t xml:space="preserve"> </w:t>
      </w:r>
      <w:proofErr w:type="spellStart"/>
      <w:r w:rsidRPr="0079515C">
        <w:rPr>
          <w:i/>
          <w:spacing w:val="-4"/>
          <w:sz w:val="16"/>
          <w:szCs w:val="16"/>
          <w:lang w:val="en-US"/>
        </w:rPr>
        <w:t>Catrimán</w:t>
      </w:r>
      <w:proofErr w:type="spellEnd"/>
      <w:r w:rsidRPr="0079515C">
        <w:rPr>
          <w:i/>
          <w:spacing w:val="-4"/>
          <w:sz w:val="16"/>
          <w:szCs w:val="16"/>
          <w:lang w:val="en-US"/>
        </w:rPr>
        <w:t xml:space="preserve"> et al. (Leaders, members and an activist of the </w:t>
      </w:r>
      <w:proofErr w:type="spellStart"/>
      <w:r w:rsidRPr="0079515C">
        <w:rPr>
          <w:i/>
          <w:spacing w:val="-4"/>
          <w:sz w:val="16"/>
          <w:szCs w:val="16"/>
          <w:lang w:val="en-US"/>
        </w:rPr>
        <w:t>Mapuche</w:t>
      </w:r>
      <w:proofErr w:type="spellEnd"/>
      <w:r w:rsidRPr="0079515C">
        <w:rPr>
          <w:i/>
          <w:spacing w:val="-4"/>
          <w:sz w:val="16"/>
          <w:szCs w:val="16"/>
          <w:lang w:val="en-US"/>
        </w:rPr>
        <w:t xml:space="preserve"> Indigenous People) v. Chile, supra</w:t>
      </w:r>
      <w:r w:rsidRPr="0079515C">
        <w:rPr>
          <w:spacing w:val="-4"/>
          <w:sz w:val="16"/>
          <w:szCs w:val="16"/>
          <w:lang w:val="en-US"/>
        </w:rPr>
        <w:t xml:space="preserve">, para. 390. </w:t>
      </w:r>
    </w:p>
  </w:footnote>
  <w:footnote w:id="372">
    <w:p w14:paraId="4ED6B074" w14:textId="27CDCD22"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 Case of the “Juvenile Re-education Institute” v. Paraguay, supra</w:t>
      </w:r>
      <w:r w:rsidRPr="0079515C">
        <w:rPr>
          <w:spacing w:val="-4"/>
          <w:sz w:val="16"/>
          <w:szCs w:val="16"/>
          <w:lang w:val="en-US"/>
        </w:rPr>
        <w:t xml:space="preserve">, para. 155, and </w:t>
      </w:r>
      <w:r w:rsidRPr="0079515C">
        <w:rPr>
          <w:i/>
          <w:spacing w:val="-4"/>
          <w:sz w:val="16"/>
          <w:szCs w:val="16"/>
          <w:lang w:val="en-US"/>
        </w:rPr>
        <w:t xml:space="preserve">Case of </w:t>
      </w:r>
      <w:proofErr w:type="spellStart"/>
      <w:r w:rsidRPr="0079515C">
        <w:rPr>
          <w:i/>
          <w:spacing w:val="-4"/>
          <w:sz w:val="16"/>
          <w:szCs w:val="16"/>
          <w:lang w:val="en-US"/>
        </w:rPr>
        <w:t>Norín</w:t>
      </w:r>
      <w:proofErr w:type="spellEnd"/>
      <w:r w:rsidRPr="0079515C">
        <w:rPr>
          <w:i/>
          <w:spacing w:val="-4"/>
          <w:sz w:val="16"/>
          <w:szCs w:val="16"/>
          <w:lang w:val="en-US"/>
        </w:rPr>
        <w:t xml:space="preserve"> </w:t>
      </w:r>
      <w:proofErr w:type="spellStart"/>
      <w:r w:rsidRPr="0079515C">
        <w:rPr>
          <w:i/>
          <w:spacing w:val="-4"/>
          <w:sz w:val="16"/>
          <w:szCs w:val="16"/>
          <w:lang w:val="en-US"/>
        </w:rPr>
        <w:t>Catrimán</w:t>
      </w:r>
      <w:proofErr w:type="spellEnd"/>
      <w:r w:rsidRPr="0079515C">
        <w:rPr>
          <w:i/>
          <w:spacing w:val="-4"/>
          <w:sz w:val="16"/>
          <w:szCs w:val="16"/>
          <w:lang w:val="en-US"/>
        </w:rPr>
        <w:t xml:space="preserve"> et al. (Leaders, members and an activist of the </w:t>
      </w:r>
      <w:proofErr w:type="spellStart"/>
      <w:r w:rsidRPr="0079515C">
        <w:rPr>
          <w:i/>
          <w:spacing w:val="-4"/>
          <w:sz w:val="16"/>
          <w:szCs w:val="16"/>
          <w:lang w:val="en-US"/>
        </w:rPr>
        <w:t>Mapuche</w:t>
      </w:r>
      <w:proofErr w:type="spellEnd"/>
      <w:r w:rsidRPr="0079515C">
        <w:rPr>
          <w:i/>
          <w:spacing w:val="-4"/>
          <w:sz w:val="16"/>
          <w:szCs w:val="16"/>
          <w:lang w:val="en-US"/>
        </w:rPr>
        <w:t xml:space="preserve"> Indigenous People) v. Chile, supra</w:t>
      </w:r>
      <w:r w:rsidRPr="0079515C">
        <w:rPr>
          <w:spacing w:val="-4"/>
          <w:sz w:val="16"/>
          <w:szCs w:val="16"/>
          <w:lang w:val="en-US"/>
        </w:rPr>
        <w:t>, para. 390.</w:t>
      </w:r>
    </w:p>
  </w:footnote>
  <w:footnote w:id="373">
    <w:p w14:paraId="1D3C3905" w14:textId="3A077B6D"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 Case of the “Juvenile Re-education Institute” v. Paraguay, supra</w:t>
      </w:r>
      <w:r w:rsidRPr="0079515C">
        <w:rPr>
          <w:spacing w:val="-4"/>
          <w:sz w:val="16"/>
          <w:szCs w:val="16"/>
          <w:lang w:val="en-US"/>
        </w:rPr>
        <w:t xml:space="preserve">, para. 170, and </w:t>
      </w:r>
      <w:r w:rsidRPr="0079515C">
        <w:rPr>
          <w:i/>
          <w:spacing w:val="-4"/>
          <w:sz w:val="16"/>
          <w:szCs w:val="16"/>
          <w:lang w:val="en-US"/>
        </w:rPr>
        <w:t xml:space="preserve">Case of </w:t>
      </w:r>
      <w:proofErr w:type="spellStart"/>
      <w:r w:rsidRPr="0079515C">
        <w:rPr>
          <w:i/>
          <w:spacing w:val="-4"/>
          <w:sz w:val="16"/>
          <w:szCs w:val="16"/>
          <w:lang w:val="en-US"/>
        </w:rPr>
        <w:t>Norín</w:t>
      </w:r>
      <w:proofErr w:type="spellEnd"/>
      <w:r w:rsidRPr="0079515C">
        <w:rPr>
          <w:i/>
          <w:spacing w:val="-4"/>
          <w:sz w:val="16"/>
          <w:szCs w:val="16"/>
          <w:lang w:val="en-US"/>
        </w:rPr>
        <w:t xml:space="preserve"> </w:t>
      </w:r>
      <w:proofErr w:type="spellStart"/>
      <w:r w:rsidRPr="0079515C">
        <w:rPr>
          <w:i/>
          <w:spacing w:val="-4"/>
          <w:sz w:val="16"/>
          <w:szCs w:val="16"/>
          <w:lang w:val="en-US"/>
        </w:rPr>
        <w:t>Catrimán</w:t>
      </w:r>
      <w:proofErr w:type="spellEnd"/>
      <w:r w:rsidRPr="0079515C">
        <w:rPr>
          <w:i/>
          <w:spacing w:val="-4"/>
          <w:sz w:val="16"/>
          <w:szCs w:val="16"/>
          <w:lang w:val="en-US"/>
        </w:rPr>
        <w:t xml:space="preserve"> et al. (Leaders, members and an activist of the </w:t>
      </w:r>
      <w:proofErr w:type="spellStart"/>
      <w:r w:rsidRPr="0079515C">
        <w:rPr>
          <w:i/>
          <w:spacing w:val="-4"/>
          <w:sz w:val="16"/>
          <w:szCs w:val="16"/>
          <w:lang w:val="en-US"/>
        </w:rPr>
        <w:t>Mapuche</w:t>
      </w:r>
      <w:proofErr w:type="spellEnd"/>
      <w:r w:rsidRPr="0079515C">
        <w:rPr>
          <w:i/>
          <w:spacing w:val="-4"/>
          <w:sz w:val="16"/>
          <w:szCs w:val="16"/>
          <w:lang w:val="en-US"/>
        </w:rPr>
        <w:t xml:space="preserve"> Indigenous People) v. Chile, supra</w:t>
      </w:r>
      <w:r w:rsidRPr="0079515C">
        <w:rPr>
          <w:spacing w:val="-4"/>
          <w:sz w:val="16"/>
          <w:szCs w:val="16"/>
          <w:lang w:val="en-US"/>
        </w:rPr>
        <w:t>, para. 390.</w:t>
      </w:r>
    </w:p>
  </w:footnote>
  <w:footnote w:id="374">
    <w:p w14:paraId="2A64375B" w14:textId="262C2BAB" w:rsidR="002306C1" w:rsidRPr="0079515C" w:rsidRDefault="002306C1" w:rsidP="00853044">
      <w:pPr>
        <w:tabs>
          <w:tab w:val="left" w:pos="426"/>
        </w:tabs>
        <w:spacing w:before="120" w:after="120"/>
        <w:rPr>
          <w:spacing w:val="-4"/>
          <w:sz w:val="16"/>
          <w:szCs w:val="16"/>
          <w:lang w:val="en-US"/>
        </w:rPr>
      </w:pPr>
      <w:r w:rsidRPr="0079515C">
        <w:rPr>
          <w:rStyle w:val="FootnoteReference"/>
          <w:spacing w:val="-4"/>
          <w:sz w:val="16"/>
          <w:szCs w:val="16"/>
          <w:lang w:val="en-US"/>
        </w:rPr>
        <w:footnoteRef/>
      </w:r>
      <w:r w:rsidRPr="0079515C">
        <w:rPr>
          <w:spacing w:val="-4"/>
          <w:sz w:val="16"/>
          <w:szCs w:val="16"/>
          <w:lang w:val="en-US"/>
        </w:rPr>
        <w:t xml:space="preserve"> </w:t>
      </w:r>
      <w:r w:rsidRPr="0079515C">
        <w:rPr>
          <w:spacing w:val="-4"/>
          <w:sz w:val="16"/>
          <w:szCs w:val="16"/>
          <w:lang w:val="en-US"/>
        </w:rPr>
        <w:tab/>
      </w:r>
      <w:r w:rsidRPr="0079515C">
        <w:rPr>
          <w:i/>
          <w:spacing w:val="-4"/>
          <w:sz w:val="16"/>
          <w:szCs w:val="16"/>
          <w:lang w:val="en-US"/>
        </w:rPr>
        <w:t>Cf. Case of the “Juvenile Re-education Institute” v. Paraguay, supra</w:t>
      </w:r>
      <w:r w:rsidRPr="0079515C">
        <w:rPr>
          <w:spacing w:val="-4"/>
          <w:sz w:val="16"/>
          <w:szCs w:val="16"/>
          <w:lang w:val="en-US"/>
        </w:rPr>
        <w:t xml:space="preserve">, para. 154, and </w:t>
      </w:r>
      <w:r w:rsidRPr="0079515C">
        <w:rPr>
          <w:i/>
          <w:spacing w:val="-4"/>
          <w:sz w:val="16"/>
          <w:szCs w:val="16"/>
          <w:lang w:val="en-US"/>
        </w:rPr>
        <w:t xml:space="preserve">Case of </w:t>
      </w:r>
      <w:proofErr w:type="spellStart"/>
      <w:r w:rsidRPr="0079515C">
        <w:rPr>
          <w:i/>
          <w:spacing w:val="-4"/>
          <w:sz w:val="16"/>
          <w:szCs w:val="16"/>
          <w:lang w:val="en-US"/>
        </w:rPr>
        <w:t>Norín</w:t>
      </w:r>
      <w:proofErr w:type="spellEnd"/>
      <w:r w:rsidRPr="0079515C">
        <w:rPr>
          <w:i/>
          <w:spacing w:val="-4"/>
          <w:sz w:val="16"/>
          <w:szCs w:val="16"/>
          <w:lang w:val="en-US"/>
        </w:rPr>
        <w:t xml:space="preserve"> </w:t>
      </w:r>
      <w:proofErr w:type="spellStart"/>
      <w:r w:rsidRPr="0079515C">
        <w:rPr>
          <w:i/>
          <w:spacing w:val="-4"/>
          <w:sz w:val="16"/>
          <w:szCs w:val="16"/>
          <w:lang w:val="en-US"/>
        </w:rPr>
        <w:t>Catrimán</w:t>
      </w:r>
      <w:proofErr w:type="spellEnd"/>
      <w:r w:rsidRPr="0079515C">
        <w:rPr>
          <w:i/>
          <w:spacing w:val="-4"/>
          <w:sz w:val="16"/>
          <w:szCs w:val="16"/>
          <w:lang w:val="en-US"/>
        </w:rPr>
        <w:t xml:space="preserve"> et al. (Leaders, members and an activist of the </w:t>
      </w:r>
      <w:proofErr w:type="spellStart"/>
      <w:r w:rsidRPr="0079515C">
        <w:rPr>
          <w:i/>
          <w:spacing w:val="-4"/>
          <w:sz w:val="16"/>
          <w:szCs w:val="16"/>
          <w:lang w:val="en-US"/>
        </w:rPr>
        <w:t>Mapuche</w:t>
      </w:r>
      <w:proofErr w:type="spellEnd"/>
      <w:r w:rsidRPr="0079515C">
        <w:rPr>
          <w:i/>
          <w:spacing w:val="-4"/>
          <w:sz w:val="16"/>
          <w:szCs w:val="16"/>
          <w:lang w:val="en-US"/>
        </w:rPr>
        <w:t xml:space="preserve"> Indigenous People) v. Chile, supra</w:t>
      </w:r>
      <w:r w:rsidRPr="0079515C">
        <w:rPr>
          <w:spacing w:val="-4"/>
          <w:sz w:val="16"/>
          <w:szCs w:val="16"/>
          <w:lang w:val="en-US"/>
        </w:rPr>
        <w:t>, para. 391.</w:t>
      </w:r>
    </w:p>
  </w:footnote>
  <w:footnote w:id="375">
    <w:p w14:paraId="61AC5CEC" w14:textId="709C80E2"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Article 63(1) of the Convention stipulates that: “[</w:t>
      </w:r>
      <w:proofErr w:type="spellStart"/>
      <w:r w:rsidRPr="0079515C">
        <w:rPr>
          <w:spacing w:val="-4"/>
          <w:lang w:val="en-US"/>
        </w:rPr>
        <w:t>i</w:t>
      </w:r>
      <w:proofErr w:type="spellEnd"/>
      <w:r w:rsidRPr="0079515C">
        <w:rPr>
          <w:spacing w:val="-4"/>
          <w:lang w:val="en-US"/>
        </w:rPr>
        <w:t>]</w:t>
      </w:r>
      <w:r w:rsidRPr="0079515C">
        <w:rPr>
          <w:spacing w:val="-3"/>
          <w:lang w:val="en-US"/>
        </w:rPr>
        <w:t>f the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79515C">
        <w:rPr>
          <w:spacing w:val="-4"/>
          <w:lang w:val="en-US"/>
        </w:rPr>
        <w:t>”</w:t>
      </w:r>
    </w:p>
  </w:footnote>
  <w:footnote w:id="376">
    <w:p w14:paraId="3A5895D2" w14:textId="50497941" w:rsidR="002306C1" w:rsidRPr="0039093A" w:rsidRDefault="002306C1" w:rsidP="00853044">
      <w:pPr>
        <w:pStyle w:val="FootnoteText"/>
        <w:tabs>
          <w:tab w:val="left" w:pos="426"/>
        </w:tabs>
        <w:spacing w:before="120" w:after="120"/>
        <w:rPr>
          <w:spacing w:val="-4"/>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 xml:space="preserve">Cf. Case of Velásquez Rodríguez v. Honduras. </w:t>
      </w:r>
      <w:proofErr w:type="gramStart"/>
      <w:r w:rsidRPr="0079515C">
        <w:rPr>
          <w:i/>
          <w:spacing w:val="-4"/>
          <w:lang w:val="en-US"/>
        </w:rPr>
        <w:t>Reparations and costs.</w:t>
      </w:r>
      <w:proofErr w:type="gramEnd"/>
      <w:r w:rsidRPr="0079515C">
        <w:rPr>
          <w:i/>
          <w:spacing w:val="-4"/>
          <w:lang w:val="en-US"/>
        </w:rPr>
        <w:t xml:space="preserve"> </w:t>
      </w:r>
      <w:r w:rsidRPr="0079515C">
        <w:rPr>
          <w:spacing w:val="-4"/>
          <w:lang w:val="en-US"/>
        </w:rPr>
        <w:t xml:space="preserve">Judgment of July 21, 1989. </w:t>
      </w:r>
      <w:r w:rsidRPr="0039093A">
        <w:rPr>
          <w:spacing w:val="-4"/>
        </w:rPr>
        <w:t xml:space="preserve">Series C No. 7, para. 25, and </w:t>
      </w:r>
      <w:r w:rsidRPr="0039093A">
        <w:rPr>
          <w:i/>
          <w:spacing w:val="-4"/>
        </w:rPr>
        <w:t xml:space="preserve">Case of Cruz Sánchez et al. v. </w:t>
      </w:r>
      <w:proofErr w:type="spellStart"/>
      <w:r w:rsidRPr="0039093A">
        <w:rPr>
          <w:i/>
          <w:spacing w:val="-4"/>
        </w:rPr>
        <w:t>Peru</w:t>
      </w:r>
      <w:proofErr w:type="spellEnd"/>
      <w:r w:rsidRPr="0039093A">
        <w:rPr>
          <w:i/>
          <w:spacing w:val="-4"/>
        </w:rPr>
        <w:t>, supra</w:t>
      </w:r>
      <w:r w:rsidRPr="0039093A">
        <w:rPr>
          <w:spacing w:val="-4"/>
        </w:rPr>
        <w:t>, para. 451.</w:t>
      </w:r>
    </w:p>
  </w:footnote>
  <w:footnote w:id="377">
    <w:p w14:paraId="73787A18" w14:textId="48888B9B" w:rsidR="002306C1" w:rsidRPr="0079515C" w:rsidRDefault="002306C1" w:rsidP="00853044">
      <w:pPr>
        <w:tabs>
          <w:tab w:val="left" w:pos="426"/>
        </w:tabs>
        <w:spacing w:before="120" w:after="120"/>
        <w:ind w:right="-90"/>
        <w:rPr>
          <w:spacing w:val="-4"/>
          <w:sz w:val="16"/>
          <w:szCs w:val="16"/>
          <w:lang w:val="en-US"/>
        </w:rPr>
      </w:pPr>
      <w:r w:rsidRPr="0079515C">
        <w:rPr>
          <w:rStyle w:val="FootnoteReference"/>
          <w:rFonts w:eastAsia="MS Mincho"/>
          <w:spacing w:val="-4"/>
          <w:sz w:val="16"/>
          <w:szCs w:val="16"/>
          <w:lang w:val="en-US"/>
        </w:rPr>
        <w:footnoteRef/>
      </w:r>
      <w:r w:rsidRPr="0039093A">
        <w:rPr>
          <w:spacing w:val="-4"/>
          <w:sz w:val="16"/>
          <w:szCs w:val="16"/>
        </w:rPr>
        <w:t xml:space="preserve"> </w:t>
      </w:r>
      <w:r w:rsidRPr="0039093A">
        <w:rPr>
          <w:spacing w:val="-4"/>
          <w:sz w:val="16"/>
          <w:szCs w:val="16"/>
        </w:rPr>
        <w:tab/>
      </w:r>
      <w:r w:rsidRPr="0039093A">
        <w:rPr>
          <w:i/>
          <w:spacing w:val="-4"/>
          <w:sz w:val="16"/>
          <w:szCs w:val="16"/>
        </w:rPr>
        <w:t xml:space="preserve">Cf. Case of Velásquez Rodríguez v. Honduras. </w:t>
      </w:r>
      <w:proofErr w:type="spellStart"/>
      <w:r w:rsidRPr="0039093A">
        <w:rPr>
          <w:i/>
          <w:spacing w:val="-4"/>
          <w:sz w:val="16"/>
          <w:szCs w:val="16"/>
        </w:rPr>
        <w:t>Reparations</w:t>
      </w:r>
      <w:proofErr w:type="spellEnd"/>
      <w:r w:rsidRPr="0039093A">
        <w:rPr>
          <w:i/>
          <w:spacing w:val="-4"/>
          <w:sz w:val="16"/>
          <w:szCs w:val="16"/>
        </w:rPr>
        <w:t xml:space="preserve"> and </w:t>
      </w:r>
      <w:proofErr w:type="spellStart"/>
      <w:r w:rsidRPr="0039093A">
        <w:rPr>
          <w:i/>
          <w:spacing w:val="-4"/>
          <w:sz w:val="16"/>
          <w:szCs w:val="16"/>
        </w:rPr>
        <w:t>costs</w:t>
      </w:r>
      <w:proofErr w:type="spellEnd"/>
      <w:r w:rsidRPr="0039093A">
        <w:rPr>
          <w:i/>
          <w:spacing w:val="-4"/>
          <w:sz w:val="16"/>
          <w:szCs w:val="16"/>
        </w:rPr>
        <w:t>, supra</w:t>
      </w:r>
      <w:r w:rsidRPr="0039093A">
        <w:rPr>
          <w:spacing w:val="-4"/>
          <w:sz w:val="16"/>
          <w:szCs w:val="16"/>
        </w:rPr>
        <w:t xml:space="preserve">, para. 25, and </w:t>
      </w:r>
      <w:r w:rsidRPr="0039093A">
        <w:rPr>
          <w:i/>
          <w:spacing w:val="-4"/>
          <w:sz w:val="16"/>
          <w:szCs w:val="16"/>
        </w:rPr>
        <w:t xml:space="preserve">Case of Cruz Sánchez et al. v. </w:t>
      </w:r>
      <w:proofErr w:type="spellStart"/>
      <w:r w:rsidRPr="0039093A">
        <w:rPr>
          <w:i/>
          <w:spacing w:val="-4"/>
          <w:sz w:val="16"/>
          <w:szCs w:val="16"/>
        </w:rPr>
        <w:t>Peru</w:t>
      </w:r>
      <w:proofErr w:type="spellEnd"/>
      <w:r w:rsidRPr="0039093A">
        <w:rPr>
          <w:i/>
          <w:spacing w:val="-4"/>
          <w:sz w:val="16"/>
          <w:szCs w:val="16"/>
        </w:rPr>
        <w:t>, supra</w:t>
      </w:r>
      <w:r w:rsidRPr="0039093A">
        <w:rPr>
          <w:spacing w:val="-4"/>
          <w:sz w:val="16"/>
          <w:szCs w:val="16"/>
        </w:rPr>
        <w:t xml:space="preserve">, para. </w:t>
      </w:r>
      <w:r w:rsidRPr="0079515C">
        <w:rPr>
          <w:spacing w:val="-4"/>
          <w:sz w:val="16"/>
          <w:szCs w:val="16"/>
          <w:lang w:val="en-US"/>
        </w:rPr>
        <w:t>452.</w:t>
      </w:r>
    </w:p>
  </w:footnote>
  <w:footnote w:id="378">
    <w:p w14:paraId="6FF0DEA1" w14:textId="1F01D9A6" w:rsidR="002306C1" w:rsidRPr="0079515C" w:rsidRDefault="002306C1" w:rsidP="00853044">
      <w:pPr>
        <w:pStyle w:val="FootnoteText"/>
        <w:tabs>
          <w:tab w:val="left" w:pos="426"/>
        </w:tabs>
        <w:spacing w:before="120" w:after="120"/>
        <w:ind w:right="-9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Cantoral</w:t>
      </w:r>
      <w:proofErr w:type="spellEnd"/>
      <w:r w:rsidRPr="0079515C">
        <w:rPr>
          <w:i/>
          <w:spacing w:val="-4"/>
          <w:lang w:val="en-US"/>
        </w:rPr>
        <w:t xml:space="preserve"> Benavides v. Peru.</w:t>
      </w:r>
      <w:proofErr w:type="gramEnd"/>
      <w:r w:rsidRPr="0079515C">
        <w:rPr>
          <w:i/>
          <w:spacing w:val="-4"/>
          <w:lang w:val="en-US"/>
        </w:rPr>
        <w:t xml:space="preserve"> </w:t>
      </w:r>
      <w:proofErr w:type="gramStart"/>
      <w:r w:rsidRPr="0079515C">
        <w:rPr>
          <w:i/>
          <w:spacing w:val="-4"/>
          <w:lang w:val="en-US"/>
        </w:rPr>
        <w:t>Reparations and costs.</w:t>
      </w:r>
      <w:proofErr w:type="gramEnd"/>
      <w:r w:rsidRPr="0079515C">
        <w:rPr>
          <w:spacing w:val="-4"/>
          <w:lang w:val="en-US"/>
        </w:rPr>
        <w:t xml:space="preserve"> Judgment of December 3, 2001. Series C No. 88,</w:t>
      </w:r>
      <w:r>
        <w:rPr>
          <w:spacing w:val="-4"/>
          <w:lang w:val="en-US"/>
        </w:rPr>
        <w:t xml:space="preserve"> paras. 79 to</w:t>
      </w:r>
      <w:r w:rsidRPr="0079515C">
        <w:rPr>
          <w:spacing w:val="-4"/>
          <w:lang w:val="en-US"/>
        </w:rPr>
        <w:t xml:space="preserve"> </w:t>
      </w:r>
      <w:proofErr w:type="gramStart"/>
      <w:r w:rsidRPr="0079515C">
        <w:rPr>
          <w:spacing w:val="-4"/>
          <w:lang w:val="en-US"/>
        </w:rPr>
        <w:t>81,</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452.</w:t>
      </w:r>
    </w:p>
  </w:footnote>
  <w:footnote w:id="379">
    <w:p w14:paraId="0699C6B2" w14:textId="35B1B6E7" w:rsidR="002306C1" w:rsidRPr="0079515C" w:rsidRDefault="002306C1" w:rsidP="00853044">
      <w:pPr>
        <w:pStyle w:val="FootnoteText"/>
        <w:tabs>
          <w:tab w:val="left" w:pos="426"/>
          <w:tab w:val="left" w:pos="720"/>
        </w:tabs>
        <w:spacing w:before="120" w:after="120"/>
        <w:ind w:right="-90"/>
        <w:rPr>
          <w:bCs w:val="0"/>
          <w:i/>
          <w:spacing w:val="-4"/>
          <w:lang w:val="en-US"/>
        </w:rPr>
      </w:pPr>
      <w:r w:rsidRPr="0079515C">
        <w:rPr>
          <w:rStyle w:val="FootnoteReference"/>
          <w:rFonts w:eastAsiaTheme="majorEastAsia"/>
          <w:spacing w:val="-4"/>
          <w:lang w:val="en-US"/>
        </w:rPr>
        <w:footnoteRef/>
      </w:r>
      <w:r w:rsidRPr="0079515C">
        <w:rPr>
          <w:bCs w:val="0"/>
          <w:i/>
          <w:spacing w:val="-4"/>
          <w:lang w:val="en-US"/>
        </w:rPr>
        <w:tab/>
      </w:r>
      <w:proofErr w:type="gramStart"/>
      <w:r w:rsidRPr="0079515C">
        <w:rPr>
          <w:i/>
          <w:spacing w:val="-4"/>
          <w:lang w:val="en-US"/>
        </w:rPr>
        <w:t xml:space="preserve">Cf. Case of </w:t>
      </w:r>
      <w:proofErr w:type="spellStart"/>
      <w:r w:rsidRPr="0079515C">
        <w:rPr>
          <w:i/>
          <w:spacing w:val="-4"/>
          <w:lang w:val="en-US"/>
        </w:rPr>
        <w:t>Ticona</w:t>
      </w:r>
      <w:proofErr w:type="spellEnd"/>
      <w:r w:rsidRPr="0079515C">
        <w:rPr>
          <w:i/>
          <w:spacing w:val="-4"/>
          <w:lang w:val="en-US"/>
        </w:rPr>
        <w:t xml:space="preserve"> Estrada v. Bolivia.</w:t>
      </w:r>
      <w:proofErr w:type="gramEnd"/>
      <w:r w:rsidRPr="0079515C">
        <w:rPr>
          <w:i/>
          <w:spacing w:val="-4"/>
          <w:lang w:val="en-US"/>
        </w:rPr>
        <w:t xml:space="preserve"> </w:t>
      </w:r>
      <w:proofErr w:type="gramStart"/>
      <w:r w:rsidRPr="0079515C">
        <w:rPr>
          <w:i/>
          <w:spacing w:val="-4"/>
          <w:lang w:val="en-US"/>
        </w:rPr>
        <w:t>Merits, reparations and costs</w:t>
      </w:r>
      <w:r w:rsidRPr="0079515C">
        <w:rPr>
          <w:spacing w:val="-4"/>
          <w:lang w:val="en-US"/>
        </w:rPr>
        <w:t>.</w:t>
      </w:r>
      <w:proofErr w:type="gramEnd"/>
      <w:r w:rsidRPr="0079515C">
        <w:rPr>
          <w:spacing w:val="-4"/>
          <w:lang w:val="en-US"/>
        </w:rPr>
        <w:t xml:space="preserve"> Judgment of November 27, 2008. Series C No. 191, para. </w:t>
      </w:r>
      <w:proofErr w:type="gramStart"/>
      <w:r w:rsidRPr="0079515C">
        <w:rPr>
          <w:spacing w:val="-4"/>
          <w:lang w:val="en-US"/>
        </w:rPr>
        <w:t>110,</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453.</w:t>
      </w:r>
    </w:p>
  </w:footnote>
  <w:footnote w:id="380">
    <w:p w14:paraId="5468460C" w14:textId="45EFC5B8" w:rsidR="002306C1" w:rsidRPr="0079515C" w:rsidRDefault="002306C1" w:rsidP="00853044">
      <w:pPr>
        <w:pStyle w:val="FootnoteText"/>
        <w:tabs>
          <w:tab w:val="left" w:pos="426"/>
          <w:tab w:val="left" w:pos="720"/>
        </w:tabs>
        <w:spacing w:before="120" w:after="120"/>
        <w:ind w:right="-9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Velásquez</w:t>
      </w:r>
      <w:proofErr w:type="spellEnd"/>
      <w:r w:rsidRPr="0079515C">
        <w:rPr>
          <w:i/>
          <w:spacing w:val="-4"/>
          <w:lang w:val="en-US"/>
        </w:rPr>
        <w:t xml:space="preserve"> Rodríguez v. Honduras.</w:t>
      </w:r>
      <w:proofErr w:type="gramEnd"/>
      <w:r w:rsidRPr="0079515C">
        <w:rPr>
          <w:i/>
          <w:spacing w:val="-4"/>
          <w:lang w:val="en-US"/>
        </w:rPr>
        <w:t xml:space="preserve"> </w:t>
      </w:r>
      <w:proofErr w:type="gramStart"/>
      <w:r w:rsidRPr="0079515C">
        <w:rPr>
          <w:i/>
          <w:spacing w:val="-4"/>
          <w:lang w:val="en-US"/>
        </w:rPr>
        <w:t>Reparations and costs, supra</w:t>
      </w:r>
      <w:r w:rsidRPr="0079515C">
        <w:rPr>
          <w:spacing w:val="-4"/>
          <w:lang w:val="en-US"/>
        </w:rPr>
        <w:t>, paras.</w:t>
      </w:r>
      <w:proofErr w:type="gramEnd"/>
      <w:r w:rsidRPr="0079515C">
        <w:rPr>
          <w:spacing w:val="-4"/>
          <w:lang w:val="en-US"/>
        </w:rPr>
        <w:t xml:space="preserve"> 25 to </w:t>
      </w:r>
      <w:proofErr w:type="gramStart"/>
      <w:r w:rsidRPr="0079515C">
        <w:rPr>
          <w:spacing w:val="-4"/>
          <w:lang w:val="en-US"/>
        </w:rPr>
        <w:t>27,</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454.</w:t>
      </w:r>
    </w:p>
  </w:footnote>
  <w:footnote w:id="381">
    <w:p w14:paraId="1891CEF3" w14:textId="68971CC8"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Case of </w:t>
      </w:r>
      <w:proofErr w:type="spellStart"/>
      <w:r w:rsidRPr="0079515C">
        <w:rPr>
          <w:i/>
          <w:spacing w:val="-4"/>
          <w:lang w:val="en-US"/>
        </w:rPr>
        <w:t>Cantoral</w:t>
      </w:r>
      <w:proofErr w:type="spellEnd"/>
      <w:r w:rsidRPr="0079515C">
        <w:rPr>
          <w:i/>
          <w:spacing w:val="-4"/>
          <w:lang w:val="en-US"/>
        </w:rPr>
        <w:t xml:space="preserve"> Benavides v. Peru.</w:t>
      </w:r>
      <w:proofErr w:type="gramEnd"/>
      <w:r w:rsidRPr="0079515C">
        <w:rPr>
          <w:i/>
          <w:spacing w:val="-4"/>
          <w:lang w:val="en-US"/>
        </w:rPr>
        <w:t xml:space="preserve"> </w:t>
      </w:r>
      <w:proofErr w:type="gramStart"/>
      <w:r w:rsidRPr="0079515C">
        <w:rPr>
          <w:i/>
          <w:spacing w:val="-4"/>
          <w:lang w:val="en-US"/>
        </w:rPr>
        <w:t>Reparations and costs, supra</w:t>
      </w:r>
      <w:r w:rsidRPr="0079515C">
        <w:rPr>
          <w:spacing w:val="-4"/>
          <w:lang w:val="en-US"/>
        </w:rPr>
        <w:t>,</w:t>
      </w:r>
      <w:r w:rsidRPr="0079515C">
        <w:rPr>
          <w:i/>
          <w:spacing w:val="-4"/>
          <w:lang w:val="en-US"/>
        </w:rPr>
        <w:t xml:space="preserve"> </w:t>
      </w:r>
      <w:r w:rsidRPr="0079515C">
        <w:rPr>
          <w:spacing w:val="-4"/>
          <w:lang w:val="en-US"/>
        </w:rPr>
        <w:t>para.</w:t>
      </w:r>
      <w:proofErr w:type="gramEnd"/>
      <w:r w:rsidRPr="0079515C">
        <w:rPr>
          <w:spacing w:val="-4"/>
          <w:lang w:val="en-US"/>
        </w:rPr>
        <w:t xml:space="preserve"> </w:t>
      </w:r>
      <w:proofErr w:type="gramStart"/>
      <w:r w:rsidRPr="0079515C">
        <w:rPr>
          <w:spacing w:val="-4"/>
          <w:lang w:val="en-US"/>
        </w:rPr>
        <w:t>79,</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466.</w:t>
      </w:r>
    </w:p>
    <w:p w14:paraId="2CBD0C68" w14:textId="77777777" w:rsidR="002306C1" w:rsidRPr="0079515C" w:rsidRDefault="002306C1" w:rsidP="00853044">
      <w:pPr>
        <w:pStyle w:val="FootnoteText"/>
        <w:tabs>
          <w:tab w:val="left" w:pos="426"/>
        </w:tabs>
        <w:spacing w:before="120" w:after="120"/>
        <w:rPr>
          <w:i/>
          <w:spacing w:val="-4"/>
          <w:lang w:val="en-US"/>
        </w:rPr>
      </w:pPr>
    </w:p>
  </w:footnote>
  <w:footnote w:id="382">
    <w:p w14:paraId="6B91BA3C" w14:textId="30BEC595"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Case of </w:t>
      </w:r>
      <w:proofErr w:type="spellStart"/>
      <w:r w:rsidRPr="0079515C">
        <w:rPr>
          <w:i/>
          <w:spacing w:val="-4"/>
          <w:lang w:val="en-US"/>
        </w:rPr>
        <w:t>Bámaca</w:t>
      </w:r>
      <w:proofErr w:type="spellEnd"/>
      <w:r w:rsidRPr="0079515C">
        <w:rPr>
          <w:i/>
          <w:spacing w:val="-4"/>
          <w:lang w:val="en-US"/>
        </w:rPr>
        <w:t xml:space="preserve"> </w:t>
      </w:r>
      <w:proofErr w:type="spellStart"/>
      <w:r w:rsidRPr="0079515C">
        <w:rPr>
          <w:i/>
          <w:spacing w:val="-4"/>
          <w:lang w:val="en-US"/>
        </w:rPr>
        <w:t>Velásquez</w:t>
      </w:r>
      <w:proofErr w:type="spellEnd"/>
      <w:r w:rsidRPr="0079515C">
        <w:rPr>
          <w:i/>
          <w:spacing w:val="-4"/>
          <w:lang w:val="en-US"/>
        </w:rPr>
        <w:t xml:space="preserve"> v. Guatemala.</w:t>
      </w:r>
      <w:proofErr w:type="gramEnd"/>
      <w:r w:rsidRPr="0079515C">
        <w:rPr>
          <w:i/>
          <w:spacing w:val="-4"/>
          <w:lang w:val="en-US"/>
        </w:rPr>
        <w:t xml:space="preserve"> </w:t>
      </w:r>
      <w:proofErr w:type="gramStart"/>
      <w:r w:rsidRPr="0079515C">
        <w:rPr>
          <w:i/>
          <w:spacing w:val="-4"/>
          <w:lang w:val="en-US"/>
        </w:rPr>
        <w:t>Reparations and costs</w:t>
      </w:r>
      <w:r w:rsidRPr="0079515C">
        <w:rPr>
          <w:spacing w:val="-4"/>
          <w:lang w:val="en-US"/>
        </w:rPr>
        <w:t>.</w:t>
      </w:r>
      <w:proofErr w:type="gramEnd"/>
      <w:r w:rsidRPr="0079515C">
        <w:rPr>
          <w:spacing w:val="-4"/>
          <w:lang w:val="en-US"/>
        </w:rPr>
        <w:t xml:space="preserve"> Judgment of February 22, 2002. Series C No. 91, para. </w:t>
      </w:r>
      <w:proofErr w:type="gramStart"/>
      <w:r w:rsidRPr="0079515C">
        <w:rPr>
          <w:spacing w:val="-4"/>
          <w:lang w:val="en-US"/>
        </w:rPr>
        <w:t>43,</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xml:space="preserve">, para. 286. </w:t>
      </w:r>
    </w:p>
  </w:footnote>
  <w:footnote w:id="383">
    <w:p w14:paraId="50A28270" w14:textId="71F40140"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Case of the “Street Children” (</w:t>
      </w:r>
      <w:proofErr w:type="spellStart"/>
      <w:r w:rsidRPr="0079515C">
        <w:rPr>
          <w:i/>
          <w:spacing w:val="-4"/>
          <w:lang w:val="en-US"/>
        </w:rPr>
        <w:t>Villagrán</w:t>
      </w:r>
      <w:proofErr w:type="spellEnd"/>
      <w:r w:rsidRPr="0079515C">
        <w:rPr>
          <w:i/>
          <w:spacing w:val="-4"/>
          <w:lang w:val="en-US"/>
        </w:rPr>
        <w:t xml:space="preserve"> Morales et al.).</w:t>
      </w:r>
      <w:proofErr w:type="gramEnd"/>
      <w:r w:rsidRPr="0079515C">
        <w:rPr>
          <w:i/>
          <w:spacing w:val="-4"/>
          <w:lang w:val="en-US"/>
        </w:rPr>
        <w:t xml:space="preserve"> </w:t>
      </w:r>
      <w:proofErr w:type="gramStart"/>
      <w:r w:rsidRPr="0079515C">
        <w:rPr>
          <w:i/>
          <w:spacing w:val="-4"/>
          <w:lang w:val="en-US"/>
        </w:rPr>
        <w:t>Reparations and costs</w:t>
      </w:r>
      <w:r w:rsidRPr="0079515C">
        <w:rPr>
          <w:spacing w:val="-4"/>
          <w:lang w:val="en-US"/>
        </w:rPr>
        <w:t>.</w:t>
      </w:r>
      <w:proofErr w:type="gramEnd"/>
      <w:r w:rsidRPr="0079515C">
        <w:rPr>
          <w:spacing w:val="-4"/>
          <w:lang w:val="en-US"/>
        </w:rPr>
        <w:t xml:space="preserve"> Judgment of May 26, 2001. Series C No. 77, para. </w:t>
      </w:r>
      <w:proofErr w:type="gramStart"/>
      <w:r w:rsidRPr="0079515C">
        <w:rPr>
          <w:spacing w:val="-4"/>
          <w:lang w:val="en-US"/>
        </w:rPr>
        <w:t>84,</w:t>
      </w:r>
      <w:proofErr w:type="gramEnd"/>
      <w:r w:rsidRPr="0079515C">
        <w:rPr>
          <w:spacing w:val="-4"/>
          <w:lang w:val="en-US"/>
        </w:rPr>
        <w:t xml:space="preserve"> and </w:t>
      </w:r>
      <w:r w:rsidRPr="0079515C">
        <w:rPr>
          <w:i/>
          <w:spacing w:val="-4"/>
          <w:lang w:val="en-US"/>
        </w:rPr>
        <w:t>Case of Argüelles et al. v. Argentina, supra</w:t>
      </w:r>
      <w:r w:rsidRPr="0079515C">
        <w:rPr>
          <w:spacing w:val="-4"/>
          <w:lang w:val="en-US"/>
        </w:rPr>
        <w:t>, para. 286.</w:t>
      </w:r>
    </w:p>
  </w:footnote>
  <w:footnote w:id="384">
    <w:p w14:paraId="0572D93C" w14:textId="757A989F"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Affidavit made by Wong Ho Wing on August 18, 2014 (evidence file, folio 6852).</w:t>
      </w:r>
    </w:p>
  </w:footnote>
  <w:footnote w:id="385">
    <w:p w14:paraId="22047E68" w14:textId="12B62C28"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Affidavit made by Kin </w:t>
      </w:r>
      <w:proofErr w:type="spellStart"/>
      <w:r w:rsidRPr="0079515C">
        <w:rPr>
          <w:spacing w:val="-4"/>
          <w:lang w:val="en-US"/>
        </w:rPr>
        <w:t>Mui</w:t>
      </w:r>
      <w:proofErr w:type="spellEnd"/>
      <w:r w:rsidRPr="0079515C">
        <w:rPr>
          <w:spacing w:val="-4"/>
          <w:lang w:val="en-US"/>
        </w:rPr>
        <w:t xml:space="preserve"> Chan on August 18, 2014 (evidence file, folios 6865 and 6866).</w:t>
      </w:r>
    </w:p>
  </w:footnote>
  <w:footnote w:id="386">
    <w:p w14:paraId="21722AAF" w14:textId="0675EFBB"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Lima and Callao Registry Office.</w:t>
      </w:r>
      <w:proofErr w:type="gramEnd"/>
      <w:r w:rsidRPr="0079515C">
        <w:rPr>
          <w:spacing w:val="-4"/>
          <w:lang w:val="en-US"/>
        </w:rPr>
        <w:t xml:space="preserve"> </w:t>
      </w:r>
      <w:proofErr w:type="gramStart"/>
      <w:r w:rsidRPr="0079515C">
        <w:rPr>
          <w:spacing w:val="-4"/>
          <w:lang w:val="en-US"/>
        </w:rPr>
        <w:t xml:space="preserve">Registration of </w:t>
      </w:r>
      <w:proofErr w:type="spellStart"/>
      <w:r w:rsidRPr="0079515C">
        <w:rPr>
          <w:i/>
          <w:spacing w:val="-4"/>
          <w:lang w:val="en-US"/>
        </w:rPr>
        <w:t>Sociedades</w:t>
      </w:r>
      <w:proofErr w:type="spellEnd"/>
      <w:r w:rsidRPr="0079515C">
        <w:rPr>
          <w:i/>
          <w:spacing w:val="-4"/>
          <w:lang w:val="en-US"/>
        </w:rPr>
        <w:t xml:space="preserve"> </w:t>
      </w:r>
      <w:proofErr w:type="spellStart"/>
      <w:r w:rsidRPr="0079515C">
        <w:rPr>
          <w:i/>
          <w:spacing w:val="-4"/>
          <w:lang w:val="en-US"/>
        </w:rPr>
        <w:t>Anónimas</w:t>
      </w:r>
      <w:proofErr w:type="spellEnd"/>
      <w:r w:rsidRPr="0079515C">
        <w:rPr>
          <w:i/>
          <w:spacing w:val="-4"/>
          <w:lang w:val="en-US"/>
        </w:rPr>
        <w:t xml:space="preserve"> </w:t>
      </w:r>
      <w:proofErr w:type="spellStart"/>
      <w:r w:rsidRPr="0079515C">
        <w:rPr>
          <w:i/>
          <w:spacing w:val="-4"/>
          <w:lang w:val="en-US"/>
        </w:rPr>
        <w:t>Inversiones</w:t>
      </w:r>
      <w:proofErr w:type="spellEnd"/>
      <w:r w:rsidRPr="0079515C">
        <w:rPr>
          <w:i/>
          <w:spacing w:val="-4"/>
          <w:lang w:val="en-US"/>
        </w:rPr>
        <w:t xml:space="preserve"> </w:t>
      </w:r>
      <w:proofErr w:type="spellStart"/>
      <w:r w:rsidRPr="0079515C">
        <w:rPr>
          <w:i/>
          <w:spacing w:val="-4"/>
          <w:lang w:val="en-US"/>
        </w:rPr>
        <w:t>Turísticas</w:t>
      </w:r>
      <w:proofErr w:type="spellEnd"/>
      <w:r w:rsidRPr="0079515C">
        <w:rPr>
          <w:i/>
          <w:spacing w:val="-4"/>
          <w:lang w:val="en-US"/>
        </w:rPr>
        <w:t xml:space="preserve"> Maury SAC</w:t>
      </w:r>
      <w:r w:rsidRPr="0079515C">
        <w:rPr>
          <w:spacing w:val="-4"/>
          <w:lang w:val="en-US"/>
        </w:rPr>
        <w:t>, of June 7, 1999 (evidence file, folio 6129).</w:t>
      </w:r>
      <w:proofErr w:type="gramEnd"/>
    </w:p>
  </w:footnote>
  <w:footnote w:id="387">
    <w:p w14:paraId="33DC3951" w14:textId="18319A55"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Affidavit made by Wong Ho Wing on August 18, 2014 (evidence file, folio 6851).</w:t>
      </w:r>
    </w:p>
  </w:footnote>
  <w:footnote w:id="388">
    <w:p w14:paraId="228FA5AE" w14:textId="54ED05C4"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spacing w:val="-4"/>
          <w:lang w:val="en-US"/>
        </w:rPr>
        <w:t xml:space="preserve">Expert opinion of Carmen </w:t>
      </w:r>
      <w:proofErr w:type="spellStart"/>
      <w:r w:rsidRPr="0079515C">
        <w:rPr>
          <w:spacing w:val="-4"/>
          <w:lang w:val="en-US"/>
        </w:rPr>
        <w:t>Wurst</w:t>
      </w:r>
      <w:proofErr w:type="spellEnd"/>
      <w:r w:rsidRPr="0079515C">
        <w:rPr>
          <w:spacing w:val="-4"/>
          <w:lang w:val="en-US"/>
        </w:rPr>
        <w:t xml:space="preserve"> provided by affidavit on August 18, 2014</w:t>
      </w:r>
      <w:r w:rsidRPr="0079515C">
        <w:rPr>
          <w:i/>
          <w:spacing w:val="-4"/>
          <w:lang w:val="en-US"/>
        </w:rPr>
        <w:t xml:space="preserve"> </w:t>
      </w:r>
      <w:r w:rsidRPr="0079515C">
        <w:rPr>
          <w:spacing w:val="-4"/>
          <w:lang w:val="en-US"/>
        </w:rPr>
        <w:t>(evidence file, folios 6885 and 6886).</w:t>
      </w:r>
      <w:proofErr w:type="gramEnd"/>
    </w:p>
  </w:footnote>
  <w:footnote w:id="389">
    <w:p w14:paraId="7BD3C219" w14:textId="0877555D"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39093A">
        <w:rPr>
          <w:spacing w:val="-4"/>
        </w:rPr>
        <w:t xml:space="preserve"> </w:t>
      </w:r>
      <w:r w:rsidRPr="0039093A">
        <w:rPr>
          <w:i/>
          <w:spacing w:val="-4"/>
        </w:rPr>
        <w:tab/>
        <w:t xml:space="preserve">Cf. Case of Velásquez Rodríguez v. Honduras. </w:t>
      </w:r>
      <w:proofErr w:type="gramStart"/>
      <w:r w:rsidRPr="0079515C">
        <w:rPr>
          <w:i/>
          <w:spacing w:val="-4"/>
          <w:lang w:val="en-US"/>
        </w:rPr>
        <w:t>Reparations and costs, supra</w:t>
      </w:r>
      <w:r w:rsidRPr="0079515C">
        <w:rPr>
          <w:spacing w:val="-4"/>
          <w:lang w:val="en-US"/>
        </w:rPr>
        <w:t>, para.</w:t>
      </w:r>
      <w:proofErr w:type="gramEnd"/>
      <w:r w:rsidRPr="0079515C">
        <w:rPr>
          <w:spacing w:val="-4"/>
          <w:lang w:val="en-US"/>
        </w:rPr>
        <w:t xml:space="preserve"> </w:t>
      </w:r>
      <w:proofErr w:type="gramStart"/>
      <w:r w:rsidRPr="0079515C">
        <w:rPr>
          <w:spacing w:val="-4"/>
          <w:lang w:val="en-US"/>
        </w:rPr>
        <w:t>42,</w:t>
      </w:r>
      <w:proofErr w:type="gramEnd"/>
      <w:r w:rsidRPr="0079515C">
        <w:rPr>
          <w:spacing w:val="-4"/>
          <w:lang w:val="en-US"/>
        </w:rPr>
        <w:t xml:space="preserve"> and </w:t>
      </w:r>
      <w:r w:rsidRPr="0079515C">
        <w:rPr>
          <w:i/>
          <w:spacing w:val="-4"/>
          <w:lang w:val="en-US"/>
        </w:rPr>
        <w:t>Case of Cruz Sánchez et al. v. Peru, supra</w:t>
      </w:r>
      <w:r w:rsidRPr="0079515C">
        <w:rPr>
          <w:spacing w:val="-4"/>
          <w:lang w:val="en-US"/>
        </w:rPr>
        <w:t>, para. 488.</w:t>
      </w:r>
    </w:p>
  </w:footnote>
  <w:footnote w:id="390">
    <w:p w14:paraId="05CA3AA3" w14:textId="3D908F40"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Contract for professional services (evidence file, folios 6083 and 6084). </w:t>
      </w:r>
    </w:p>
  </w:footnote>
  <w:footnote w:id="391">
    <w:p w14:paraId="3A3834F0" w14:textId="16E534FB"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proofErr w:type="gramStart"/>
      <w:r w:rsidRPr="0079515C">
        <w:rPr>
          <w:i/>
          <w:spacing w:val="-4"/>
          <w:lang w:val="en-US"/>
        </w:rPr>
        <w:t xml:space="preserve">Cf. </w:t>
      </w:r>
      <w:r w:rsidRPr="0079515C">
        <w:rPr>
          <w:spacing w:val="-4"/>
          <w:lang w:val="en-US"/>
        </w:rPr>
        <w:t>Mailing correspondence to the Inter-American Commission (evidence file, folio 6201).</w:t>
      </w:r>
      <w:proofErr w:type="gramEnd"/>
    </w:p>
  </w:footnote>
  <w:footnote w:id="392">
    <w:p w14:paraId="1953BE18" w14:textId="6767888E"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Payment of airline tickets to Costa Rica for the </w:t>
      </w:r>
      <w:r>
        <w:rPr>
          <w:spacing w:val="-4"/>
          <w:lang w:val="en-US"/>
        </w:rPr>
        <w:t>immediate</w:t>
      </w:r>
      <w:r w:rsidRPr="0079515C">
        <w:rPr>
          <w:spacing w:val="-4"/>
          <w:lang w:val="en-US"/>
        </w:rPr>
        <w:t xml:space="preserve"> family of Wong Ho Wing to take part in the hearing before the Inter-American Court of Human Rights in February 2011 (evidence file, folios 6202 and 6203). </w:t>
      </w:r>
    </w:p>
  </w:footnote>
  <w:footnote w:id="393">
    <w:p w14:paraId="3CB06F91" w14:textId="0DADB0C8"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Accommodation in Washington D.C. to participate in a hearing before the Inter-American Commission on Human Rights in October 2010 (evidence file, folios 6204 to 6209).</w:t>
      </w:r>
    </w:p>
  </w:footnote>
  <w:footnote w:id="394">
    <w:p w14:paraId="57B4E724" w14:textId="1BA7ECFD"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Payment of airline tickets to Washington D.C. for Wong Ho Wing</w:t>
      </w:r>
      <w:r>
        <w:rPr>
          <w:spacing w:val="-4"/>
          <w:lang w:val="en-US"/>
        </w:rPr>
        <w:t>’s family</w:t>
      </w:r>
      <w:r w:rsidRPr="0079515C">
        <w:rPr>
          <w:spacing w:val="-4"/>
          <w:lang w:val="en-US"/>
        </w:rPr>
        <w:t xml:space="preserve"> to take part in a hearing before the Inter-American Commission on Human Rights in March and October 2010 (evidence file, folios 6210 to 6214).</w:t>
      </w:r>
    </w:p>
  </w:footnote>
  <w:footnote w:id="395">
    <w:p w14:paraId="52142545" w14:textId="55098E38"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Accommodation in Washington D.C. for Wong Ho Wing’s brother to take part in a hearing before the Inter-American Commission in March 2012 (evidence file, folio 6217).</w:t>
      </w:r>
    </w:p>
  </w:footnote>
  <w:footnote w:id="396">
    <w:p w14:paraId="69E6B60F" w14:textId="294C7FD4"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Payment of airline tickets to Lima for Wong Ho Wing’s family (evidence file, folios 6218 to 6221).</w:t>
      </w:r>
    </w:p>
  </w:footnote>
  <w:footnote w:id="397">
    <w:p w14:paraId="52E3502A" w14:textId="1BB204D3"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Receipt No. 001047 for professional honoraria of the lawyer, Luis Alberto Lamas </w:t>
      </w:r>
      <w:proofErr w:type="spellStart"/>
      <w:r w:rsidRPr="0079515C">
        <w:rPr>
          <w:spacing w:val="-4"/>
          <w:lang w:val="en-US"/>
        </w:rPr>
        <w:t>Puccio</w:t>
      </w:r>
      <w:proofErr w:type="spellEnd"/>
      <w:r w:rsidRPr="0079515C">
        <w:rPr>
          <w:spacing w:val="-4"/>
          <w:lang w:val="en-US"/>
        </w:rPr>
        <w:t>, dated October 3, 2014 (evidence file, folio 7110.2).</w:t>
      </w:r>
    </w:p>
  </w:footnote>
  <w:footnote w:id="398">
    <w:p w14:paraId="7587389E" w14:textId="62510CCB"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Receipt No. 000707</w:t>
      </w:r>
      <w:r w:rsidRPr="00EF13DB">
        <w:rPr>
          <w:spacing w:val="-4"/>
          <w:lang w:val="en-US"/>
        </w:rPr>
        <w:t xml:space="preserve"> </w:t>
      </w:r>
      <w:r w:rsidRPr="0079515C">
        <w:rPr>
          <w:spacing w:val="-4"/>
          <w:lang w:val="en-US"/>
        </w:rPr>
        <w:t>for expert psychological opinion dated September 22, 2014 (evidence file, folio 7087).</w:t>
      </w:r>
    </w:p>
  </w:footnote>
  <w:footnote w:id="399">
    <w:p w14:paraId="5F93EBAD" w14:textId="17139476"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Pr>
          <w:spacing w:val="-4"/>
          <w:lang w:val="en-US"/>
        </w:rPr>
        <w:t>Re</w:t>
      </w:r>
      <w:r w:rsidRPr="0079515C">
        <w:rPr>
          <w:spacing w:val="-4"/>
          <w:lang w:val="en-US"/>
        </w:rPr>
        <w:t>ceipt No. 001079 for professional honoraria dated October 1, 2014 (evidence file, folio 7075).</w:t>
      </w:r>
    </w:p>
  </w:footnote>
  <w:footnote w:id="400">
    <w:p w14:paraId="48C52370" w14:textId="1D1A577E"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r>
      <w:r w:rsidRPr="0079515C">
        <w:rPr>
          <w:i/>
          <w:spacing w:val="-4"/>
          <w:lang w:val="en-US"/>
        </w:rPr>
        <w:t xml:space="preserve">Cf. </w:t>
      </w:r>
      <w:r w:rsidRPr="0079515C">
        <w:rPr>
          <w:spacing w:val="-4"/>
          <w:lang w:val="en-US"/>
        </w:rPr>
        <w:t xml:space="preserve">DHL service for correspondence between Mercedes Esther Wong </w:t>
      </w:r>
      <w:proofErr w:type="spellStart"/>
      <w:r w:rsidRPr="0079515C">
        <w:rPr>
          <w:spacing w:val="-4"/>
          <w:lang w:val="en-US"/>
        </w:rPr>
        <w:t>Alza</w:t>
      </w:r>
      <w:proofErr w:type="spellEnd"/>
      <w:r w:rsidRPr="0079515C">
        <w:rPr>
          <w:spacing w:val="-4"/>
          <w:lang w:val="en-US"/>
        </w:rPr>
        <w:t xml:space="preserve"> and </w:t>
      </w:r>
      <w:proofErr w:type="spellStart"/>
      <w:r w:rsidRPr="0079515C">
        <w:rPr>
          <w:spacing w:val="-4"/>
          <w:lang w:val="en-US"/>
        </w:rPr>
        <w:t>Kinmui</w:t>
      </w:r>
      <w:proofErr w:type="spellEnd"/>
      <w:r w:rsidRPr="0079515C">
        <w:rPr>
          <w:spacing w:val="-4"/>
          <w:lang w:val="en-US"/>
        </w:rPr>
        <w:t xml:space="preserve"> Chan on May 19, 2014 (evidence file, folio 7071).</w:t>
      </w:r>
    </w:p>
  </w:footnote>
  <w:footnote w:id="401">
    <w:p w14:paraId="4DED667D" w14:textId="0BBE49BD"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In addition, the Court will not take into account the following evidence presented belatedly by the representative with the final written arguments: </w:t>
      </w:r>
      <w:r>
        <w:rPr>
          <w:spacing w:val="-4"/>
          <w:lang w:val="en-US"/>
        </w:rPr>
        <w:t>airfares</w:t>
      </w:r>
      <w:r w:rsidRPr="0079515C">
        <w:rPr>
          <w:spacing w:val="-4"/>
          <w:lang w:val="en-US"/>
        </w:rPr>
        <w:t xml:space="preserve"> in the name of Huang He dated May 22, 2010, from Lima to Los Angeles and June 6, 2010, from Los Angeles to Lima (evidence file, folio 7055); </w:t>
      </w:r>
      <w:r>
        <w:rPr>
          <w:spacing w:val="-4"/>
          <w:lang w:val="en-US"/>
        </w:rPr>
        <w:t>airfares</w:t>
      </w:r>
      <w:r w:rsidRPr="0079515C">
        <w:rPr>
          <w:spacing w:val="-4"/>
          <w:lang w:val="en-US"/>
        </w:rPr>
        <w:t xml:space="preserve"> in the name of Huang He dated May 23, 2010, from Los Angeles to Guangzhou, China, and June 4, 2010, from Guangzhou, China, to Los Angeles (evidence file, folio 7057); plane tickets in the name of Huang He Long dated May 25, 2011, to Lima</w:t>
      </w:r>
      <w:r>
        <w:rPr>
          <w:spacing w:val="-4"/>
          <w:lang w:val="en-US"/>
        </w:rPr>
        <w:t>,</w:t>
      </w:r>
      <w:r w:rsidRPr="0079515C">
        <w:rPr>
          <w:spacing w:val="-4"/>
          <w:lang w:val="en-US"/>
        </w:rPr>
        <w:t xml:space="preserve"> Peru, from Los Angeles (evidence file, folio 7058); plane ticket in the name of Huang He Long dated August 7, 2012, from Lima to Los Angeles and from Los Angeles to Lima; plane ticket in the name of Huang He Long dated June 18, 2013, from Lima to Los Angeles and from Los Angeles to Lima (evidence file, folio 7060); receipt for payment of October 29, 2008, to Rivera, </w:t>
      </w:r>
      <w:proofErr w:type="spellStart"/>
      <w:r w:rsidRPr="0079515C">
        <w:rPr>
          <w:spacing w:val="-4"/>
          <w:lang w:val="en-US"/>
        </w:rPr>
        <w:t>Gervasi</w:t>
      </w:r>
      <w:proofErr w:type="spellEnd"/>
      <w:r w:rsidRPr="0079515C">
        <w:rPr>
          <w:spacing w:val="-4"/>
          <w:lang w:val="en-US"/>
        </w:rPr>
        <w:t xml:space="preserve"> &amp; </w:t>
      </w:r>
      <w:proofErr w:type="spellStart"/>
      <w:r w:rsidRPr="0079515C">
        <w:rPr>
          <w:spacing w:val="-4"/>
          <w:lang w:val="en-US"/>
        </w:rPr>
        <w:t>Asociados</w:t>
      </w:r>
      <w:proofErr w:type="spellEnd"/>
      <w:r w:rsidRPr="0079515C">
        <w:rPr>
          <w:spacing w:val="-4"/>
          <w:lang w:val="en-US"/>
        </w:rPr>
        <w:t xml:space="preserve"> for legal advisory services (evidence file, folio 7062); receipt dated December 28, 2010, for payment of professional honoraria of Luis Alberto Lamas </w:t>
      </w:r>
      <w:proofErr w:type="spellStart"/>
      <w:r w:rsidRPr="0079515C">
        <w:rPr>
          <w:spacing w:val="-4"/>
          <w:lang w:val="en-US"/>
        </w:rPr>
        <w:t>Puccio</w:t>
      </w:r>
      <w:proofErr w:type="spellEnd"/>
      <w:r w:rsidRPr="0079515C">
        <w:rPr>
          <w:spacing w:val="-4"/>
          <w:lang w:val="en-US"/>
        </w:rPr>
        <w:t xml:space="preserve"> for legal advisory services in  2010 (evidence file, folio 7063); receipt dated September 30, 2011, for payment of professional honoraria of Luis Alberto Lamas </w:t>
      </w:r>
      <w:proofErr w:type="spellStart"/>
      <w:r w:rsidRPr="0079515C">
        <w:rPr>
          <w:spacing w:val="-4"/>
          <w:lang w:val="en-US"/>
        </w:rPr>
        <w:t>Puccio</w:t>
      </w:r>
      <w:proofErr w:type="spellEnd"/>
      <w:r w:rsidRPr="0079515C">
        <w:rPr>
          <w:spacing w:val="-4"/>
          <w:lang w:val="en-US"/>
        </w:rPr>
        <w:t xml:space="preserve"> for legal advisory and defense services (evidence file, folio 7064); receipts for payments dated September 2 and October 2, 2013, to </w:t>
      </w:r>
      <w:proofErr w:type="spellStart"/>
      <w:r w:rsidRPr="0079515C">
        <w:rPr>
          <w:i/>
          <w:spacing w:val="-4"/>
          <w:lang w:val="en-US"/>
        </w:rPr>
        <w:t>Consorcio</w:t>
      </w:r>
      <w:proofErr w:type="spellEnd"/>
      <w:r w:rsidRPr="0079515C">
        <w:rPr>
          <w:i/>
          <w:spacing w:val="-4"/>
          <w:lang w:val="en-US"/>
        </w:rPr>
        <w:t xml:space="preserve"> Trial S.A.C. </w:t>
      </w:r>
      <w:r w:rsidRPr="0079515C">
        <w:rPr>
          <w:spacing w:val="-4"/>
          <w:lang w:val="en-US"/>
        </w:rPr>
        <w:t xml:space="preserve">for legal advisory services (evidence file, folios 7065-7066), and </w:t>
      </w:r>
      <w:r>
        <w:rPr>
          <w:spacing w:val="-4"/>
          <w:lang w:val="en-US"/>
        </w:rPr>
        <w:t>invoices</w:t>
      </w:r>
      <w:r w:rsidRPr="0079515C">
        <w:rPr>
          <w:spacing w:val="-4"/>
          <w:lang w:val="en-US"/>
        </w:rPr>
        <w:t xml:space="preserve"> for sending correspondence from Lima, Peru, to the Inter-American Commission dated January 6, 21 and 30, February 17 and 29, March 6 and November 24, 2012, and March 30 and September 3, 2013 (evidence file, folios 7077 to 7085).</w:t>
      </w:r>
    </w:p>
  </w:footnote>
  <w:footnote w:id="402">
    <w:p w14:paraId="2781AB58" w14:textId="29EBE37A"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79515C">
        <w:rPr>
          <w:spacing w:val="-4"/>
          <w:lang w:val="en-US"/>
        </w:rPr>
        <w:t xml:space="preserve"> </w:t>
      </w:r>
      <w:r w:rsidRPr="0079515C">
        <w:rPr>
          <w:spacing w:val="-4"/>
          <w:lang w:val="en-US"/>
        </w:rPr>
        <w:tab/>
        <w:t xml:space="preserve">The amounts presented in Peruvian new soles were converted to United States dollars using the bank exchange rate in force at the time of the payment receipt. </w:t>
      </w:r>
      <w:r w:rsidRPr="0079515C">
        <w:rPr>
          <w:i/>
          <w:spacing w:val="-4"/>
          <w:lang w:val="en-US"/>
        </w:rPr>
        <w:t xml:space="preserve">Cf. </w:t>
      </w:r>
      <w:r w:rsidRPr="0079515C">
        <w:rPr>
          <w:spacing w:val="-4"/>
          <w:lang w:val="en-US"/>
        </w:rPr>
        <w:t xml:space="preserve">Ministry of Economy and Finance of Peru, </w:t>
      </w:r>
      <w:hyperlink r:id="rId103" w:history="1">
        <w:r w:rsidRPr="0079515C">
          <w:rPr>
            <w:rStyle w:val="Hyperlink"/>
            <w:spacing w:val="-4"/>
            <w:lang w:val="en-US"/>
          </w:rPr>
          <w:t xml:space="preserve">http://www.mef.gob.pe/contenidos/ </w:t>
        </w:r>
        <w:proofErr w:type="spellStart"/>
        <w:r w:rsidRPr="0079515C">
          <w:rPr>
            <w:rStyle w:val="Hyperlink"/>
            <w:spacing w:val="-4"/>
            <w:lang w:val="en-US"/>
          </w:rPr>
          <w:t>tipo_cambio</w:t>
        </w:r>
        <w:proofErr w:type="spellEnd"/>
        <w:r w:rsidRPr="0079515C">
          <w:rPr>
            <w:rStyle w:val="Hyperlink"/>
            <w:spacing w:val="-4"/>
            <w:lang w:val="en-US"/>
          </w:rPr>
          <w:t>/</w:t>
        </w:r>
        <w:proofErr w:type="spellStart"/>
        <w:r w:rsidRPr="0079515C">
          <w:rPr>
            <w:rStyle w:val="Hyperlink"/>
            <w:spacing w:val="-4"/>
            <w:lang w:val="en-US"/>
          </w:rPr>
          <w:t>tipo_cambio.php</w:t>
        </w:r>
        <w:proofErr w:type="spellEnd"/>
      </w:hyperlink>
      <w:r w:rsidRPr="0079515C">
        <w:rPr>
          <w:spacing w:val="-4"/>
          <w:lang w:val="en-US"/>
        </w:rPr>
        <w:t xml:space="preserve"> </w:t>
      </w:r>
    </w:p>
  </w:footnote>
  <w:footnote w:id="403">
    <w:p w14:paraId="349711F5" w14:textId="27EC1FE0" w:rsidR="002306C1" w:rsidRPr="0079515C" w:rsidRDefault="002306C1" w:rsidP="00853044">
      <w:pPr>
        <w:pStyle w:val="FootnoteText"/>
        <w:tabs>
          <w:tab w:val="left" w:pos="426"/>
        </w:tabs>
        <w:spacing w:before="120" w:after="120"/>
        <w:rPr>
          <w:spacing w:val="-4"/>
          <w:lang w:val="en-US"/>
        </w:rPr>
      </w:pPr>
      <w:r w:rsidRPr="0079515C">
        <w:rPr>
          <w:rStyle w:val="FootnoteReference"/>
          <w:rFonts w:eastAsiaTheme="majorEastAsia"/>
          <w:spacing w:val="-4"/>
          <w:lang w:val="en-US"/>
        </w:rPr>
        <w:footnoteRef/>
      </w:r>
      <w:r w:rsidRPr="0039093A">
        <w:rPr>
          <w:spacing w:val="-4"/>
        </w:rPr>
        <w:t xml:space="preserve"> </w:t>
      </w:r>
      <w:r w:rsidRPr="0039093A">
        <w:rPr>
          <w:spacing w:val="-4"/>
        </w:rPr>
        <w:tab/>
      </w:r>
      <w:r w:rsidRPr="0039093A">
        <w:rPr>
          <w:i/>
          <w:spacing w:val="-4"/>
        </w:rPr>
        <w:t xml:space="preserve">Cf. Case of </w:t>
      </w:r>
      <w:proofErr w:type="spellStart"/>
      <w:r w:rsidRPr="0039093A">
        <w:rPr>
          <w:i/>
          <w:spacing w:val="-4"/>
        </w:rPr>
        <w:t>Ibsen</w:t>
      </w:r>
      <w:proofErr w:type="spellEnd"/>
      <w:r w:rsidRPr="0039093A">
        <w:rPr>
          <w:i/>
          <w:spacing w:val="-4"/>
        </w:rPr>
        <w:t xml:space="preserve"> Cárdenas e </w:t>
      </w:r>
      <w:proofErr w:type="spellStart"/>
      <w:r w:rsidRPr="0039093A">
        <w:rPr>
          <w:i/>
          <w:spacing w:val="-4"/>
        </w:rPr>
        <w:t>Ibsen</w:t>
      </w:r>
      <w:proofErr w:type="spellEnd"/>
      <w:r w:rsidRPr="0039093A">
        <w:rPr>
          <w:i/>
          <w:spacing w:val="-4"/>
        </w:rPr>
        <w:t xml:space="preserve"> Peña v. Bolivia. </w:t>
      </w:r>
      <w:proofErr w:type="gramStart"/>
      <w:r w:rsidRPr="0079515C">
        <w:rPr>
          <w:i/>
          <w:spacing w:val="-4"/>
          <w:lang w:val="en-US"/>
        </w:rPr>
        <w:t>Merits, reparations and costs.</w:t>
      </w:r>
      <w:proofErr w:type="gramEnd"/>
      <w:r w:rsidRPr="0079515C">
        <w:rPr>
          <w:i/>
          <w:spacing w:val="-4"/>
          <w:lang w:val="en-US"/>
        </w:rPr>
        <w:t xml:space="preserve"> </w:t>
      </w:r>
      <w:r w:rsidRPr="0079515C">
        <w:rPr>
          <w:spacing w:val="-4"/>
          <w:lang w:val="en-US"/>
        </w:rPr>
        <w:t xml:space="preserve">Judgment of September 1, 2010. Series C No. 217, para. </w:t>
      </w:r>
      <w:proofErr w:type="gramStart"/>
      <w:r w:rsidRPr="0079515C">
        <w:rPr>
          <w:spacing w:val="-4"/>
          <w:lang w:val="en-US"/>
        </w:rPr>
        <w:t>291,</w:t>
      </w:r>
      <w:proofErr w:type="gramEnd"/>
      <w:r w:rsidRPr="0079515C">
        <w:rPr>
          <w:spacing w:val="-4"/>
          <w:lang w:val="en-US"/>
        </w:rPr>
        <w:t xml:space="preserve"> and </w:t>
      </w:r>
      <w:r w:rsidRPr="0079515C">
        <w:rPr>
          <w:rStyle w:val="Strong"/>
          <w:b w:val="0"/>
          <w:i/>
          <w:color w:val="000000"/>
          <w:spacing w:val="-4"/>
          <w:shd w:val="clear" w:color="auto" w:fill="FFFFFF"/>
          <w:lang w:val="en-US"/>
        </w:rPr>
        <w:t>Case of Rodríguez Vera et al. (The Disappeared of the Palace of Justice) v. Colombia, supra</w:t>
      </w:r>
      <w:r w:rsidRPr="0079515C">
        <w:rPr>
          <w:rStyle w:val="Strong"/>
          <w:b w:val="0"/>
          <w:color w:val="000000"/>
          <w:spacing w:val="-4"/>
          <w:shd w:val="clear" w:color="auto" w:fill="FFFFFF"/>
          <w:lang w:val="en-US"/>
        </w:rPr>
        <w:t>, para. 608.</w:t>
      </w:r>
    </w:p>
  </w:footnote>
  <w:footnote w:id="404">
    <w:p w14:paraId="338F94FC" w14:textId="77777777" w:rsidR="000F66F8" w:rsidRPr="00FC760E" w:rsidRDefault="000F66F8" w:rsidP="000F66F8">
      <w:pPr>
        <w:pStyle w:val="PrrafodeSentencia"/>
        <w:numPr>
          <w:ilvl w:val="0"/>
          <w:numId w:val="0"/>
        </w:numPr>
        <w:tabs>
          <w:tab w:val="left" w:pos="450"/>
          <w:tab w:val="left" w:pos="540"/>
        </w:tabs>
        <w:spacing w:after="120"/>
        <w:rPr>
          <w:spacing w:val="-2"/>
          <w:sz w:val="16"/>
          <w:szCs w:val="16"/>
          <w:lang w:val="en-US"/>
        </w:rPr>
      </w:pPr>
      <w:r w:rsidRPr="00FC760E">
        <w:rPr>
          <w:rStyle w:val="FootnoteReference"/>
          <w:sz w:val="16"/>
          <w:szCs w:val="16"/>
          <w:lang w:val="en-US"/>
        </w:rPr>
        <w:footnoteRef/>
      </w:r>
      <w:r w:rsidRPr="00FC760E">
        <w:rPr>
          <w:sz w:val="16"/>
          <w:szCs w:val="16"/>
          <w:lang w:val="en-US"/>
        </w:rPr>
        <w:t xml:space="preserve"> </w:t>
      </w:r>
      <w:r w:rsidRPr="00FC760E">
        <w:rPr>
          <w:sz w:val="16"/>
          <w:szCs w:val="16"/>
          <w:lang w:val="en-US"/>
        </w:rPr>
        <w:tab/>
      </w:r>
      <w:r w:rsidRPr="00FC760E">
        <w:rPr>
          <w:spacing w:val="-2"/>
          <w:sz w:val="16"/>
          <w:szCs w:val="16"/>
          <w:lang w:val="en-US"/>
        </w:rPr>
        <w:t xml:space="preserve">On February 24, 2010, the Inter-American Commission, during the proceedings before this organ, asked the Court to adopt provisional measures in favor of Wong Ho Wing. The measures were granted for the first time in May 2010. Following orders of November 26, 2010, and March 4 and July 1, 2011, extending their effects, they were lifted in October 2011, after the decision of the Peruvian Constitutional Court of May 24 that year ordering the Executive Branch to refrain from extraditing Wong Ho Wing. Nevertheless, on June 26, 2012, the Inter-American Court again granted provisional measures in favor of Wong Ho Wing due to “the State’s uncertainty” about the possibility of extraditing him, based on presumed “new facts.” These measures were maintained by orders dated December 6, 2012, February 13, May 22 and August 22, 2013, and January 29 and March 31, 2014. In both May 2010 and June 2012, the provisional measures were </w:t>
      </w:r>
      <w:r w:rsidRPr="00FC760E">
        <w:rPr>
          <w:i/>
          <w:spacing w:val="-2"/>
          <w:sz w:val="16"/>
          <w:szCs w:val="16"/>
          <w:lang w:val="en-US"/>
        </w:rPr>
        <w:t>ordered to allow the inter-American system to examine and rule on this case, as well as to prevent thwarting compliance with an eventual decision by its organs</w:t>
      </w:r>
      <w:r w:rsidRPr="00FC760E">
        <w:rPr>
          <w:spacing w:val="-2"/>
          <w:sz w:val="16"/>
          <w:szCs w:val="16"/>
          <w:lang w:val="en-US"/>
        </w:rPr>
        <w:t xml:space="preserve">. </w:t>
      </w:r>
      <w:r w:rsidRPr="00FC760E">
        <w:rPr>
          <w:i/>
          <w:spacing w:val="-2"/>
          <w:sz w:val="16"/>
          <w:szCs w:val="16"/>
          <w:lang w:val="en-US"/>
        </w:rPr>
        <w:t>Based on the orders of January and March 2014, the measures remain in force”</w:t>
      </w:r>
      <w:r w:rsidRPr="00FC760E">
        <w:rPr>
          <w:sz w:val="16"/>
          <w:szCs w:val="16"/>
          <w:lang w:val="en-US"/>
        </w:rPr>
        <w:t xml:space="preserve"> (italics added).</w:t>
      </w:r>
    </w:p>
  </w:footnote>
  <w:footnote w:id="405">
    <w:p w14:paraId="277CFDD2" w14:textId="77777777" w:rsidR="000F66F8" w:rsidRPr="005C7A0A" w:rsidRDefault="000F66F8" w:rsidP="000F66F8">
      <w:pPr>
        <w:pStyle w:val="NormalWeb"/>
        <w:tabs>
          <w:tab w:val="left" w:pos="450"/>
          <w:tab w:val="left" w:pos="540"/>
        </w:tabs>
        <w:spacing w:before="0" w:beforeAutospacing="0" w:after="120" w:afterAutospacing="0"/>
        <w:jc w:val="both"/>
        <w:rPr>
          <w:rFonts w:ascii="Verdana" w:hAnsi="Verdana" w:cs="Calibri"/>
          <w:sz w:val="16"/>
          <w:szCs w:val="16"/>
          <w:lang w:val="en-US" w:eastAsia="es-CL"/>
        </w:rPr>
      </w:pPr>
      <w:r w:rsidRPr="005C7A0A">
        <w:rPr>
          <w:rStyle w:val="FootnoteReference"/>
          <w:rFonts w:ascii="Verdana" w:hAnsi="Verdana" w:cs="Verdana"/>
          <w:bCs/>
          <w:sz w:val="16"/>
          <w:szCs w:val="16"/>
          <w:lang w:val="en-US"/>
        </w:rPr>
        <w:footnoteRef/>
      </w:r>
      <w:r w:rsidRPr="005C7A0A">
        <w:rPr>
          <w:rStyle w:val="FootnoteReference"/>
          <w:rFonts w:ascii="Verdana" w:hAnsi="Verdana" w:cs="Verdana"/>
          <w:bCs/>
          <w:sz w:val="16"/>
          <w:szCs w:val="16"/>
          <w:lang w:val="en-US"/>
        </w:rPr>
        <w:t xml:space="preserve"> </w:t>
      </w:r>
      <w:r w:rsidRPr="005C7A0A">
        <w:rPr>
          <w:rFonts w:ascii="Verdana" w:hAnsi="Verdana" w:cs="Calibri"/>
          <w:sz w:val="16"/>
          <w:szCs w:val="16"/>
          <w:lang w:val="en-US" w:eastAsia="es-CL"/>
        </w:rPr>
        <w:tab/>
        <w:t>Article 66(2) of the American Convention on Human Rights (hereinafter “the Convention”): “</w:t>
      </w:r>
      <w:r w:rsidRPr="005C7A0A">
        <w:rPr>
          <w:rFonts w:ascii="Verdana" w:hAnsi="Verdana" w:cs="Calibri"/>
          <w:i/>
          <w:sz w:val="16"/>
          <w:szCs w:val="16"/>
          <w:lang w:val="en-US" w:eastAsia="es-CL"/>
        </w:rPr>
        <w:t>[</w:t>
      </w:r>
      <w:proofErr w:type="spellStart"/>
      <w:r w:rsidRPr="005C7A0A">
        <w:rPr>
          <w:rFonts w:ascii="Verdana" w:hAnsi="Verdana" w:cs="Calibri"/>
          <w:i/>
          <w:sz w:val="16"/>
          <w:szCs w:val="16"/>
          <w:lang w:val="en-US" w:eastAsia="es-CL"/>
        </w:rPr>
        <w:t>i</w:t>
      </w:r>
      <w:proofErr w:type="spellEnd"/>
      <w:r w:rsidRPr="005C7A0A">
        <w:rPr>
          <w:rFonts w:ascii="Verdana" w:hAnsi="Verdana" w:cs="Calibri"/>
          <w:i/>
          <w:sz w:val="16"/>
          <w:szCs w:val="16"/>
          <w:lang w:val="en-US" w:eastAsia="es-CL"/>
        </w:rPr>
        <w:t>]</w:t>
      </w:r>
      <w:r w:rsidRPr="005C7A0A">
        <w:rPr>
          <w:rFonts w:ascii="Verdana" w:hAnsi="Verdana"/>
          <w:i/>
          <w:spacing w:val="-3"/>
          <w:sz w:val="16"/>
          <w:szCs w:val="16"/>
          <w:lang w:val="en-US"/>
        </w:rPr>
        <w:t>f the judgment does not represent in whole or in part the unanimous opinion of the judges, any judge shall be entitled to have his dissenting or separate opinion attached to the judgment.</w:t>
      </w:r>
      <w:r w:rsidRPr="005C7A0A">
        <w:rPr>
          <w:rFonts w:ascii="Verdana" w:hAnsi="Verdana" w:cs="Calibri"/>
          <w:i/>
          <w:sz w:val="16"/>
          <w:szCs w:val="16"/>
          <w:lang w:val="en-US" w:eastAsia="es-CL"/>
        </w:rPr>
        <w:t xml:space="preserve">” </w:t>
      </w:r>
    </w:p>
    <w:p w14:paraId="0122355D" w14:textId="77777777" w:rsidR="000F66F8" w:rsidRPr="005C7A0A" w:rsidRDefault="000F66F8" w:rsidP="000F66F8">
      <w:pPr>
        <w:pStyle w:val="NormalWeb"/>
        <w:tabs>
          <w:tab w:val="left" w:pos="450"/>
          <w:tab w:val="left" w:pos="540"/>
        </w:tabs>
        <w:spacing w:before="0" w:beforeAutospacing="0" w:after="120" w:afterAutospacing="0"/>
        <w:ind w:firstLine="426"/>
        <w:jc w:val="both"/>
        <w:rPr>
          <w:rFonts w:ascii="Verdana" w:hAnsi="Verdana"/>
          <w:i/>
          <w:sz w:val="16"/>
          <w:szCs w:val="16"/>
          <w:lang w:val="en-US"/>
        </w:rPr>
      </w:pPr>
      <w:r w:rsidRPr="005C7A0A">
        <w:rPr>
          <w:rFonts w:ascii="Verdana" w:hAnsi="Verdana" w:cs="Calibri"/>
          <w:sz w:val="16"/>
          <w:szCs w:val="16"/>
          <w:lang w:val="en-US" w:eastAsia="es-CL"/>
        </w:rPr>
        <w:t>Article 24(3) of the Statute of the Inter-American Court of Human Rights (hereinafter “the Court”): “</w:t>
      </w:r>
      <w:r w:rsidRPr="005C7A0A">
        <w:rPr>
          <w:rFonts w:ascii="Verdana" w:hAnsi="Verdana" w:cs="Calibri"/>
          <w:i/>
          <w:sz w:val="16"/>
          <w:szCs w:val="16"/>
          <w:lang w:val="en-US" w:eastAsia="es-CL"/>
        </w:rPr>
        <w:t>[t]he</w:t>
      </w:r>
      <w:r w:rsidRPr="005C7A0A">
        <w:rPr>
          <w:rFonts w:ascii="Verdana" w:hAnsi="Verdana"/>
          <w:sz w:val="16"/>
          <w:szCs w:val="16"/>
          <w:lang w:val="en-US"/>
        </w:rPr>
        <w:t xml:space="preserve"> </w:t>
      </w:r>
      <w:r w:rsidRPr="005C7A0A">
        <w:rPr>
          <w:rFonts w:ascii="Verdana" w:hAnsi="Verdana"/>
          <w:i/>
          <w:sz w:val="16"/>
          <w:szCs w:val="16"/>
          <w:lang w:val="en-US"/>
        </w:rPr>
        <w:t>decisions, judgments and opinions of the Court shall be delivered in public session, and the parties shall be given written notification thereof. In addition, the decisions, judgments and opinions shall be published, along with judges' individual votes and opinions and with such other data or background information that the Court may deem appropriate.”</w:t>
      </w:r>
    </w:p>
    <w:p w14:paraId="1865DC9F" w14:textId="77777777" w:rsidR="000F66F8" w:rsidRPr="005C7A0A" w:rsidRDefault="000F66F8" w:rsidP="000F66F8">
      <w:pPr>
        <w:pStyle w:val="NormalWeb"/>
        <w:tabs>
          <w:tab w:val="left" w:pos="450"/>
          <w:tab w:val="left" w:pos="540"/>
        </w:tabs>
        <w:spacing w:before="0" w:beforeAutospacing="0" w:after="120" w:afterAutospacing="0"/>
        <w:ind w:firstLine="426"/>
        <w:jc w:val="both"/>
        <w:rPr>
          <w:rFonts w:ascii="Verdana" w:hAnsi="Verdana" w:cs="Calibri"/>
          <w:i/>
          <w:sz w:val="16"/>
          <w:szCs w:val="16"/>
          <w:lang w:val="en-US" w:eastAsia="es-CL"/>
        </w:rPr>
      </w:pPr>
      <w:r w:rsidRPr="005C7A0A">
        <w:rPr>
          <w:rFonts w:ascii="Verdana" w:hAnsi="Verdana" w:cs="Calibri"/>
          <w:sz w:val="16"/>
          <w:szCs w:val="16"/>
          <w:lang w:val="en-US" w:eastAsia="es-CL"/>
        </w:rPr>
        <w:t>Article 65(2) of the Court’s Rules of Procedure: “</w:t>
      </w:r>
      <w:r w:rsidRPr="005C7A0A">
        <w:rPr>
          <w:rFonts w:ascii="Verdana" w:hAnsi="Verdana" w:cs="Calibri"/>
          <w:i/>
          <w:sz w:val="16"/>
          <w:szCs w:val="16"/>
          <w:lang w:val="en-US" w:eastAsia="es-CL"/>
        </w:rPr>
        <w:t>[a]</w:t>
      </w:r>
      <w:proofErr w:type="spellStart"/>
      <w:r w:rsidRPr="005C7A0A">
        <w:rPr>
          <w:rFonts w:ascii="Verdana" w:hAnsi="Verdana"/>
          <w:i/>
          <w:sz w:val="16"/>
          <w:szCs w:val="16"/>
          <w:lang w:val="en-US"/>
        </w:rPr>
        <w:t>ny</w:t>
      </w:r>
      <w:proofErr w:type="spellEnd"/>
      <w:r w:rsidRPr="005C7A0A">
        <w:rPr>
          <w:rFonts w:ascii="Verdana" w:hAnsi="Verdana"/>
          <w:i/>
          <w:sz w:val="16"/>
          <w:szCs w:val="16"/>
          <w:lang w:val="en-US"/>
        </w:rPr>
        <w:t xml:space="preserve"> judge who has taken part in the consideration of a case is entitled to append a separate concurring or dissenting opinion to the judgment. These opinions shall be submitted within a time frame to be established by the President so that the other judges may take cognizance thereof before notice of the judgment is served. The opinions shall only refer to the issues covered in the judgment</w:t>
      </w:r>
      <w:r w:rsidRPr="005C7A0A">
        <w:rPr>
          <w:rFonts w:ascii="Verdana" w:hAnsi="Verdana" w:cs="Calibri"/>
          <w:i/>
          <w:sz w:val="16"/>
          <w:szCs w:val="16"/>
          <w:lang w:val="en-US" w:eastAsia="es-CL"/>
        </w:rPr>
        <w:t>.”</w:t>
      </w:r>
    </w:p>
  </w:footnote>
  <w:footnote w:id="406">
    <w:p w14:paraId="16CD7D35" w14:textId="77777777" w:rsidR="000F66F8" w:rsidRPr="005C7A0A" w:rsidRDefault="000F66F8" w:rsidP="000F66F8">
      <w:pPr>
        <w:pStyle w:val="NormalWeb"/>
        <w:tabs>
          <w:tab w:val="left" w:pos="450"/>
          <w:tab w:val="left" w:pos="540"/>
        </w:tabs>
        <w:spacing w:before="0" w:beforeAutospacing="0" w:after="120" w:afterAutospacing="0"/>
        <w:jc w:val="both"/>
        <w:rPr>
          <w:rFonts w:ascii="Verdana" w:eastAsia="Calibri" w:hAnsi="Verdana" w:cs="Calibri"/>
          <w:sz w:val="16"/>
          <w:szCs w:val="16"/>
          <w:lang w:val="en-US" w:eastAsia="es-CL"/>
        </w:rPr>
      </w:pPr>
      <w:r w:rsidRPr="005C7A0A">
        <w:rPr>
          <w:rStyle w:val="FootnoteReference"/>
          <w:rFonts w:ascii="Verdana" w:hAnsi="Verdana" w:cs="Verdana"/>
          <w:bCs/>
          <w:sz w:val="16"/>
          <w:szCs w:val="16"/>
          <w:lang w:val="en-US"/>
        </w:rPr>
        <w:footnoteRef/>
      </w:r>
      <w:r w:rsidRPr="005C7A0A">
        <w:rPr>
          <w:rFonts w:ascii="Verdana" w:eastAsia="Calibri" w:hAnsi="Verdana" w:cs="Calibri"/>
          <w:sz w:val="16"/>
          <w:szCs w:val="16"/>
          <w:lang w:val="en-US" w:eastAsia="es-CL"/>
        </w:rPr>
        <w:t xml:space="preserve"> </w:t>
      </w:r>
      <w:r w:rsidRPr="005C7A0A">
        <w:rPr>
          <w:rFonts w:ascii="Verdana" w:eastAsia="Calibri" w:hAnsi="Verdana" w:cs="Calibri"/>
          <w:sz w:val="16"/>
          <w:szCs w:val="16"/>
          <w:lang w:val="en-US" w:eastAsia="es-CL"/>
        </w:rPr>
        <w:tab/>
        <w:t>Hereinafter “the Judgment,”</w:t>
      </w:r>
    </w:p>
  </w:footnote>
  <w:footnote w:id="407">
    <w:p w14:paraId="64491722" w14:textId="77777777" w:rsidR="000F66F8" w:rsidRPr="005C7A0A" w:rsidRDefault="000F66F8" w:rsidP="000F66F8">
      <w:pPr>
        <w:pStyle w:val="NormalWeb"/>
        <w:tabs>
          <w:tab w:val="left" w:pos="450"/>
          <w:tab w:val="left" w:pos="540"/>
        </w:tabs>
        <w:spacing w:before="0" w:beforeAutospacing="0" w:after="120" w:afterAutospacing="0"/>
        <w:jc w:val="both"/>
        <w:rPr>
          <w:rFonts w:ascii="Verdana" w:eastAsia="Calibri" w:hAnsi="Verdana" w:cs="Calibri"/>
          <w:sz w:val="16"/>
          <w:szCs w:val="16"/>
          <w:lang w:val="en-US" w:eastAsia="es-CL"/>
        </w:rPr>
      </w:pPr>
      <w:r w:rsidRPr="005C7A0A">
        <w:rPr>
          <w:rStyle w:val="FootnoteReference"/>
          <w:rFonts w:ascii="Verdana" w:hAnsi="Verdana" w:cs="Verdana"/>
          <w:bCs/>
          <w:sz w:val="16"/>
          <w:szCs w:val="16"/>
          <w:lang w:val="en-US"/>
        </w:rPr>
        <w:footnoteRef/>
      </w:r>
      <w:r w:rsidRPr="005C7A0A">
        <w:rPr>
          <w:rFonts w:ascii="Verdana" w:eastAsia="Calibri" w:hAnsi="Verdana" w:cs="Calibri"/>
          <w:sz w:val="16"/>
          <w:szCs w:val="16"/>
          <w:lang w:val="en-US" w:eastAsia="es-CL"/>
        </w:rPr>
        <w:t xml:space="preserve"> </w:t>
      </w:r>
      <w:r w:rsidRPr="005C7A0A">
        <w:rPr>
          <w:rFonts w:ascii="Verdana" w:eastAsia="Calibri" w:hAnsi="Verdana" w:cs="Calibri"/>
          <w:sz w:val="16"/>
          <w:szCs w:val="16"/>
          <w:lang w:val="en-US" w:eastAsia="es-CL"/>
        </w:rPr>
        <w:tab/>
      </w:r>
      <w:proofErr w:type="gramStart"/>
      <w:r w:rsidRPr="005C7A0A">
        <w:rPr>
          <w:rFonts w:ascii="Verdana" w:eastAsia="Calibri" w:hAnsi="Verdana" w:cs="Calibri"/>
          <w:sz w:val="16"/>
          <w:szCs w:val="16"/>
          <w:lang w:val="en-US" w:eastAsia="es-CL"/>
        </w:rPr>
        <w:t>Hereinafter “the State.”</w:t>
      </w:r>
      <w:proofErr w:type="gramEnd"/>
    </w:p>
  </w:footnote>
  <w:footnote w:id="408">
    <w:p w14:paraId="63095060" w14:textId="77777777" w:rsidR="000F66F8" w:rsidRPr="005C7A0A" w:rsidRDefault="000F66F8" w:rsidP="000F66F8">
      <w:pPr>
        <w:pStyle w:val="NormalWeb"/>
        <w:tabs>
          <w:tab w:val="left" w:pos="450"/>
          <w:tab w:val="left" w:pos="540"/>
        </w:tabs>
        <w:spacing w:before="0" w:beforeAutospacing="0" w:after="120" w:afterAutospacing="0"/>
        <w:jc w:val="both"/>
        <w:rPr>
          <w:rFonts w:ascii="Verdana" w:eastAsia="Calibri" w:hAnsi="Verdana" w:cs="Calibri"/>
          <w:sz w:val="16"/>
          <w:szCs w:val="16"/>
          <w:lang w:val="en-US" w:eastAsia="es-CL"/>
        </w:rPr>
      </w:pPr>
      <w:r w:rsidRPr="005C7A0A">
        <w:rPr>
          <w:rStyle w:val="FootnoteReference"/>
          <w:rFonts w:ascii="Verdana" w:hAnsi="Verdana" w:cs="Verdana"/>
          <w:bCs/>
          <w:sz w:val="16"/>
          <w:szCs w:val="16"/>
          <w:lang w:val="en-US"/>
        </w:rPr>
        <w:footnoteRef/>
      </w:r>
      <w:r w:rsidRPr="005C7A0A">
        <w:rPr>
          <w:rFonts w:ascii="Verdana" w:eastAsia="Calibri" w:hAnsi="Verdana" w:cs="Calibri"/>
          <w:sz w:val="16"/>
          <w:szCs w:val="16"/>
          <w:lang w:val="en-US" w:eastAsia="es-CL"/>
        </w:rPr>
        <w:t xml:space="preserve"> </w:t>
      </w:r>
      <w:r w:rsidRPr="005C7A0A">
        <w:rPr>
          <w:rFonts w:ascii="Verdana" w:eastAsia="Calibri" w:hAnsi="Verdana" w:cs="Calibri"/>
          <w:sz w:val="16"/>
          <w:szCs w:val="16"/>
          <w:lang w:val="en-US" w:eastAsia="es-CL"/>
        </w:rPr>
        <w:tab/>
      </w:r>
      <w:proofErr w:type="gramStart"/>
      <w:r w:rsidRPr="005C7A0A">
        <w:rPr>
          <w:rFonts w:ascii="Verdana" w:eastAsia="Calibri" w:hAnsi="Verdana" w:cs="Calibri"/>
          <w:sz w:val="16"/>
          <w:szCs w:val="16"/>
          <w:lang w:val="en-US" w:eastAsia="es-CL"/>
        </w:rPr>
        <w:t>Hereinafter “the Commission.”</w:t>
      </w:r>
      <w:proofErr w:type="gramEnd"/>
    </w:p>
  </w:footnote>
  <w:footnote w:id="409">
    <w:p w14:paraId="775D4D03" w14:textId="77777777" w:rsidR="000F66F8" w:rsidRPr="005C7A0A" w:rsidRDefault="000F66F8" w:rsidP="000F66F8">
      <w:pPr>
        <w:pStyle w:val="NormalWeb"/>
        <w:tabs>
          <w:tab w:val="left" w:pos="450"/>
          <w:tab w:val="left" w:pos="540"/>
        </w:tabs>
        <w:spacing w:before="0" w:beforeAutospacing="0" w:after="120" w:afterAutospacing="0"/>
        <w:jc w:val="both"/>
        <w:rPr>
          <w:rFonts w:ascii="Verdana" w:eastAsia="Calibri" w:hAnsi="Verdana" w:cs="Calibri"/>
          <w:i/>
          <w:sz w:val="16"/>
          <w:szCs w:val="16"/>
          <w:lang w:val="en-US" w:eastAsia="es-CL"/>
        </w:rPr>
      </w:pPr>
      <w:r w:rsidRPr="005C7A0A">
        <w:rPr>
          <w:rStyle w:val="FootnoteReference"/>
          <w:rFonts w:ascii="Verdana" w:hAnsi="Verdana" w:cs="Verdana"/>
          <w:bCs/>
          <w:sz w:val="16"/>
          <w:szCs w:val="16"/>
          <w:lang w:val="en-US"/>
        </w:rPr>
        <w:footnoteRef/>
      </w:r>
      <w:r w:rsidRPr="005C7A0A">
        <w:rPr>
          <w:rFonts w:ascii="Verdana" w:eastAsia="Calibri" w:hAnsi="Verdana" w:cs="Calibri"/>
          <w:sz w:val="16"/>
          <w:szCs w:val="16"/>
          <w:lang w:val="en-US" w:eastAsia="es-CL"/>
        </w:rPr>
        <w:t xml:space="preserve"> </w:t>
      </w:r>
      <w:r w:rsidRPr="005C7A0A">
        <w:rPr>
          <w:rFonts w:ascii="Verdana" w:eastAsia="Calibri" w:hAnsi="Verdana" w:cs="Calibri"/>
          <w:sz w:val="16"/>
          <w:szCs w:val="16"/>
          <w:lang w:val="en-US" w:eastAsia="es-CL"/>
        </w:rPr>
        <w:tab/>
      </w:r>
      <w:proofErr w:type="gramStart"/>
      <w:r w:rsidRPr="005C7A0A">
        <w:rPr>
          <w:rFonts w:ascii="Verdana" w:eastAsia="Calibri" w:hAnsi="Verdana" w:cs="Calibri"/>
          <w:sz w:val="16"/>
          <w:szCs w:val="16"/>
          <w:lang w:val="en-US" w:eastAsia="es-CL"/>
        </w:rPr>
        <w:t>Hereinafter “the petition.”</w:t>
      </w:r>
      <w:proofErr w:type="gramEnd"/>
    </w:p>
  </w:footnote>
  <w:footnote w:id="410">
    <w:p w14:paraId="516059A2" w14:textId="77777777" w:rsidR="000F66F8" w:rsidRPr="005C7A0A" w:rsidRDefault="000F66F8" w:rsidP="000F66F8">
      <w:pPr>
        <w:pStyle w:val="NormalWeb"/>
        <w:tabs>
          <w:tab w:val="left" w:pos="450"/>
          <w:tab w:val="left" w:pos="540"/>
        </w:tabs>
        <w:spacing w:before="0" w:beforeAutospacing="0" w:after="120" w:afterAutospacing="0"/>
        <w:jc w:val="both"/>
        <w:rPr>
          <w:rFonts w:ascii="Verdana" w:hAnsi="Verdana"/>
          <w:sz w:val="16"/>
          <w:szCs w:val="16"/>
          <w:lang w:val="en-US"/>
        </w:rPr>
      </w:pPr>
      <w:r w:rsidRPr="005C7A0A">
        <w:rPr>
          <w:rStyle w:val="FootnoteReference"/>
          <w:rFonts w:ascii="Verdana" w:hAnsi="Verdana" w:cs="Verdana"/>
          <w:bCs/>
          <w:sz w:val="16"/>
          <w:szCs w:val="16"/>
          <w:lang w:val="en-US"/>
        </w:rPr>
        <w:footnoteRef/>
      </w:r>
      <w:r w:rsidRPr="005C7A0A">
        <w:rPr>
          <w:rFonts w:ascii="Verdana" w:eastAsia="Calibri" w:hAnsi="Verdana" w:cs="Calibri"/>
          <w:i/>
          <w:sz w:val="16"/>
          <w:szCs w:val="16"/>
          <w:lang w:val="en-US" w:eastAsia="es-CL"/>
        </w:rPr>
        <w:t xml:space="preserve"> </w:t>
      </w:r>
      <w:r w:rsidRPr="005C7A0A">
        <w:rPr>
          <w:rFonts w:ascii="Verdana" w:eastAsia="Calibri" w:hAnsi="Verdana" w:cs="Calibri"/>
          <w:i/>
          <w:sz w:val="16"/>
          <w:szCs w:val="16"/>
          <w:lang w:val="en-US" w:eastAsia="es-CL"/>
        </w:rPr>
        <w:tab/>
        <w:t>Cf.</w:t>
      </w:r>
      <w:r w:rsidRPr="005C7A0A">
        <w:rPr>
          <w:rFonts w:ascii="Verdana" w:eastAsia="Calibri" w:hAnsi="Verdana" w:cs="Calibri"/>
          <w:sz w:val="16"/>
          <w:szCs w:val="16"/>
          <w:lang w:val="en-US" w:eastAsia="es-CL"/>
        </w:rPr>
        <w:t xml:space="preserve"> para. </w:t>
      </w:r>
      <w:proofErr w:type="gramStart"/>
      <w:r w:rsidRPr="005C7A0A">
        <w:rPr>
          <w:rFonts w:ascii="Verdana" w:eastAsia="Calibri" w:hAnsi="Verdana" w:cs="Calibri"/>
          <w:sz w:val="16"/>
          <w:szCs w:val="16"/>
          <w:lang w:val="en-US" w:eastAsia="es-CL"/>
        </w:rPr>
        <w:t>26 of the Judgment.</w:t>
      </w:r>
      <w:proofErr w:type="gramEnd"/>
    </w:p>
  </w:footnote>
  <w:footnote w:id="411">
    <w:p w14:paraId="785B8B1E" w14:textId="77777777" w:rsidR="000F66F8" w:rsidRPr="005C7A0A" w:rsidRDefault="000F66F8" w:rsidP="000F66F8">
      <w:pPr>
        <w:tabs>
          <w:tab w:val="left" w:pos="450"/>
          <w:tab w:val="left" w:pos="540"/>
        </w:tabs>
        <w:spacing w:after="120"/>
        <w:rPr>
          <w:rFonts w:cs="Calibri"/>
          <w:b/>
          <w:sz w:val="16"/>
          <w:szCs w:val="16"/>
          <w:lang w:val="en-US"/>
        </w:rPr>
      </w:pPr>
      <w:r w:rsidRPr="005C7A0A">
        <w:rPr>
          <w:rStyle w:val="FootnoteReference"/>
          <w:rFonts w:cs="Calibri"/>
          <w:sz w:val="16"/>
          <w:szCs w:val="16"/>
          <w:lang w:val="en-US"/>
        </w:rPr>
        <w:footnoteRef/>
      </w:r>
      <w:r w:rsidRPr="005C7A0A">
        <w:rPr>
          <w:rFonts w:cs="Calibri"/>
          <w:sz w:val="16"/>
          <w:szCs w:val="16"/>
          <w:lang w:val="en-US"/>
        </w:rPr>
        <w:t xml:space="preserve"> </w:t>
      </w:r>
      <w:r w:rsidRPr="005C7A0A">
        <w:rPr>
          <w:rFonts w:cs="Calibri"/>
          <w:sz w:val="16"/>
          <w:szCs w:val="16"/>
          <w:lang w:val="en-US"/>
        </w:rPr>
        <w:tab/>
      </w:r>
      <w:proofErr w:type="gramStart"/>
      <w:r w:rsidRPr="005C7A0A">
        <w:rPr>
          <w:rFonts w:cs="Calibri"/>
          <w:sz w:val="16"/>
          <w:szCs w:val="16"/>
          <w:lang w:val="en-US"/>
        </w:rPr>
        <w:t xml:space="preserve">Dissenting opinion of Judge Eduardo </w:t>
      </w:r>
      <w:proofErr w:type="spellStart"/>
      <w:r w:rsidRPr="005C7A0A">
        <w:rPr>
          <w:rFonts w:cs="Calibri"/>
          <w:sz w:val="16"/>
          <w:szCs w:val="16"/>
          <w:lang w:val="en-US"/>
        </w:rPr>
        <w:t>Vio</w:t>
      </w:r>
      <w:proofErr w:type="spellEnd"/>
      <w:r w:rsidRPr="005C7A0A">
        <w:rPr>
          <w:rFonts w:cs="Calibri"/>
          <w:sz w:val="16"/>
          <w:szCs w:val="16"/>
          <w:lang w:val="en-US"/>
        </w:rPr>
        <w:t xml:space="preserve"> </w:t>
      </w:r>
      <w:proofErr w:type="spellStart"/>
      <w:r w:rsidRPr="005C7A0A">
        <w:rPr>
          <w:rFonts w:cs="Calibri"/>
          <w:sz w:val="16"/>
          <w:szCs w:val="16"/>
          <w:lang w:val="en-US"/>
        </w:rPr>
        <w:t>Grossi</w:t>
      </w:r>
      <w:proofErr w:type="spellEnd"/>
      <w:r w:rsidRPr="005C7A0A">
        <w:rPr>
          <w:rFonts w:cs="Calibri"/>
          <w:sz w:val="16"/>
          <w:szCs w:val="16"/>
          <w:lang w:val="en-US"/>
        </w:rPr>
        <w:t xml:space="preserve">, </w:t>
      </w:r>
      <w:r w:rsidRPr="005C7A0A">
        <w:rPr>
          <w:rFonts w:cs="Calibri"/>
          <w:i/>
          <w:sz w:val="16"/>
          <w:szCs w:val="16"/>
          <w:lang w:val="en-US"/>
        </w:rPr>
        <w:t>Case of Cruz Sánchez et al. v. Peru.</w:t>
      </w:r>
      <w:proofErr w:type="gramEnd"/>
      <w:r w:rsidRPr="005C7A0A">
        <w:rPr>
          <w:rFonts w:cs="Calibri"/>
          <w:i/>
          <w:sz w:val="16"/>
          <w:szCs w:val="16"/>
          <w:lang w:val="en-US"/>
        </w:rPr>
        <w:t xml:space="preserve"> </w:t>
      </w:r>
      <w:proofErr w:type="gramStart"/>
      <w:r w:rsidRPr="005C7A0A">
        <w:rPr>
          <w:rFonts w:cs="Calibri"/>
          <w:i/>
          <w:sz w:val="16"/>
          <w:szCs w:val="16"/>
          <w:lang w:val="en-US"/>
        </w:rPr>
        <w:t>Preliminary objections, merits, reparations and costs.</w:t>
      </w:r>
      <w:proofErr w:type="gramEnd"/>
      <w:r w:rsidRPr="005C7A0A">
        <w:rPr>
          <w:rFonts w:cs="Calibri"/>
          <w:sz w:val="16"/>
          <w:szCs w:val="16"/>
          <w:lang w:val="en-US"/>
        </w:rPr>
        <w:t xml:space="preserve"> Judgment of April 17, 2015. Series C No. </w:t>
      </w:r>
      <w:proofErr w:type="gramStart"/>
      <w:r w:rsidRPr="005C7A0A">
        <w:rPr>
          <w:rFonts w:cs="Calibri"/>
          <w:sz w:val="16"/>
          <w:szCs w:val="16"/>
          <w:lang w:val="en-US"/>
        </w:rPr>
        <w:t>292,</w:t>
      </w:r>
      <w:proofErr w:type="gramEnd"/>
      <w:r w:rsidRPr="005C7A0A">
        <w:rPr>
          <w:rFonts w:cs="Calibri"/>
          <w:sz w:val="16"/>
          <w:szCs w:val="16"/>
          <w:lang w:val="en-US"/>
        </w:rPr>
        <w:t xml:space="preserve"> and Dissenting opinion of Judge Eduardo </w:t>
      </w:r>
      <w:proofErr w:type="spellStart"/>
      <w:r w:rsidRPr="005C7A0A">
        <w:rPr>
          <w:rFonts w:cs="Calibri"/>
          <w:sz w:val="16"/>
          <w:szCs w:val="16"/>
          <w:lang w:val="en-US"/>
        </w:rPr>
        <w:t>Vio</w:t>
      </w:r>
      <w:proofErr w:type="spellEnd"/>
      <w:r w:rsidRPr="005C7A0A">
        <w:rPr>
          <w:rFonts w:cs="Calibri"/>
          <w:sz w:val="16"/>
          <w:szCs w:val="16"/>
          <w:lang w:val="en-US"/>
        </w:rPr>
        <w:t xml:space="preserve"> </w:t>
      </w:r>
      <w:proofErr w:type="spellStart"/>
      <w:r w:rsidRPr="005C7A0A">
        <w:rPr>
          <w:rFonts w:cs="Calibri"/>
          <w:sz w:val="16"/>
          <w:szCs w:val="16"/>
          <w:lang w:val="en-US"/>
        </w:rPr>
        <w:t>Grossi</w:t>
      </w:r>
      <w:proofErr w:type="spellEnd"/>
      <w:r w:rsidRPr="005C7A0A">
        <w:rPr>
          <w:rFonts w:cs="Calibri"/>
          <w:sz w:val="16"/>
          <w:szCs w:val="16"/>
          <w:lang w:val="en-US"/>
        </w:rPr>
        <w:t xml:space="preserve">, </w:t>
      </w:r>
      <w:r w:rsidRPr="005C7A0A">
        <w:rPr>
          <w:rFonts w:cs="Calibri"/>
          <w:i/>
          <w:sz w:val="16"/>
          <w:szCs w:val="16"/>
          <w:lang w:val="en-US"/>
        </w:rPr>
        <w:t xml:space="preserve">Case of </w:t>
      </w:r>
      <w:proofErr w:type="spellStart"/>
      <w:r w:rsidRPr="005C7A0A">
        <w:rPr>
          <w:rFonts w:cs="Calibri"/>
          <w:i/>
          <w:sz w:val="16"/>
          <w:szCs w:val="16"/>
          <w:lang w:val="en-US"/>
        </w:rPr>
        <w:t>Díaz</w:t>
      </w:r>
      <w:proofErr w:type="spellEnd"/>
      <w:r w:rsidRPr="005C7A0A">
        <w:rPr>
          <w:rFonts w:cs="Calibri"/>
          <w:i/>
          <w:sz w:val="16"/>
          <w:szCs w:val="16"/>
          <w:lang w:val="en-US"/>
        </w:rPr>
        <w:t xml:space="preserve"> Peña v. Venezuela. </w:t>
      </w:r>
      <w:proofErr w:type="gramStart"/>
      <w:r w:rsidRPr="005C7A0A">
        <w:rPr>
          <w:rFonts w:cs="Calibri"/>
          <w:i/>
          <w:sz w:val="16"/>
          <w:szCs w:val="16"/>
          <w:lang w:val="en-US"/>
        </w:rPr>
        <w:t>Preliminary objection, merits, reparations and costs.</w:t>
      </w:r>
      <w:proofErr w:type="gramEnd"/>
      <w:r w:rsidRPr="005C7A0A">
        <w:rPr>
          <w:rFonts w:cs="Calibri"/>
          <w:sz w:val="16"/>
          <w:szCs w:val="16"/>
          <w:lang w:val="en-US"/>
        </w:rPr>
        <w:t xml:space="preserve"> Judgment of June 26, 2012. </w:t>
      </w:r>
      <w:proofErr w:type="gramStart"/>
      <w:r w:rsidRPr="005C7A0A">
        <w:rPr>
          <w:rFonts w:cs="Calibri"/>
          <w:sz w:val="16"/>
          <w:szCs w:val="16"/>
          <w:lang w:val="en-US"/>
        </w:rPr>
        <w:t>Series C No. 244.</w:t>
      </w:r>
      <w:proofErr w:type="gramEnd"/>
      <w:r w:rsidRPr="005C7A0A">
        <w:rPr>
          <w:rFonts w:cs="Calibri"/>
          <w:sz w:val="16"/>
          <w:szCs w:val="16"/>
          <w:lang w:val="en-US"/>
        </w:rPr>
        <w:t xml:space="preserve"> </w:t>
      </w:r>
    </w:p>
  </w:footnote>
  <w:footnote w:id="412">
    <w:p w14:paraId="6AF4F3FC" w14:textId="77777777" w:rsidR="000F66F8" w:rsidRPr="005C7A0A" w:rsidRDefault="000F66F8" w:rsidP="000F66F8">
      <w:pPr>
        <w:pStyle w:val="FootnoteText"/>
        <w:tabs>
          <w:tab w:val="left" w:pos="450"/>
          <w:tab w:val="left" w:pos="540"/>
        </w:tabs>
        <w:spacing w:after="120"/>
        <w:rPr>
          <w:lang w:val="en-US"/>
        </w:rPr>
      </w:pPr>
      <w:r w:rsidRPr="005C7A0A">
        <w:rPr>
          <w:rStyle w:val="FootnoteReference"/>
          <w:lang w:val="en-US"/>
        </w:rPr>
        <w:footnoteRef/>
      </w:r>
      <w:r w:rsidRPr="005C7A0A">
        <w:rPr>
          <w:lang w:val="en-US"/>
        </w:rPr>
        <w:t xml:space="preserve"> </w:t>
      </w:r>
      <w:r w:rsidRPr="005C7A0A">
        <w:rPr>
          <w:lang w:val="en-US"/>
        </w:rPr>
        <w:tab/>
      </w:r>
      <w:proofErr w:type="gramStart"/>
      <w:r w:rsidRPr="005C7A0A">
        <w:rPr>
          <w:lang w:val="en-US"/>
        </w:rPr>
        <w:t xml:space="preserve">Dissenting opinion of Judge Eduardo </w:t>
      </w:r>
      <w:proofErr w:type="spellStart"/>
      <w:r w:rsidRPr="005C7A0A">
        <w:rPr>
          <w:lang w:val="en-US"/>
        </w:rPr>
        <w:t>Vio</w:t>
      </w:r>
      <w:proofErr w:type="spellEnd"/>
      <w:r w:rsidRPr="005C7A0A">
        <w:rPr>
          <w:lang w:val="en-US"/>
        </w:rPr>
        <w:t xml:space="preserve"> </w:t>
      </w:r>
      <w:proofErr w:type="spellStart"/>
      <w:r w:rsidRPr="005C7A0A">
        <w:rPr>
          <w:lang w:val="en-US"/>
        </w:rPr>
        <w:t>Grossi</w:t>
      </w:r>
      <w:proofErr w:type="spellEnd"/>
      <w:r w:rsidRPr="005C7A0A">
        <w:rPr>
          <w:lang w:val="en-US"/>
        </w:rPr>
        <w:t xml:space="preserve">, </w:t>
      </w:r>
      <w:r w:rsidRPr="005C7A0A">
        <w:rPr>
          <w:i/>
          <w:lang w:val="en-US"/>
        </w:rPr>
        <w:t>Case of Cruz Sánchez et al. v. Peru.</w:t>
      </w:r>
      <w:proofErr w:type="gramEnd"/>
      <w:r w:rsidRPr="005C7A0A">
        <w:rPr>
          <w:i/>
          <w:lang w:val="en-US"/>
        </w:rPr>
        <w:t xml:space="preserve"> </w:t>
      </w:r>
      <w:proofErr w:type="gramStart"/>
      <w:r w:rsidRPr="005C7A0A">
        <w:rPr>
          <w:i/>
          <w:lang w:val="en-US"/>
        </w:rPr>
        <w:t>Preliminary objections, merits, reparations and costs.</w:t>
      </w:r>
      <w:proofErr w:type="gramEnd"/>
      <w:r w:rsidRPr="005C7A0A">
        <w:rPr>
          <w:lang w:val="en-US"/>
        </w:rPr>
        <w:t xml:space="preserve"> Judgment of April 17, 2015. </w:t>
      </w:r>
      <w:proofErr w:type="gramStart"/>
      <w:r w:rsidRPr="005C7A0A">
        <w:rPr>
          <w:lang w:val="en-US"/>
        </w:rPr>
        <w:t>Series C No. 292.</w:t>
      </w:r>
      <w:proofErr w:type="gramEnd"/>
    </w:p>
  </w:footnote>
  <w:footnote w:id="413">
    <w:p w14:paraId="5240EE93" w14:textId="77777777" w:rsidR="000F66F8" w:rsidRPr="005C7A0A" w:rsidRDefault="000F66F8" w:rsidP="000F66F8">
      <w:pPr>
        <w:tabs>
          <w:tab w:val="left" w:pos="450"/>
          <w:tab w:val="left" w:pos="540"/>
        </w:tabs>
        <w:spacing w:after="120"/>
        <w:rPr>
          <w:rStyle w:val="FootnoteReference"/>
          <w:sz w:val="16"/>
          <w:szCs w:val="16"/>
          <w:lang w:val="en-US"/>
        </w:rPr>
      </w:pPr>
      <w:r w:rsidRPr="005C7A0A">
        <w:rPr>
          <w:rStyle w:val="FootnoteReference"/>
          <w:rFonts w:eastAsia="Batang" w:cs="Calibri"/>
          <w:sz w:val="16"/>
          <w:szCs w:val="16"/>
          <w:lang w:val="en-US" w:eastAsia="es-MX"/>
        </w:rPr>
        <w:footnoteRef/>
      </w:r>
      <w:r w:rsidRPr="005C7A0A">
        <w:rPr>
          <w:rStyle w:val="FootnoteReference"/>
          <w:rFonts w:eastAsia="Batang" w:cs="Calibri"/>
          <w:sz w:val="16"/>
          <w:szCs w:val="16"/>
          <w:lang w:val="en-US" w:eastAsia="es-MX"/>
        </w:rPr>
        <w:t xml:space="preserve"> </w:t>
      </w:r>
      <w:r w:rsidRPr="005C7A0A">
        <w:rPr>
          <w:rStyle w:val="FootnoteReference"/>
          <w:rFonts w:eastAsia="Batang" w:cs="Calibri"/>
          <w:sz w:val="16"/>
          <w:szCs w:val="16"/>
          <w:lang w:val="en-US" w:eastAsia="es-MX"/>
        </w:rPr>
        <w:tab/>
      </w:r>
      <w:r w:rsidRPr="005C7A0A">
        <w:rPr>
          <w:rFonts w:eastAsia="Batang" w:cs="Calibri"/>
          <w:sz w:val="16"/>
          <w:szCs w:val="16"/>
          <w:lang w:val="en-US" w:eastAsia="es-MX"/>
        </w:rPr>
        <w:t>Nor is it established in the Statute or the Rules of Procedure of the International Court of Justice. Hence, in that sphere, it is only of a jurisprudential nature.</w:t>
      </w:r>
    </w:p>
  </w:footnote>
  <w:footnote w:id="414">
    <w:p w14:paraId="200D6A20" w14:textId="77777777" w:rsidR="000F66F8" w:rsidRPr="005C7A0A" w:rsidRDefault="000F66F8" w:rsidP="000F66F8">
      <w:pPr>
        <w:tabs>
          <w:tab w:val="left" w:pos="450"/>
          <w:tab w:val="left" w:pos="540"/>
        </w:tabs>
        <w:spacing w:after="120"/>
        <w:rPr>
          <w:rStyle w:val="FootnoteReference"/>
          <w:rFonts w:eastAsia="Times New Roman" w:cs="Arial"/>
          <w:sz w:val="16"/>
          <w:szCs w:val="16"/>
          <w:lang w:val="en-US"/>
        </w:rPr>
      </w:pPr>
      <w:r w:rsidRPr="005C7A0A">
        <w:rPr>
          <w:rStyle w:val="FootnoteReference"/>
          <w:rFonts w:eastAsia="Batang" w:cs="Calibri"/>
          <w:sz w:val="16"/>
          <w:szCs w:val="16"/>
          <w:lang w:val="en-US" w:eastAsia="es-MX"/>
        </w:rPr>
        <w:footnoteRef/>
      </w:r>
      <w:r w:rsidRPr="005C7A0A">
        <w:rPr>
          <w:rStyle w:val="FootnoteReference"/>
          <w:rFonts w:eastAsia="Batang" w:cs="Calibri"/>
          <w:sz w:val="16"/>
          <w:szCs w:val="16"/>
          <w:lang w:val="en-US" w:eastAsia="es-MX"/>
        </w:rPr>
        <w:t xml:space="preserve"> </w:t>
      </w:r>
      <w:r w:rsidRPr="005C7A0A">
        <w:rPr>
          <w:rStyle w:val="FootnoteReference"/>
          <w:rFonts w:eastAsia="Batang" w:cs="Calibri"/>
          <w:sz w:val="16"/>
          <w:szCs w:val="16"/>
          <w:lang w:val="en-US" w:eastAsia="es-MX"/>
        </w:rPr>
        <w:tab/>
      </w:r>
      <w:proofErr w:type="gramStart"/>
      <w:r w:rsidRPr="005C7A0A">
        <w:rPr>
          <w:rFonts w:eastAsia="Times New Roman" w:cs="Arial"/>
          <w:sz w:val="16"/>
          <w:szCs w:val="16"/>
          <w:lang w:val="en-US"/>
        </w:rPr>
        <w:t>“Admissibility criteria.</w:t>
      </w:r>
      <w:proofErr w:type="gramEnd"/>
      <w:r w:rsidRPr="005C7A0A">
        <w:rPr>
          <w:rFonts w:eastAsia="Times New Roman" w:cs="Arial"/>
          <w:sz w:val="16"/>
          <w:szCs w:val="16"/>
          <w:lang w:val="en-US"/>
        </w:rPr>
        <w:t xml:space="preserve"> 1. The Court may only deal with the matter after all domestic remedies have been exhausted, according to the generally </w:t>
      </w:r>
      <w:proofErr w:type="spellStart"/>
      <w:r w:rsidRPr="005C7A0A">
        <w:rPr>
          <w:rFonts w:eastAsia="Times New Roman" w:cs="Arial"/>
          <w:sz w:val="16"/>
          <w:szCs w:val="16"/>
          <w:lang w:val="en-US"/>
        </w:rPr>
        <w:t>recognised</w:t>
      </w:r>
      <w:proofErr w:type="spellEnd"/>
      <w:r w:rsidRPr="005C7A0A">
        <w:rPr>
          <w:rFonts w:eastAsia="Times New Roman" w:cs="Arial"/>
          <w:sz w:val="16"/>
          <w:szCs w:val="16"/>
          <w:lang w:val="en-US"/>
        </w:rPr>
        <w:t xml:space="preserve"> rules of international law, and within a period of six months from the date on which the final decision was taken. 2. The Court shall not deal with any application submitted under Article 34 that (a) is anonymous; or (b) is substantially the same as a matter that has already been examined by the Court or has already been submitted to another procedure of international investigation or settlement and contains no relevant new information. 3. The Court shall declare inadmissible any individual application submitted under Article 34 if it considers that: (a) the application is incompatible with the provisions of the Convention or the Protocols thereto, manifestly ill-founded, or an abuse of the right of individual application; or (b) the applicant has not suffered a significant disadvantage, unless respect for human rights as defined in the Convention and the Protocols thereto requires an examination of the application on the merits and provided that no case may be rejected on this ground which has not been duly considered by a domestic tribunal. 4. The Court shall reject any application which it considers inadmissible under this Article. It may do so at any stage of the proceedings.”</w:t>
      </w:r>
    </w:p>
  </w:footnote>
  <w:footnote w:id="415">
    <w:p w14:paraId="3DAD169B" w14:textId="77777777" w:rsidR="000F66F8" w:rsidRPr="005C7A0A" w:rsidRDefault="000F66F8" w:rsidP="000F66F8">
      <w:pPr>
        <w:tabs>
          <w:tab w:val="left" w:pos="450"/>
          <w:tab w:val="left" w:pos="540"/>
        </w:tabs>
        <w:spacing w:after="120"/>
        <w:rPr>
          <w:rStyle w:val="FootnoteReference"/>
          <w:rFonts w:eastAsia="Batang" w:cs="Calibri"/>
          <w:sz w:val="16"/>
          <w:szCs w:val="16"/>
          <w:lang w:val="en-US" w:eastAsia="es-MX"/>
        </w:rPr>
      </w:pPr>
      <w:r w:rsidRPr="005C7A0A">
        <w:rPr>
          <w:rStyle w:val="FootnoteReference"/>
          <w:rFonts w:eastAsia="Batang" w:cs="Calibri"/>
          <w:sz w:val="16"/>
          <w:szCs w:val="16"/>
          <w:lang w:val="en-US" w:eastAsia="es-MX"/>
        </w:rPr>
        <w:footnoteRef/>
      </w:r>
      <w:r w:rsidRPr="005C7A0A">
        <w:rPr>
          <w:rStyle w:val="FootnoteReference"/>
          <w:rFonts w:eastAsia="Batang" w:cs="Calibri"/>
          <w:sz w:val="16"/>
          <w:szCs w:val="16"/>
          <w:lang w:val="en-US" w:eastAsia="es-MX"/>
        </w:rPr>
        <w:t xml:space="preserve"> </w:t>
      </w:r>
      <w:r w:rsidRPr="005C7A0A">
        <w:rPr>
          <w:rStyle w:val="FootnoteReference"/>
          <w:rFonts w:eastAsia="Batang" w:cs="Calibri"/>
          <w:sz w:val="16"/>
          <w:szCs w:val="16"/>
          <w:lang w:val="en-US" w:eastAsia="es-MX"/>
        </w:rPr>
        <w:tab/>
      </w:r>
      <w:proofErr w:type="gramStart"/>
      <w:r w:rsidRPr="005C7A0A">
        <w:rPr>
          <w:rFonts w:eastAsia="Batang" w:cs="Calibri"/>
          <w:sz w:val="16"/>
          <w:szCs w:val="16"/>
          <w:lang w:val="en-US" w:eastAsia="es-MX"/>
        </w:rPr>
        <w:t>Article 41 of the Convention, first phrase.</w:t>
      </w:r>
      <w:proofErr w:type="gramEnd"/>
      <w:r w:rsidRPr="005C7A0A">
        <w:rPr>
          <w:rFonts w:eastAsia="Batang" w:cs="Calibri"/>
          <w:sz w:val="16"/>
          <w:szCs w:val="16"/>
          <w:lang w:val="en-US" w:eastAsia="es-MX"/>
        </w:rPr>
        <w:t xml:space="preserve"> </w:t>
      </w:r>
    </w:p>
  </w:footnote>
  <w:footnote w:id="416">
    <w:p w14:paraId="34490F00" w14:textId="77777777" w:rsidR="000F66F8" w:rsidRPr="005C7A0A" w:rsidRDefault="000F66F8" w:rsidP="000F66F8">
      <w:pPr>
        <w:pStyle w:val="FootnoteText"/>
        <w:widowControl/>
        <w:tabs>
          <w:tab w:val="clear" w:pos="567"/>
          <w:tab w:val="left" w:pos="450"/>
          <w:tab w:val="left" w:pos="540"/>
        </w:tabs>
        <w:adjustRightInd/>
        <w:spacing w:after="120"/>
        <w:textAlignment w:val="auto"/>
        <w:rPr>
          <w:rStyle w:val="FootnoteReference"/>
          <w:rFonts w:eastAsia="Batang" w:cs="Calibri"/>
          <w:bCs w:val="0"/>
          <w:lang w:val="en-US" w:eastAsia="es-MX"/>
        </w:rPr>
      </w:pPr>
      <w:r w:rsidRPr="005C7A0A">
        <w:rPr>
          <w:rStyle w:val="FootnoteReference"/>
          <w:rFonts w:eastAsia="Batang" w:cs="Calibri"/>
          <w:bCs w:val="0"/>
          <w:lang w:val="en-US" w:eastAsia="es-MX"/>
        </w:rPr>
        <w:footnoteRef/>
      </w:r>
      <w:r w:rsidRPr="005C7A0A">
        <w:rPr>
          <w:rStyle w:val="FootnoteReference"/>
          <w:rFonts w:eastAsia="Batang" w:cs="Calibri"/>
          <w:bCs w:val="0"/>
          <w:lang w:val="en-US" w:eastAsia="es-MX"/>
        </w:rPr>
        <w:t xml:space="preserve"> </w:t>
      </w:r>
      <w:r w:rsidRPr="005C7A0A">
        <w:rPr>
          <w:rStyle w:val="FootnoteReference"/>
          <w:rFonts w:eastAsia="Batang" w:cs="Calibri"/>
          <w:bCs w:val="0"/>
          <w:lang w:val="en-US" w:eastAsia="es-MX"/>
        </w:rPr>
        <w:tab/>
      </w:r>
      <w:r w:rsidRPr="005C7A0A">
        <w:rPr>
          <w:rFonts w:eastAsia="Batang" w:cs="Calibri"/>
          <w:lang w:val="en-US" w:eastAsia="es-MX"/>
        </w:rPr>
        <w:t>Article 41(f) of the Convention.</w:t>
      </w:r>
    </w:p>
  </w:footnote>
  <w:footnote w:id="417">
    <w:p w14:paraId="71D152E8" w14:textId="77777777" w:rsidR="000F66F8" w:rsidRPr="005C7A0A" w:rsidRDefault="000F66F8" w:rsidP="000F66F8">
      <w:pPr>
        <w:pStyle w:val="FootnoteText"/>
        <w:widowControl/>
        <w:tabs>
          <w:tab w:val="clear" w:pos="567"/>
          <w:tab w:val="left" w:pos="450"/>
          <w:tab w:val="left" w:pos="540"/>
        </w:tabs>
        <w:adjustRightInd/>
        <w:spacing w:after="120"/>
        <w:textAlignment w:val="auto"/>
        <w:rPr>
          <w:lang w:val="en-US"/>
        </w:rPr>
      </w:pPr>
      <w:r w:rsidRPr="005C7A0A">
        <w:rPr>
          <w:rStyle w:val="FootnoteReference"/>
          <w:rFonts w:eastAsia="Batang" w:cs="Calibri"/>
          <w:bCs w:val="0"/>
          <w:lang w:val="en-US" w:eastAsia="es-MX"/>
        </w:rPr>
        <w:footnoteRef/>
      </w:r>
      <w:r w:rsidRPr="005C7A0A">
        <w:rPr>
          <w:rStyle w:val="FootnoteReference"/>
          <w:rFonts w:eastAsia="Batang" w:cs="Calibri"/>
          <w:bCs w:val="0"/>
          <w:lang w:val="en-US" w:eastAsia="es-MX"/>
        </w:rPr>
        <w:t xml:space="preserve"> </w:t>
      </w:r>
      <w:r w:rsidRPr="005C7A0A">
        <w:rPr>
          <w:rStyle w:val="FootnoteReference"/>
          <w:rFonts w:eastAsia="Batang" w:cs="Calibri"/>
          <w:bCs w:val="0"/>
          <w:lang w:val="en-US" w:eastAsia="es-MX"/>
        </w:rPr>
        <w:tab/>
      </w:r>
      <w:proofErr w:type="gramStart"/>
      <w:r w:rsidRPr="005C7A0A">
        <w:rPr>
          <w:rFonts w:eastAsia="Batang" w:cs="Calibri"/>
          <w:lang w:val="en-US" w:eastAsia="es-MX"/>
        </w:rPr>
        <w:t>Articles 51 and 61(1) of the Convention.</w:t>
      </w:r>
      <w:proofErr w:type="gramEnd"/>
    </w:p>
  </w:footnote>
  <w:footnote w:id="418">
    <w:p w14:paraId="06667B4E" w14:textId="77777777" w:rsidR="000F66F8" w:rsidRPr="005C7A0A" w:rsidRDefault="000F66F8" w:rsidP="000F66F8">
      <w:pPr>
        <w:pStyle w:val="FootnoteText"/>
        <w:tabs>
          <w:tab w:val="left" w:pos="450"/>
          <w:tab w:val="left" w:pos="540"/>
        </w:tabs>
        <w:spacing w:after="120"/>
        <w:rPr>
          <w:lang w:val="en-US"/>
        </w:rPr>
      </w:pPr>
      <w:r w:rsidRPr="005C7A0A">
        <w:rPr>
          <w:rStyle w:val="FootnoteReference"/>
          <w:lang w:val="en-US"/>
        </w:rPr>
        <w:footnoteRef/>
      </w:r>
      <w:r w:rsidRPr="005C7A0A">
        <w:rPr>
          <w:lang w:val="en-US"/>
        </w:rPr>
        <w:t xml:space="preserve"> </w:t>
      </w:r>
      <w:r w:rsidRPr="005C7A0A">
        <w:rPr>
          <w:lang w:val="en-US"/>
        </w:rPr>
        <w:tab/>
      </w:r>
      <w:proofErr w:type="gramStart"/>
      <w:r w:rsidRPr="005C7A0A">
        <w:rPr>
          <w:lang w:val="en-US"/>
        </w:rPr>
        <w:t>Para.</w:t>
      </w:r>
      <w:proofErr w:type="gramEnd"/>
      <w:r w:rsidRPr="005C7A0A">
        <w:rPr>
          <w:lang w:val="en-US"/>
        </w:rPr>
        <w:t xml:space="preserve"> </w:t>
      </w:r>
      <w:proofErr w:type="gramStart"/>
      <w:r w:rsidRPr="005C7A0A">
        <w:rPr>
          <w:lang w:val="en-US"/>
        </w:rPr>
        <w:t>27 of the Judgment.</w:t>
      </w:r>
      <w:proofErr w:type="gramEnd"/>
    </w:p>
  </w:footnote>
  <w:footnote w:id="419">
    <w:p w14:paraId="24951DE7" w14:textId="77777777" w:rsidR="000F66F8" w:rsidRPr="005C7A0A" w:rsidRDefault="000F66F8" w:rsidP="000F66F8">
      <w:pPr>
        <w:pStyle w:val="Footnotes"/>
        <w:tabs>
          <w:tab w:val="clear" w:pos="426"/>
          <w:tab w:val="left" w:pos="450"/>
        </w:tabs>
        <w:rPr>
          <w:rStyle w:val="FootnoteReference"/>
          <w:rFonts w:eastAsia="Batang"/>
          <w:szCs w:val="16"/>
          <w:lang w:val="en-US"/>
        </w:rPr>
      </w:pPr>
      <w:r w:rsidRPr="005C7A0A">
        <w:rPr>
          <w:rStyle w:val="FootnoteReference"/>
          <w:rFonts w:eastAsia="Batang" w:cs="Calibri"/>
          <w:bCs/>
          <w:szCs w:val="16"/>
          <w:lang w:val="en-US" w:eastAsia="es-MX"/>
        </w:rPr>
        <w:footnoteRef/>
      </w:r>
      <w:r w:rsidRPr="005C7A0A">
        <w:rPr>
          <w:rStyle w:val="FootnoteReference"/>
          <w:rFonts w:eastAsia="Batang" w:cs="Calibri"/>
          <w:bCs/>
          <w:szCs w:val="16"/>
          <w:lang w:val="en-US" w:eastAsia="es-MX"/>
        </w:rPr>
        <w:t xml:space="preserve"> </w:t>
      </w:r>
      <w:r w:rsidRPr="005C7A0A">
        <w:rPr>
          <w:rStyle w:val="FootnoteReference"/>
          <w:rFonts w:eastAsia="Batang" w:cs="Calibri"/>
          <w:bCs/>
          <w:szCs w:val="16"/>
          <w:lang w:val="en-US" w:eastAsia="es-MX"/>
        </w:rPr>
        <w:tab/>
      </w:r>
      <w:r w:rsidRPr="005C7A0A">
        <w:rPr>
          <w:rStyle w:val="FootnoteReference"/>
          <w:rFonts w:eastAsia="Batang"/>
          <w:szCs w:val="16"/>
          <w:lang w:val="en-US"/>
        </w:rPr>
        <w:t>Art. 1(1) of the Convention: “[t]</w:t>
      </w:r>
      <w:r w:rsidRPr="005C7A0A">
        <w:rPr>
          <w:spacing w:val="-3"/>
          <w:szCs w:val="16"/>
          <w:lang w:val="en-US"/>
        </w:rPr>
        <w: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5C7A0A">
        <w:rPr>
          <w:rStyle w:val="FootnoteReference"/>
          <w:rFonts w:eastAsia="Batang"/>
          <w:szCs w:val="16"/>
          <w:lang w:val="en-US"/>
        </w:rPr>
        <w:t>”</w:t>
      </w:r>
    </w:p>
  </w:footnote>
  <w:footnote w:id="420">
    <w:p w14:paraId="07A8F419" w14:textId="77777777" w:rsidR="000F66F8" w:rsidRPr="005C7A0A" w:rsidRDefault="000F66F8" w:rsidP="000F66F8">
      <w:pPr>
        <w:pStyle w:val="Footnotes"/>
        <w:tabs>
          <w:tab w:val="clear" w:pos="426"/>
          <w:tab w:val="left" w:pos="450"/>
        </w:tabs>
        <w:rPr>
          <w:rStyle w:val="FootnoteReference"/>
          <w:rFonts w:eastAsia="Batang"/>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1E29A6">
        <w:rPr>
          <w:rStyle w:val="FootnoteReference"/>
          <w:rFonts w:eastAsia="Batang"/>
          <w:szCs w:val="16"/>
          <w:lang w:val="en-US"/>
        </w:rPr>
        <w:tab/>
      </w:r>
      <w:r w:rsidRPr="005C7A0A">
        <w:rPr>
          <w:rStyle w:val="FootnoteReference"/>
          <w:rFonts w:eastAsia="Batang"/>
          <w:szCs w:val="16"/>
          <w:lang w:val="en-US"/>
        </w:rPr>
        <w:t xml:space="preserve">Art. 33 of the Convention: “[t]he </w:t>
      </w:r>
      <w:r w:rsidRPr="005C7A0A">
        <w:rPr>
          <w:spacing w:val="-3"/>
          <w:szCs w:val="16"/>
          <w:lang w:val="en-US"/>
        </w:rPr>
        <w:t>following organs shall have competence with respect to matters relating to the fulfillment of the commitments made by the States Parties to this Convention</w:t>
      </w:r>
      <w:r w:rsidRPr="005C7A0A">
        <w:rPr>
          <w:rStyle w:val="FootnoteReference"/>
          <w:rFonts w:eastAsia="Batang"/>
          <w:szCs w:val="16"/>
          <w:lang w:val="en-US"/>
        </w:rPr>
        <w:t>: (a) the Inter-American Commission de Human rights, refe</w:t>
      </w:r>
      <w:r w:rsidRPr="005C7A0A">
        <w:rPr>
          <w:rFonts w:eastAsia="Batang"/>
          <w:szCs w:val="16"/>
          <w:lang w:val="en-US"/>
        </w:rPr>
        <w:t>rred to as</w:t>
      </w:r>
      <w:r w:rsidRPr="005C7A0A">
        <w:rPr>
          <w:rStyle w:val="FootnoteReference"/>
          <w:rFonts w:eastAsia="Batang"/>
          <w:szCs w:val="16"/>
          <w:lang w:val="en-US"/>
        </w:rPr>
        <w:t xml:space="preserve"> the Commission, and </w:t>
      </w:r>
      <w:r w:rsidRPr="005C7A0A">
        <w:rPr>
          <w:rFonts w:eastAsia="Batang"/>
          <w:szCs w:val="16"/>
          <w:lang w:val="en-US"/>
        </w:rPr>
        <w:t>(</w:t>
      </w:r>
      <w:r w:rsidRPr="005C7A0A">
        <w:rPr>
          <w:rStyle w:val="FootnoteReference"/>
          <w:rFonts w:eastAsia="Batang"/>
          <w:szCs w:val="16"/>
          <w:lang w:val="en-US"/>
        </w:rPr>
        <w:t>b) the Inter-American Court of Human Rights, referred to as the Court”.</w:t>
      </w:r>
    </w:p>
  </w:footnote>
  <w:footnote w:id="421">
    <w:p w14:paraId="77A91A00" w14:textId="77777777" w:rsidR="000F66F8" w:rsidRPr="005C7A0A" w:rsidRDefault="000F66F8" w:rsidP="000F66F8">
      <w:pPr>
        <w:pStyle w:val="Footnotes"/>
        <w:tabs>
          <w:tab w:val="clear" w:pos="426"/>
          <w:tab w:val="left" w:pos="450"/>
        </w:tabs>
        <w:rPr>
          <w:rStyle w:val="FootnoteReference"/>
          <w:rFonts w:eastAsia="Batang"/>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5C7A0A">
        <w:rPr>
          <w:rStyle w:val="FootnoteReference"/>
          <w:rFonts w:eastAsia="Batang"/>
          <w:szCs w:val="16"/>
          <w:lang w:val="en-US"/>
        </w:rPr>
        <w:tab/>
        <w:t>Art. 63(1) of the Convention: “[</w:t>
      </w:r>
      <w:proofErr w:type="spellStart"/>
      <w:r w:rsidRPr="005C7A0A">
        <w:rPr>
          <w:rStyle w:val="FootnoteReference"/>
          <w:rFonts w:eastAsia="Batang"/>
          <w:szCs w:val="16"/>
          <w:lang w:val="en-US"/>
        </w:rPr>
        <w:t>i</w:t>
      </w:r>
      <w:proofErr w:type="spellEnd"/>
      <w:r w:rsidRPr="005C7A0A">
        <w:rPr>
          <w:rStyle w:val="FootnoteReference"/>
          <w:rFonts w:eastAsia="Batang"/>
          <w:szCs w:val="16"/>
          <w:lang w:val="en-US"/>
        </w:rPr>
        <w:t xml:space="preserve">]f </w:t>
      </w:r>
      <w:proofErr w:type="gramStart"/>
      <w:r w:rsidRPr="005C7A0A">
        <w:rPr>
          <w:spacing w:val="-3"/>
          <w:szCs w:val="16"/>
          <w:lang w:val="en-US"/>
        </w:rPr>
        <w:t>the</w:t>
      </w:r>
      <w:proofErr w:type="gramEnd"/>
      <w:r w:rsidRPr="005C7A0A">
        <w:rPr>
          <w:spacing w:val="-3"/>
          <w:szCs w:val="16"/>
          <w:lang w:val="en-US"/>
        </w:rPr>
        <w:t xml:space="preserve"> Court finds that there has been a violation of a right or freedom protected by this Convention, the Court shall rule that the injured party be ensured the enjoyment of his right or freedom that was violated.  It shall also rule, if appropriate, that the consequences of the measure or situation that constituted the breach of such right or freedom be remedied and that fair compensation be paid to the injured party</w:t>
      </w:r>
      <w:r w:rsidRPr="005C7A0A">
        <w:rPr>
          <w:rStyle w:val="FootnoteReference"/>
          <w:rFonts w:eastAsia="Batang"/>
          <w:szCs w:val="16"/>
          <w:lang w:val="en-US"/>
        </w:rPr>
        <w:t>”.</w:t>
      </w:r>
    </w:p>
  </w:footnote>
  <w:footnote w:id="422">
    <w:p w14:paraId="2D5777AC" w14:textId="77777777" w:rsidR="000F66F8" w:rsidRPr="005C7A0A" w:rsidRDefault="000F66F8" w:rsidP="000F66F8">
      <w:pPr>
        <w:pStyle w:val="Footnotes"/>
        <w:tabs>
          <w:tab w:val="clear" w:pos="426"/>
          <w:tab w:val="left" w:pos="450"/>
        </w:tabs>
        <w:rPr>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5C7A0A">
        <w:rPr>
          <w:rStyle w:val="FootnoteReference"/>
          <w:rFonts w:eastAsia="Batang"/>
          <w:szCs w:val="16"/>
          <w:lang w:val="en-US"/>
        </w:rPr>
        <w:tab/>
        <w:t>Hereinafter “the victim.”</w:t>
      </w:r>
    </w:p>
  </w:footnote>
  <w:footnote w:id="423">
    <w:p w14:paraId="0F96DD20" w14:textId="77777777" w:rsidR="000F66F8" w:rsidRPr="005C7A0A" w:rsidRDefault="000F66F8" w:rsidP="000F66F8">
      <w:pPr>
        <w:pStyle w:val="Footnotes"/>
        <w:tabs>
          <w:tab w:val="clear" w:pos="426"/>
          <w:tab w:val="left" w:pos="450"/>
        </w:tabs>
        <w:rPr>
          <w:rStyle w:val="FootnoteReference"/>
          <w:rFonts w:eastAsia="Calibri"/>
          <w:szCs w:val="16"/>
          <w:lang w:val="en-US"/>
        </w:rPr>
      </w:pPr>
      <w:r w:rsidRPr="001E29A6">
        <w:rPr>
          <w:rStyle w:val="FootnoteReference"/>
          <w:rFonts w:eastAsia="Calibri"/>
          <w:szCs w:val="16"/>
          <w:lang w:val="en-US"/>
        </w:rPr>
        <w:footnoteRef/>
      </w:r>
      <w:r w:rsidRPr="005C7A0A">
        <w:rPr>
          <w:rStyle w:val="FootnoteReference"/>
          <w:rFonts w:eastAsia="Calibri"/>
          <w:szCs w:val="16"/>
          <w:lang w:val="en-US"/>
        </w:rPr>
        <w:t xml:space="preserve"> </w:t>
      </w:r>
      <w:r w:rsidRPr="005C7A0A">
        <w:rPr>
          <w:rStyle w:val="FootnoteReference"/>
          <w:rFonts w:eastAsia="Calibri"/>
          <w:szCs w:val="16"/>
          <w:lang w:val="en-US"/>
        </w:rPr>
        <w:tab/>
        <w:t xml:space="preserve">Segundo paragraph </w:t>
      </w:r>
      <w:r w:rsidRPr="005C7A0A">
        <w:rPr>
          <w:rFonts w:eastAsia="Calibri"/>
          <w:szCs w:val="16"/>
          <w:lang w:val="en-US"/>
        </w:rPr>
        <w:t xml:space="preserve">of the Preamble </w:t>
      </w:r>
      <w:r w:rsidRPr="005C7A0A">
        <w:rPr>
          <w:rStyle w:val="FootnoteReference"/>
          <w:rFonts w:eastAsia="Calibri"/>
          <w:szCs w:val="16"/>
          <w:lang w:val="en-US"/>
        </w:rPr>
        <w:t>of the Convention: “[r]</w:t>
      </w:r>
      <w:proofErr w:type="spellStart"/>
      <w:r w:rsidRPr="005C7A0A">
        <w:rPr>
          <w:spacing w:val="-3"/>
          <w:szCs w:val="16"/>
          <w:lang w:val="en-US"/>
        </w:rPr>
        <w:t>ecognizing</w:t>
      </w:r>
      <w:proofErr w:type="spellEnd"/>
      <w:r w:rsidRPr="005C7A0A">
        <w:rPr>
          <w:spacing w:val="-3"/>
          <w:szCs w:val="16"/>
          <w:lang w:val="en-US"/>
        </w:rPr>
        <w:t xml:space="preserve"> that  the essential rights of man are not derived from one's being a national of a certain state, but are based upon attributes of the human personality, and that they therefore justify international protection in the form of a convention reinforcing or complementing the protection provided by the domestic law of the American States</w:t>
      </w:r>
      <w:r w:rsidRPr="005C7A0A">
        <w:rPr>
          <w:rStyle w:val="FootnoteReference"/>
          <w:rFonts w:eastAsia="Calibri"/>
          <w:szCs w:val="16"/>
          <w:lang w:val="en-US"/>
        </w:rPr>
        <w:t>.”</w:t>
      </w:r>
    </w:p>
    <w:p w14:paraId="29ADCDB9" w14:textId="77777777" w:rsidR="000F66F8" w:rsidRPr="005C7A0A" w:rsidRDefault="000F66F8" w:rsidP="000F66F8">
      <w:pPr>
        <w:pStyle w:val="Footnotes"/>
        <w:tabs>
          <w:tab w:val="clear" w:pos="426"/>
          <w:tab w:val="left" w:pos="450"/>
        </w:tabs>
        <w:rPr>
          <w:rStyle w:val="FootnoteReference"/>
          <w:rFonts w:eastAsia="Calibri"/>
          <w:szCs w:val="16"/>
          <w:lang w:val="en-US"/>
        </w:rPr>
      </w:pPr>
      <w:r w:rsidRPr="005C7A0A">
        <w:rPr>
          <w:rStyle w:val="FootnoteReference"/>
          <w:rFonts w:eastAsia="Calibri"/>
          <w:szCs w:val="16"/>
          <w:lang w:val="en-US"/>
        </w:rPr>
        <w:t>Per</w:t>
      </w:r>
      <w:r w:rsidRPr="005C7A0A">
        <w:rPr>
          <w:rFonts w:eastAsia="Calibri"/>
          <w:szCs w:val="16"/>
          <w:lang w:val="en-US"/>
        </w:rPr>
        <w:t>haps it is</w:t>
      </w:r>
      <w:r w:rsidRPr="005C7A0A">
        <w:rPr>
          <w:rStyle w:val="FootnoteReference"/>
          <w:rFonts w:eastAsia="Calibri"/>
          <w:szCs w:val="16"/>
          <w:lang w:val="en-US"/>
        </w:rPr>
        <w:t xml:space="preserve"> Article 25(1) of the Convention </w:t>
      </w:r>
      <w:r w:rsidRPr="005C7A0A">
        <w:rPr>
          <w:rFonts w:eastAsia="Calibri"/>
          <w:szCs w:val="16"/>
          <w:lang w:val="en-US"/>
        </w:rPr>
        <w:t xml:space="preserve">that best expresses the subsidiary nature </w:t>
      </w:r>
      <w:r w:rsidRPr="005C7A0A">
        <w:rPr>
          <w:rStyle w:val="FootnoteReference"/>
          <w:rFonts w:eastAsia="Calibri"/>
          <w:szCs w:val="16"/>
          <w:lang w:val="en-US"/>
        </w:rPr>
        <w:t xml:space="preserve">of the inter-American human rights system, </w:t>
      </w:r>
      <w:r w:rsidRPr="005C7A0A">
        <w:rPr>
          <w:rFonts w:eastAsia="Calibri"/>
          <w:szCs w:val="16"/>
          <w:lang w:val="en-US"/>
        </w:rPr>
        <w:t>when it indicates that</w:t>
      </w:r>
      <w:r w:rsidRPr="005C7A0A">
        <w:rPr>
          <w:rStyle w:val="FootnoteReference"/>
          <w:rFonts w:eastAsia="Calibri"/>
          <w:szCs w:val="16"/>
          <w:lang w:val="en-US"/>
        </w:rPr>
        <w:t>: “[e]</w:t>
      </w:r>
      <w:proofErr w:type="spellStart"/>
      <w:r w:rsidRPr="005C7A0A">
        <w:rPr>
          <w:spacing w:val="-3"/>
          <w:szCs w:val="16"/>
          <w:lang w:val="en-US"/>
        </w:rPr>
        <w:t>veryone</w:t>
      </w:r>
      <w:proofErr w:type="spellEnd"/>
      <w:r w:rsidRPr="005C7A0A">
        <w:rPr>
          <w:spacing w:val="-3"/>
          <w:szCs w:val="16"/>
          <w:lang w:val="en-US"/>
        </w:rPr>
        <w:t xml:space="preserve"> has the right to simple and prompt recourse, or any other effective recourse, to a competent court or tribunal for protection against acts that violate his fundamental rights recognized by the constitution or laws of the State concerned or by this Convention, even though such violation may have been committed by persons acting in the course of their official duties.</w:t>
      </w:r>
      <w:r w:rsidRPr="005C7A0A">
        <w:rPr>
          <w:rStyle w:val="FootnoteReference"/>
          <w:rFonts w:eastAsia="Calibri"/>
          <w:szCs w:val="16"/>
          <w:lang w:val="en-US"/>
        </w:rPr>
        <w:t xml:space="preserve">” </w:t>
      </w:r>
    </w:p>
  </w:footnote>
  <w:footnote w:id="424">
    <w:p w14:paraId="0BB9F56C" w14:textId="77777777" w:rsidR="000F66F8" w:rsidRPr="005C7A0A" w:rsidRDefault="000F66F8" w:rsidP="000F66F8">
      <w:pPr>
        <w:tabs>
          <w:tab w:val="left" w:pos="450"/>
        </w:tabs>
        <w:spacing w:after="120"/>
        <w:rPr>
          <w:rStyle w:val="FootnoteReference"/>
          <w:sz w:val="16"/>
          <w:szCs w:val="16"/>
          <w:lang w:val="en-US"/>
        </w:rPr>
      </w:pPr>
      <w:r w:rsidRPr="001E29A6">
        <w:rPr>
          <w:rStyle w:val="FootnoteReference"/>
          <w:sz w:val="16"/>
          <w:szCs w:val="16"/>
          <w:lang w:val="en-US"/>
        </w:rPr>
        <w:footnoteRef/>
      </w:r>
      <w:r w:rsidRPr="005C7A0A">
        <w:rPr>
          <w:rStyle w:val="FootnoteReference"/>
          <w:sz w:val="16"/>
          <w:szCs w:val="16"/>
          <w:lang w:val="en-US"/>
        </w:rPr>
        <w:t xml:space="preserve"> </w:t>
      </w:r>
      <w:r w:rsidRPr="005C7A0A">
        <w:rPr>
          <w:rStyle w:val="FootnoteReference"/>
          <w:sz w:val="16"/>
          <w:szCs w:val="16"/>
          <w:lang w:val="en-US"/>
        </w:rPr>
        <w:tab/>
        <w:t>“</w:t>
      </w:r>
      <w:r w:rsidRPr="005C7A0A">
        <w:rPr>
          <w:rFonts w:cs="Tahoma"/>
          <w:sz w:val="16"/>
          <w:szCs w:val="16"/>
          <w:lang w:val="en-US"/>
        </w:rPr>
        <w:t>The American States establish by this Charter the international organization that they have developed to achieve an order of peace and justice, to promote their solidarity, to strengthen their collaboration, and to defend their sovereignty, their territorial integrity, and their independence. Within the United Nations, the Organization of American States is a regional agency.”</w:t>
      </w:r>
    </w:p>
  </w:footnote>
  <w:footnote w:id="425">
    <w:p w14:paraId="7808E116" w14:textId="77777777" w:rsidR="000F66F8" w:rsidRPr="005C7A0A" w:rsidRDefault="000F66F8" w:rsidP="000F66F8">
      <w:pPr>
        <w:tabs>
          <w:tab w:val="left" w:pos="450"/>
        </w:tabs>
        <w:spacing w:after="120"/>
        <w:rPr>
          <w:rStyle w:val="FootnoteReference"/>
          <w:sz w:val="16"/>
          <w:szCs w:val="16"/>
          <w:lang w:val="en-US"/>
        </w:rPr>
      </w:pPr>
      <w:r w:rsidRPr="001E29A6">
        <w:rPr>
          <w:rStyle w:val="FootnoteReference"/>
          <w:sz w:val="16"/>
          <w:szCs w:val="16"/>
          <w:lang w:val="en-US"/>
        </w:rPr>
        <w:footnoteRef/>
      </w:r>
      <w:r w:rsidRPr="005C7A0A">
        <w:rPr>
          <w:rStyle w:val="FootnoteReference"/>
          <w:sz w:val="16"/>
          <w:szCs w:val="16"/>
          <w:lang w:val="en-US"/>
        </w:rPr>
        <w:t xml:space="preserve"> </w:t>
      </w:r>
      <w:r w:rsidRPr="005C7A0A">
        <w:rPr>
          <w:rStyle w:val="FootnoteReference"/>
          <w:sz w:val="16"/>
          <w:szCs w:val="16"/>
          <w:lang w:val="en-US"/>
        </w:rPr>
        <w:tab/>
        <w:t>“</w:t>
      </w:r>
      <w:r w:rsidRPr="005C7A0A">
        <w:rPr>
          <w:rFonts w:cs="Tahoma"/>
          <w:sz w:val="16"/>
          <w:szCs w:val="16"/>
          <w:lang w:val="en-US"/>
        </w:rPr>
        <w:t xml:space="preserve">The American States reaffirm the following principles: </w:t>
      </w:r>
      <w:r w:rsidRPr="005C7A0A">
        <w:rPr>
          <w:rStyle w:val="FootnoteReference"/>
          <w:sz w:val="16"/>
          <w:szCs w:val="16"/>
          <w:lang w:val="en-US"/>
        </w:rPr>
        <w:t>[…] b) </w:t>
      </w:r>
      <w:r w:rsidRPr="005C7A0A">
        <w:rPr>
          <w:rFonts w:cs="Tahoma"/>
          <w:sz w:val="16"/>
          <w:szCs w:val="16"/>
          <w:lang w:val="en-US"/>
        </w:rPr>
        <w:t>International order consists essentially of respect for the personality, sovereignty, and independence of States, and the faithful fulfillment of obligations derived from treaties and other sources of international law.”</w:t>
      </w:r>
    </w:p>
  </w:footnote>
  <w:footnote w:id="426">
    <w:p w14:paraId="07AFF352" w14:textId="77777777" w:rsidR="000F66F8" w:rsidRPr="005C7A0A" w:rsidRDefault="000F66F8" w:rsidP="000F66F8">
      <w:pPr>
        <w:pStyle w:val="Footnotes"/>
        <w:tabs>
          <w:tab w:val="clear" w:pos="426"/>
          <w:tab w:val="left" w:pos="450"/>
        </w:tabs>
        <w:rPr>
          <w:rFonts w:eastAsia="Calibri"/>
          <w:szCs w:val="16"/>
          <w:lang w:val="en-US"/>
        </w:rPr>
      </w:pPr>
      <w:r w:rsidRPr="001E29A6">
        <w:rPr>
          <w:rStyle w:val="FootnoteReference"/>
          <w:rFonts w:eastAsia="Calibri"/>
          <w:szCs w:val="16"/>
          <w:lang w:val="en-US"/>
        </w:rPr>
        <w:footnoteRef/>
      </w:r>
      <w:r w:rsidRPr="001E29A6">
        <w:rPr>
          <w:rStyle w:val="FootnoteReference"/>
          <w:rFonts w:eastAsia="Calibri"/>
          <w:szCs w:val="16"/>
          <w:lang w:val="en-US"/>
        </w:rPr>
        <w:t xml:space="preserve"> </w:t>
      </w:r>
      <w:r w:rsidRPr="005C7A0A">
        <w:rPr>
          <w:rStyle w:val="FootnoteReference"/>
          <w:rFonts w:eastAsia="Calibri"/>
          <w:szCs w:val="16"/>
          <w:lang w:val="en-US"/>
        </w:rPr>
        <w:tab/>
      </w:r>
      <w:r w:rsidRPr="005C7A0A">
        <w:rPr>
          <w:rFonts w:eastAsia="Calibri"/>
          <w:szCs w:val="16"/>
          <w:lang w:val="en-US"/>
        </w:rPr>
        <w:t>The Inter-American Democratic Charter adopted at the twenty-eighth special session of the General Assembly of the Organization of American States by a resolution dated September 11, 2001</w:t>
      </w:r>
      <w:r w:rsidRPr="005C7A0A">
        <w:rPr>
          <w:rStyle w:val="FootnoteReference"/>
          <w:rFonts w:eastAsia="Calibri"/>
          <w:szCs w:val="16"/>
          <w:lang w:val="en-US"/>
        </w:rPr>
        <w:t>.</w:t>
      </w:r>
    </w:p>
  </w:footnote>
  <w:footnote w:id="427">
    <w:p w14:paraId="04163AAE" w14:textId="77777777" w:rsidR="000F66F8" w:rsidRPr="005C7A0A" w:rsidRDefault="000F66F8" w:rsidP="000F66F8">
      <w:pPr>
        <w:pStyle w:val="Footnotes"/>
        <w:tabs>
          <w:tab w:val="clear" w:pos="426"/>
          <w:tab w:val="left" w:pos="450"/>
        </w:tabs>
        <w:rPr>
          <w:rStyle w:val="FootnoteReference"/>
          <w:szCs w:val="16"/>
          <w:lang w:val="en-US"/>
        </w:rPr>
      </w:pPr>
      <w:r w:rsidRPr="001E29A6">
        <w:rPr>
          <w:rStyle w:val="FootnoteReference"/>
          <w:szCs w:val="16"/>
          <w:lang w:val="en-US"/>
        </w:rPr>
        <w:footnoteRef/>
      </w:r>
      <w:r w:rsidRPr="005C7A0A">
        <w:rPr>
          <w:rStyle w:val="FootnoteReference"/>
          <w:szCs w:val="16"/>
          <w:lang w:val="en-US"/>
        </w:rPr>
        <w:t xml:space="preserve"> </w:t>
      </w:r>
      <w:r w:rsidRPr="005C7A0A">
        <w:rPr>
          <w:rStyle w:val="FootnoteReference"/>
          <w:szCs w:val="16"/>
          <w:lang w:val="en-US"/>
        </w:rPr>
        <w:tab/>
        <w:t>Article 44 of the Convention: “[a]</w:t>
      </w:r>
      <w:proofErr w:type="spellStart"/>
      <w:proofErr w:type="gramStart"/>
      <w:r w:rsidRPr="005C7A0A">
        <w:rPr>
          <w:spacing w:val="-3"/>
          <w:szCs w:val="16"/>
          <w:lang w:val="en-US"/>
        </w:rPr>
        <w:t>ny</w:t>
      </w:r>
      <w:proofErr w:type="spellEnd"/>
      <w:proofErr w:type="gramEnd"/>
      <w:r w:rsidRPr="005C7A0A">
        <w:rPr>
          <w:spacing w:val="-3"/>
          <w:szCs w:val="16"/>
          <w:lang w:val="en-US"/>
        </w:rPr>
        <w:t xml:space="preserve"> person or group of persons, or any nongovernmental entity legally recognized in one or more member states of the Organization, may lodge petitions with the Commission containing denunciations or complaints of violation of this Convention by a State Party.</w:t>
      </w:r>
      <w:r w:rsidRPr="005C7A0A">
        <w:rPr>
          <w:rStyle w:val="FootnoteReference"/>
          <w:szCs w:val="16"/>
          <w:lang w:val="en-US"/>
        </w:rPr>
        <w:t>”.</w:t>
      </w:r>
    </w:p>
    <w:p w14:paraId="63D5C6ED" w14:textId="77777777" w:rsidR="000F66F8" w:rsidRPr="005C7A0A" w:rsidRDefault="000F66F8" w:rsidP="000F66F8">
      <w:pPr>
        <w:pStyle w:val="Footnotes"/>
        <w:tabs>
          <w:tab w:val="clear" w:pos="426"/>
          <w:tab w:val="left" w:pos="450"/>
        </w:tabs>
        <w:rPr>
          <w:rStyle w:val="FootnoteReference"/>
          <w:szCs w:val="16"/>
          <w:lang w:val="en-US"/>
        </w:rPr>
      </w:pPr>
      <w:r w:rsidRPr="005C7A0A">
        <w:rPr>
          <w:rStyle w:val="FootnoteReference"/>
          <w:szCs w:val="16"/>
          <w:lang w:val="en-US"/>
        </w:rPr>
        <w:tab/>
        <w:t>Article 61(1) of the Convention: “[o]</w:t>
      </w:r>
      <w:proofErr w:type="spellStart"/>
      <w:proofErr w:type="gramStart"/>
      <w:r w:rsidRPr="005C7A0A">
        <w:rPr>
          <w:spacing w:val="-3"/>
          <w:szCs w:val="16"/>
          <w:lang w:val="en-US"/>
        </w:rPr>
        <w:t>nly</w:t>
      </w:r>
      <w:proofErr w:type="spellEnd"/>
      <w:proofErr w:type="gramEnd"/>
      <w:r w:rsidRPr="005C7A0A">
        <w:rPr>
          <w:spacing w:val="-3"/>
          <w:szCs w:val="16"/>
          <w:lang w:val="en-US"/>
        </w:rPr>
        <w:t xml:space="preserve"> the States Parties and the Commission shall have the right to submit a case to the Court</w:t>
      </w:r>
      <w:r w:rsidRPr="005C7A0A">
        <w:rPr>
          <w:szCs w:val="16"/>
          <w:lang w:val="en-US"/>
        </w:rPr>
        <w:t>.</w:t>
      </w:r>
      <w:r w:rsidRPr="005C7A0A">
        <w:rPr>
          <w:rStyle w:val="FootnoteReference"/>
          <w:szCs w:val="16"/>
          <w:lang w:val="en-US"/>
        </w:rPr>
        <w:t xml:space="preserve">” </w:t>
      </w:r>
    </w:p>
  </w:footnote>
  <w:footnote w:id="428">
    <w:p w14:paraId="1B3D6843" w14:textId="77777777" w:rsidR="000F66F8" w:rsidRPr="005C7A0A" w:rsidRDefault="000F66F8" w:rsidP="000F66F8">
      <w:pPr>
        <w:tabs>
          <w:tab w:val="left" w:pos="450"/>
        </w:tabs>
        <w:spacing w:after="120"/>
        <w:rPr>
          <w:rFonts w:eastAsia="Times New Roman" w:cs="Times New Roman"/>
          <w:sz w:val="16"/>
          <w:szCs w:val="16"/>
          <w:lang w:val="en-US"/>
        </w:rPr>
      </w:pPr>
      <w:r w:rsidRPr="001E29A6">
        <w:rPr>
          <w:rStyle w:val="FootnoteReference"/>
          <w:sz w:val="16"/>
          <w:szCs w:val="16"/>
          <w:lang w:val="en-US"/>
        </w:rPr>
        <w:footnoteRef/>
      </w:r>
      <w:r w:rsidRPr="001E29A6">
        <w:rPr>
          <w:rStyle w:val="FootnoteReference"/>
          <w:sz w:val="16"/>
          <w:szCs w:val="16"/>
          <w:lang w:val="en-US"/>
        </w:rPr>
        <w:t xml:space="preserve"> </w:t>
      </w:r>
      <w:r w:rsidRPr="005C7A0A">
        <w:rPr>
          <w:rStyle w:val="FootnoteReference"/>
          <w:sz w:val="16"/>
          <w:szCs w:val="16"/>
          <w:lang w:val="en-US"/>
        </w:rPr>
        <w:tab/>
      </w:r>
      <w:r w:rsidRPr="005C7A0A">
        <w:rPr>
          <w:rFonts w:eastAsia="Times New Roman" w:cs="Times New Roman"/>
          <w:sz w:val="16"/>
          <w:szCs w:val="16"/>
          <w:lang w:val="en-US"/>
        </w:rPr>
        <w:t>Approved by the Commission at its 109th special session held from December 4 to 8, 2000, and amended at its 116</w:t>
      </w:r>
      <w:r w:rsidRPr="005C7A0A">
        <w:rPr>
          <w:rFonts w:eastAsia="Times New Roman" w:cs="Times New Roman"/>
          <w:sz w:val="16"/>
          <w:szCs w:val="16"/>
          <w:vertAlign w:val="superscript"/>
          <w:lang w:val="en-US"/>
        </w:rPr>
        <w:t>th</w:t>
      </w:r>
      <w:r w:rsidRPr="005C7A0A">
        <w:rPr>
          <w:rFonts w:eastAsia="Times New Roman" w:cs="Times New Roman"/>
          <w:sz w:val="16"/>
          <w:szCs w:val="16"/>
          <w:lang w:val="en-US"/>
        </w:rPr>
        <w:t xml:space="preserve"> regular period of sessions held from October 7 to 25, 2002, at its 118</w:t>
      </w:r>
      <w:r w:rsidRPr="005C7A0A">
        <w:rPr>
          <w:rFonts w:eastAsia="Times New Roman" w:cs="Times New Roman"/>
          <w:sz w:val="16"/>
          <w:szCs w:val="16"/>
          <w:vertAlign w:val="superscript"/>
          <w:lang w:val="en-US"/>
        </w:rPr>
        <w:t>th</w:t>
      </w:r>
      <w:r w:rsidRPr="005C7A0A">
        <w:rPr>
          <w:rFonts w:eastAsia="Times New Roman" w:cs="Times New Roman"/>
          <w:sz w:val="16"/>
          <w:szCs w:val="16"/>
          <w:lang w:val="en-US"/>
        </w:rPr>
        <w:t xml:space="preserve"> regular period of sessions held from October 6 to 24, 2003, at its 126</w:t>
      </w:r>
      <w:r w:rsidRPr="005C7A0A">
        <w:rPr>
          <w:rFonts w:eastAsia="Times New Roman" w:cs="Times New Roman"/>
          <w:sz w:val="16"/>
          <w:szCs w:val="16"/>
          <w:vertAlign w:val="superscript"/>
          <w:lang w:val="en-US"/>
        </w:rPr>
        <w:t>th</w:t>
      </w:r>
      <w:r w:rsidRPr="005C7A0A">
        <w:rPr>
          <w:rFonts w:eastAsia="Times New Roman" w:cs="Times New Roman"/>
          <w:sz w:val="16"/>
          <w:szCs w:val="16"/>
          <w:lang w:val="en-US"/>
        </w:rPr>
        <w:t xml:space="preserve"> regular period of sessions held from October 16 to 27, 2006, and at its 132</w:t>
      </w:r>
      <w:r w:rsidRPr="005C7A0A">
        <w:rPr>
          <w:rFonts w:eastAsia="Times New Roman" w:cs="Times New Roman"/>
          <w:sz w:val="16"/>
          <w:szCs w:val="16"/>
          <w:vertAlign w:val="superscript"/>
          <w:lang w:val="en-US"/>
        </w:rPr>
        <w:t>nd</w:t>
      </w:r>
      <w:r w:rsidRPr="005C7A0A">
        <w:rPr>
          <w:rFonts w:eastAsia="Times New Roman" w:cs="Times New Roman"/>
          <w:sz w:val="16"/>
          <w:szCs w:val="16"/>
          <w:lang w:val="en-US"/>
        </w:rPr>
        <w:t xml:space="preserve"> regular period of sessions held from July 17 to 25, 2008.</w:t>
      </w:r>
    </w:p>
    <w:p w14:paraId="1DD596FA" w14:textId="77777777" w:rsidR="000F66F8" w:rsidRPr="005C7A0A" w:rsidRDefault="000F66F8" w:rsidP="000F66F8">
      <w:pPr>
        <w:pStyle w:val="Footnotes"/>
        <w:tabs>
          <w:tab w:val="clear" w:pos="426"/>
          <w:tab w:val="left" w:pos="450"/>
        </w:tabs>
        <w:rPr>
          <w:szCs w:val="16"/>
          <w:lang w:val="en-US"/>
        </w:rPr>
      </w:pPr>
    </w:p>
  </w:footnote>
  <w:footnote w:id="429">
    <w:p w14:paraId="260DB6FC" w14:textId="77777777" w:rsidR="000F66F8" w:rsidRPr="005C7A0A" w:rsidRDefault="000F66F8" w:rsidP="000F66F8">
      <w:pPr>
        <w:pStyle w:val="FootnoteText"/>
        <w:tabs>
          <w:tab w:val="left" w:pos="450"/>
          <w:tab w:val="left" w:pos="540"/>
        </w:tabs>
        <w:spacing w:after="120"/>
        <w:rPr>
          <w:lang w:val="en-US"/>
        </w:rPr>
      </w:pPr>
      <w:r w:rsidRPr="005C7A0A">
        <w:rPr>
          <w:rStyle w:val="FootnoteReference"/>
          <w:lang w:val="en-US"/>
        </w:rPr>
        <w:footnoteRef/>
      </w:r>
      <w:r w:rsidRPr="005C7A0A">
        <w:rPr>
          <w:lang w:val="en-US"/>
        </w:rPr>
        <w:t xml:space="preserve"> </w:t>
      </w:r>
      <w:r w:rsidRPr="005C7A0A">
        <w:rPr>
          <w:color w:val="FF0000"/>
          <w:lang w:val="en-US"/>
        </w:rPr>
        <w:tab/>
      </w:r>
      <w:proofErr w:type="gramStart"/>
      <w:r w:rsidRPr="005C7A0A">
        <w:rPr>
          <w:i/>
          <w:lang w:val="en-US"/>
        </w:rPr>
        <w:t>Case of Cruz Sánchez et al. v. Peru.</w:t>
      </w:r>
      <w:proofErr w:type="gramEnd"/>
      <w:r w:rsidRPr="005C7A0A">
        <w:rPr>
          <w:i/>
          <w:lang w:val="en-US"/>
        </w:rPr>
        <w:t xml:space="preserve"> </w:t>
      </w:r>
      <w:proofErr w:type="gramStart"/>
      <w:r w:rsidRPr="005C7A0A">
        <w:rPr>
          <w:i/>
          <w:lang w:val="en-US"/>
        </w:rPr>
        <w:t>Preliminary objections, merits, reparations and costs.</w:t>
      </w:r>
      <w:proofErr w:type="gramEnd"/>
      <w:r w:rsidRPr="005C7A0A">
        <w:rPr>
          <w:lang w:val="en-US"/>
        </w:rPr>
        <w:t xml:space="preserve"> Judgment of April 17, 2015. Series C No. 292, para. 49. </w:t>
      </w:r>
    </w:p>
  </w:footnote>
  <w:footnote w:id="430">
    <w:p w14:paraId="7731A3EE" w14:textId="77777777" w:rsidR="000F66F8" w:rsidRPr="005C7A0A" w:rsidRDefault="000F66F8" w:rsidP="000F66F8">
      <w:pPr>
        <w:pStyle w:val="FootnoteText"/>
        <w:tabs>
          <w:tab w:val="left" w:pos="450"/>
          <w:tab w:val="left" w:pos="540"/>
        </w:tabs>
        <w:spacing w:after="120"/>
        <w:rPr>
          <w:i/>
          <w:lang w:val="en-US"/>
        </w:rPr>
      </w:pPr>
      <w:r w:rsidRPr="005C7A0A">
        <w:rPr>
          <w:rFonts w:eastAsia="Batang" w:cs="Calibri"/>
          <w:bCs w:val="0"/>
          <w:vertAlign w:val="superscript"/>
          <w:lang w:val="en-US" w:eastAsia="es-MX"/>
        </w:rPr>
        <w:footnoteRef/>
      </w:r>
      <w:r w:rsidRPr="005C7A0A">
        <w:rPr>
          <w:rFonts w:eastAsia="Batang" w:cs="Calibri"/>
          <w:bCs w:val="0"/>
          <w:lang w:val="en-US" w:eastAsia="es-MX"/>
        </w:rPr>
        <w:t xml:space="preserve"> </w:t>
      </w:r>
      <w:r w:rsidRPr="005C7A0A">
        <w:rPr>
          <w:rFonts w:eastAsia="Batang" w:cs="Calibri"/>
          <w:bCs w:val="0"/>
          <w:lang w:val="en-US" w:eastAsia="es-MX"/>
        </w:rPr>
        <w:tab/>
      </w:r>
      <w:proofErr w:type="gramStart"/>
      <w:r w:rsidRPr="005C7A0A">
        <w:rPr>
          <w:i/>
          <w:lang w:val="en-US"/>
        </w:rPr>
        <w:t>Case of Cruz Sánchez et al. v. Peru.</w:t>
      </w:r>
      <w:proofErr w:type="gramEnd"/>
      <w:r w:rsidRPr="005C7A0A">
        <w:rPr>
          <w:i/>
          <w:lang w:val="en-US"/>
        </w:rPr>
        <w:t xml:space="preserve"> </w:t>
      </w:r>
      <w:proofErr w:type="gramStart"/>
      <w:r w:rsidRPr="005C7A0A">
        <w:rPr>
          <w:i/>
          <w:lang w:val="en-US"/>
        </w:rPr>
        <w:t>Preliminary objections, merits, reparations and costs.</w:t>
      </w:r>
      <w:proofErr w:type="gramEnd"/>
      <w:r w:rsidRPr="005C7A0A">
        <w:rPr>
          <w:lang w:val="en-US"/>
        </w:rPr>
        <w:t xml:space="preserve"> Judgment of April 17, 2015. Series C No. 292, para. 49.</w:t>
      </w:r>
    </w:p>
  </w:footnote>
  <w:footnote w:id="431">
    <w:p w14:paraId="466ADF1E" w14:textId="77777777" w:rsidR="000F66F8" w:rsidRPr="005C7A0A" w:rsidRDefault="000F66F8" w:rsidP="000F66F8">
      <w:pPr>
        <w:tabs>
          <w:tab w:val="left" w:pos="450"/>
          <w:tab w:val="left" w:pos="540"/>
        </w:tabs>
        <w:spacing w:after="120"/>
        <w:rPr>
          <w:sz w:val="16"/>
          <w:szCs w:val="16"/>
          <w:lang w:val="en-US"/>
        </w:rPr>
      </w:pPr>
      <w:r w:rsidRPr="005C7A0A">
        <w:rPr>
          <w:rStyle w:val="FootnoteReference"/>
          <w:rFonts w:eastAsia="Calibri" w:cs="Times New Roman"/>
          <w:sz w:val="16"/>
          <w:szCs w:val="16"/>
          <w:lang w:val="en-US" w:eastAsia="en-US"/>
        </w:rPr>
        <w:footnoteRef/>
      </w:r>
      <w:r w:rsidRPr="005C7A0A">
        <w:rPr>
          <w:rStyle w:val="FootnoteReference"/>
          <w:rFonts w:eastAsia="Calibri" w:cs="Times New Roman"/>
          <w:sz w:val="16"/>
          <w:szCs w:val="16"/>
          <w:lang w:val="en-US" w:eastAsia="en-US"/>
        </w:rPr>
        <w:t xml:space="preserve"> </w:t>
      </w:r>
      <w:r w:rsidRPr="005C7A0A">
        <w:rPr>
          <w:rStyle w:val="FootnoteReference"/>
          <w:rFonts w:eastAsia="Calibri" w:cs="Times New Roman"/>
          <w:sz w:val="16"/>
          <w:szCs w:val="16"/>
          <w:lang w:val="en-US" w:eastAsia="en-US"/>
        </w:rPr>
        <w:tab/>
      </w:r>
      <w:proofErr w:type="gramStart"/>
      <w:r w:rsidRPr="005C7A0A">
        <w:rPr>
          <w:i/>
          <w:sz w:val="16"/>
          <w:szCs w:val="16"/>
          <w:lang w:val="en-US"/>
        </w:rPr>
        <w:t>Case of Cruz Sánchez et al. v. Peru.</w:t>
      </w:r>
      <w:proofErr w:type="gramEnd"/>
      <w:r w:rsidRPr="005C7A0A">
        <w:rPr>
          <w:i/>
          <w:sz w:val="16"/>
          <w:szCs w:val="16"/>
          <w:lang w:val="en-US"/>
        </w:rPr>
        <w:t xml:space="preserve"> </w:t>
      </w:r>
      <w:proofErr w:type="gramStart"/>
      <w:r w:rsidRPr="005C7A0A">
        <w:rPr>
          <w:i/>
          <w:sz w:val="16"/>
          <w:szCs w:val="16"/>
          <w:lang w:val="en-US"/>
        </w:rPr>
        <w:t>Preliminary objections, merits, reparations and costs.</w:t>
      </w:r>
      <w:proofErr w:type="gramEnd"/>
      <w:r w:rsidRPr="005C7A0A">
        <w:rPr>
          <w:sz w:val="16"/>
          <w:szCs w:val="16"/>
          <w:lang w:val="en-US"/>
        </w:rPr>
        <w:t xml:space="preserve"> Judgment of April 17, 2015. Series C No. 292, para. 49.</w:t>
      </w:r>
    </w:p>
  </w:footnote>
  <w:footnote w:id="432">
    <w:p w14:paraId="0CFE4CE8" w14:textId="77777777" w:rsidR="000F66F8" w:rsidRPr="005C7A0A" w:rsidRDefault="000F66F8" w:rsidP="000F66F8">
      <w:pPr>
        <w:pStyle w:val="Footnotes"/>
        <w:rPr>
          <w:rStyle w:val="FootnoteReference"/>
          <w:rFonts w:eastAsia="Batang"/>
          <w:szCs w:val="16"/>
          <w:lang w:val="en-US"/>
        </w:rPr>
      </w:pPr>
      <w:r w:rsidRPr="001E29A6">
        <w:rPr>
          <w:szCs w:val="16"/>
          <w:vertAlign w:val="superscript"/>
          <w:lang w:val="en-US"/>
        </w:rPr>
        <w:footnoteRef/>
      </w:r>
      <w:r w:rsidRPr="005C7A0A">
        <w:rPr>
          <w:szCs w:val="16"/>
          <w:lang w:val="en-US"/>
        </w:rPr>
        <w:t xml:space="preserve"> </w:t>
      </w:r>
      <w:r w:rsidRPr="005C7A0A">
        <w:rPr>
          <w:rStyle w:val="FootnoteReference"/>
          <w:rFonts w:eastAsia="Batang"/>
          <w:szCs w:val="16"/>
          <w:lang w:val="en-US"/>
        </w:rPr>
        <w:tab/>
      </w:r>
      <w:proofErr w:type="spellStart"/>
      <w:r w:rsidRPr="005C7A0A">
        <w:rPr>
          <w:rStyle w:val="FootnoteReference"/>
          <w:rFonts w:eastAsia="Batang"/>
          <w:i/>
          <w:szCs w:val="16"/>
          <w:lang w:val="en-US"/>
        </w:rPr>
        <w:t>Diccionario</w:t>
      </w:r>
      <w:proofErr w:type="spellEnd"/>
      <w:r w:rsidRPr="005C7A0A">
        <w:rPr>
          <w:rStyle w:val="FootnoteReference"/>
          <w:rFonts w:eastAsia="Batang"/>
          <w:i/>
          <w:szCs w:val="16"/>
          <w:lang w:val="en-US"/>
        </w:rPr>
        <w:t xml:space="preserve"> de la </w:t>
      </w:r>
      <w:proofErr w:type="spellStart"/>
      <w:r w:rsidRPr="005C7A0A">
        <w:rPr>
          <w:rStyle w:val="FootnoteReference"/>
          <w:rFonts w:eastAsia="Batang"/>
          <w:i/>
          <w:szCs w:val="16"/>
          <w:lang w:val="en-US"/>
        </w:rPr>
        <w:t>Lengua</w:t>
      </w:r>
      <w:proofErr w:type="spellEnd"/>
      <w:r w:rsidRPr="005C7A0A">
        <w:rPr>
          <w:rStyle w:val="FootnoteReference"/>
          <w:rFonts w:eastAsia="Batang"/>
          <w:i/>
          <w:szCs w:val="16"/>
          <w:lang w:val="en-US"/>
        </w:rPr>
        <w:t xml:space="preserve"> Española</w:t>
      </w:r>
      <w:r w:rsidRPr="005C7A0A">
        <w:rPr>
          <w:rStyle w:val="FootnoteReference"/>
          <w:rFonts w:eastAsia="Batang"/>
          <w:szCs w:val="16"/>
          <w:lang w:val="en-US"/>
        </w:rPr>
        <w:t xml:space="preserve">, </w:t>
      </w:r>
      <w:r w:rsidRPr="005C7A0A">
        <w:rPr>
          <w:rStyle w:val="FootnoteReference"/>
          <w:rFonts w:eastAsia="Batang"/>
          <w:i/>
          <w:szCs w:val="16"/>
          <w:lang w:val="en-US"/>
        </w:rPr>
        <w:t>Real Academia Española</w:t>
      </w:r>
      <w:r w:rsidRPr="005C7A0A">
        <w:rPr>
          <w:rStyle w:val="FootnoteReference"/>
          <w:rFonts w:eastAsia="Batang"/>
          <w:szCs w:val="16"/>
          <w:lang w:val="en-US"/>
        </w:rPr>
        <w:t>, 23</w:t>
      </w:r>
      <w:r w:rsidRPr="005C7A0A">
        <w:rPr>
          <w:rFonts w:eastAsia="Batang"/>
          <w:szCs w:val="16"/>
          <w:lang w:val="en-US"/>
        </w:rPr>
        <w:t xml:space="preserve">rd edition, October </w:t>
      </w:r>
      <w:r w:rsidRPr="005C7A0A">
        <w:rPr>
          <w:rStyle w:val="FootnoteReference"/>
          <w:rFonts w:eastAsia="Batang"/>
          <w:szCs w:val="16"/>
          <w:lang w:val="en-US"/>
        </w:rPr>
        <w:t>2014.</w:t>
      </w:r>
    </w:p>
  </w:footnote>
  <w:footnote w:id="433">
    <w:p w14:paraId="12D90CF1" w14:textId="77777777" w:rsidR="000F66F8" w:rsidRPr="005C7A0A" w:rsidRDefault="000F66F8" w:rsidP="000F66F8">
      <w:pPr>
        <w:pStyle w:val="Footnotes"/>
        <w:rPr>
          <w:rStyle w:val="FootnoteReference"/>
          <w:rFonts w:eastAsia="Batang"/>
          <w:szCs w:val="16"/>
          <w:lang w:val="en-US"/>
        </w:rPr>
      </w:pPr>
      <w:r w:rsidRPr="001E29A6">
        <w:rPr>
          <w:szCs w:val="16"/>
          <w:vertAlign w:val="superscript"/>
          <w:lang w:val="en-US"/>
        </w:rPr>
        <w:footnoteRef/>
      </w:r>
      <w:r w:rsidRPr="001E29A6">
        <w:rPr>
          <w:rStyle w:val="FootnoteReference"/>
          <w:rFonts w:eastAsia="Batang"/>
          <w:szCs w:val="16"/>
          <w:lang w:val="en-US"/>
        </w:rPr>
        <w:t xml:space="preserve"> </w:t>
      </w:r>
      <w:r w:rsidRPr="005C7A0A">
        <w:rPr>
          <w:rStyle w:val="FootnoteReference"/>
          <w:rFonts w:eastAsia="Batang"/>
          <w:szCs w:val="16"/>
          <w:lang w:val="en-US"/>
        </w:rPr>
        <w:tab/>
        <w:t>Article 31(1) of the Commission’s Rules of Procedure.</w:t>
      </w:r>
    </w:p>
  </w:footnote>
  <w:footnote w:id="434">
    <w:p w14:paraId="2BD236EB" w14:textId="77777777" w:rsidR="000F66F8" w:rsidRPr="005C7A0A" w:rsidRDefault="000F66F8" w:rsidP="000F66F8">
      <w:pPr>
        <w:pStyle w:val="Footnotes"/>
        <w:rPr>
          <w:rStyle w:val="FootnoteReference"/>
          <w:rFonts w:eastAsia="Batang"/>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1E29A6">
        <w:rPr>
          <w:rStyle w:val="FootnoteReference"/>
          <w:rFonts w:eastAsia="Batang"/>
          <w:szCs w:val="16"/>
          <w:lang w:val="en-US"/>
        </w:rPr>
        <w:tab/>
      </w:r>
      <w:r w:rsidRPr="005C7A0A">
        <w:rPr>
          <w:rStyle w:val="FootnoteReference"/>
          <w:rFonts w:eastAsia="Batang"/>
          <w:szCs w:val="16"/>
          <w:lang w:val="en-US"/>
        </w:rPr>
        <w:t>Article 29 of the Commission’s Rules of Procedure.</w:t>
      </w:r>
    </w:p>
  </w:footnote>
  <w:footnote w:id="435">
    <w:p w14:paraId="3A91A625" w14:textId="77777777" w:rsidR="000F66F8" w:rsidRPr="005C7A0A" w:rsidRDefault="000F66F8" w:rsidP="000F66F8">
      <w:pPr>
        <w:pStyle w:val="Footnotes"/>
        <w:rPr>
          <w:rStyle w:val="FootnoteReference"/>
          <w:rFonts w:eastAsia="Batang"/>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1E29A6">
        <w:rPr>
          <w:rStyle w:val="FootnoteReference"/>
          <w:rFonts w:eastAsia="Batang"/>
          <w:szCs w:val="16"/>
          <w:lang w:val="en-US"/>
        </w:rPr>
        <w:tab/>
      </w:r>
      <w:r w:rsidRPr="005C7A0A">
        <w:rPr>
          <w:rStyle w:val="FootnoteReference"/>
          <w:rFonts w:eastAsia="Batang"/>
          <w:szCs w:val="16"/>
          <w:lang w:val="en-US"/>
        </w:rPr>
        <w:t>Idem.</w:t>
      </w:r>
    </w:p>
  </w:footnote>
  <w:footnote w:id="436">
    <w:p w14:paraId="009FABF1" w14:textId="77777777" w:rsidR="000F66F8" w:rsidRPr="005C7A0A" w:rsidRDefault="000F66F8" w:rsidP="000F66F8">
      <w:pPr>
        <w:pStyle w:val="Footnotes"/>
        <w:rPr>
          <w:szCs w:val="16"/>
          <w:lang w:val="en-US"/>
        </w:rPr>
      </w:pPr>
      <w:r w:rsidRPr="001E29A6">
        <w:rPr>
          <w:rStyle w:val="FootnoteReference"/>
          <w:rFonts w:eastAsia="Batang"/>
          <w:szCs w:val="16"/>
          <w:lang w:val="en-US"/>
        </w:rPr>
        <w:footnoteRef/>
      </w:r>
      <w:r w:rsidRPr="001E29A6">
        <w:rPr>
          <w:rStyle w:val="FootnoteReference"/>
          <w:rFonts w:eastAsia="Batang"/>
          <w:szCs w:val="16"/>
          <w:lang w:val="en-US"/>
        </w:rPr>
        <w:t xml:space="preserve"> </w:t>
      </w:r>
      <w:r w:rsidRPr="005C7A0A">
        <w:rPr>
          <w:rStyle w:val="FootnoteReference"/>
          <w:rFonts w:eastAsia="Batang"/>
          <w:szCs w:val="16"/>
          <w:lang w:val="en-US"/>
        </w:rPr>
        <w:tab/>
        <w:t>Article 30(2) of the Commission’s Rules of Procedure.</w:t>
      </w:r>
    </w:p>
  </w:footnote>
  <w:footnote w:id="437">
    <w:p w14:paraId="0893EF81" w14:textId="77777777" w:rsidR="000F66F8" w:rsidRPr="005C7A0A" w:rsidRDefault="000F66F8" w:rsidP="000F66F8">
      <w:pPr>
        <w:pStyle w:val="Footnotes"/>
        <w:rPr>
          <w:szCs w:val="16"/>
          <w:lang w:val="en-US"/>
        </w:rPr>
      </w:pPr>
      <w:r w:rsidRPr="001E29A6">
        <w:rPr>
          <w:rStyle w:val="FootnoteReference"/>
          <w:rFonts w:eastAsia="Batang"/>
          <w:szCs w:val="16"/>
          <w:lang w:val="en-US"/>
        </w:rPr>
        <w:footnoteRef/>
      </w:r>
      <w:r w:rsidRPr="005C7A0A">
        <w:rPr>
          <w:rStyle w:val="FootnoteReference"/>
          <w:rFonts w:eastAsia="Batang"/>
          <w:szCs w:val="16"/>
          <w:lang w:val="en-US"/>
        </w:rPr>
        <w:t xml:space="preserve"> </w:t>
      </w:r>
      <w:r w:rsidRPr="005C7A0A">
        <w:rPr>
          <w:rStyle w:val="FootnoteReference"/>
          <w:rFonts w:eastAsia="Batang"/>
          <w:szCs w:val="16"/>
          <w:lang w:val="en-US"/>
        </w:rPr>
        <w:tab/>
        <w:t>Article 31(1) of the Commission’s Rules of Procedure.</w:t>
      </w:r>
    </w:p>
  </w:footnote>
  <w:footnote w:id="438">
    <w:p w14:paraId="2E57EF1F" w14:textId="77777777" w:rsidR="000F66F8" w:rsidRPr="005C7A0A" w:rsidRDefault="000F66F8" w:rsidP="000F66F8">
      <w:pPr>
        <w:pStyle w:val="Footnotes"/>
        <w:rPr>
          <w:rStyle w:val="FootnoteReference"/>
          <w:rFonts w:eastAsia="Batang"/>
          <w:szCs w:val="16"/>
          <w:lang w:val="en-US"/>
        </w:rPr>
      </w:pPr>
      <w:r w:rsidRPr="00217B5B">
        <w:rPr>
          <w:rStyle w:val="FootnoteReference"/>
          <w:rFonts w:eastAsia="Batang"/>
          <w:szCs w:val="16"/>
          <w:lang w:val="en-US"/>
        </w:rPr>
        <w:footnoteRef/>
      </w:r>
      <w:r w:rsidRPr="00217B5B">
        <w:rPr>
          <w:rStyle w:val="FootnoteReference"/>
          <w:rFonts w:eastAsia="Batang"/>
          <w:szCs w:val="16"/>
          <w:lang w:val="en-US"/>
        </w:rPr>
        <w:t xml:space="preserve"> </w:t>
      </w:r>
      <w:r w:rsidRPr="005C7A0A">
        <w:rPr>
          <w:rStyle w:val="FootnoteReference"/>
          <w:rFonts w:eastAsia="Batang"/>
          <w:szCs w:val="16"/>
          <w:lang w:val="en-US"/>
        </w:rPr>
        <w:tab/>
      </w:r>
      <w:r w:rsidRPr="005C7A0A">
        <w:rPr>
          <w:rStyle w:val="FootnoteReference"/>
          <w:rFonts w:eastAsia="Batang"/>
          <w:i/>
          <w:szCs w:val="16"/>
          <w:lang w:val="en-US"/>
        </w:rPr>
        <w:t xml:space="preserve">Case of Cruz Sánchez et al. v. Peru. Preliminary </w:t>
      </w:r>
      <w:r w:rsidRPr="005C7A0A">
        <w:rPr>
          <w:rFonts w:eastAsia="Batang"/>
          <w:i/>
          <w:szCs w:val="16"/>
          <w:lang w:val="en-US"/>
        </w:rPr>
        <w:t>objections,</w:t>
      </w:r>
      <w:r w:rsidRPr="005C7A0A">
        <w:rPr>
          <w:rStyle w:val="FootnoteReference"/>
          <w:rFonts w:eastAsia="Batang"/>
          <w:i/>
          <w:szCs w:val="16"/>
          <w:lang w:val="en-US"/>
        </w:rPr>
        <w:t xml:space="preserve"> merits, reparations and costs</w:t>
      </w:r>
      <w:r w:rsidRPr="005C7A0A">
        <w:rPr>
          <w:rStyle w:val="FootnoteReference"/>
          <w:rFonts w:eastAsia="Batang"/>
          <w:szCs w:val="16"/>
          <w:lang w:val="en-US"/>
        </w:rPr>
        <w:t>. Judgment of April 17, 2015, para. 37.</w:t>
      </w:r>
    </w:p>
  </w:footnote>
  <w:footnote w:id="439">
    <w:p w14:paraId="7E7D53A2" w14:textId="77777777" w:rsidR="000F66F8" w:rsidRPr="005C7A0A" w:rsidRDefault="000F66F8" w:rsidP="000F66F8">
      <w:pPr>
        <w:pStyle w:val="Footnotes"/>
        <w:rPr>
          <w:snapToGrid w:val="0"/>
          <w:szCs w:val="16"/>
          <w:lang w:val="en-US"/>
        </w:rPr>
      </w:pPr>
      <w:r w:rsidRPr="00217B5B">
        <w:rPr>
          <w:rStyle w:val="FootnoteReference"/>
          <w:rFonts w:eastAsia="Batang"/>
          <w:szCs w:val="16"/>
          <w:lang w:val="en-US"/>
        </w:rPr>
        <w:footnoteRef/>
      </w:r>
      <w:r w:rsidRPr="00217B5B">
        <w:rPr>
          <w:rStyle w:val="FootnoteReference"/>
          <w:rFonts w:eastAsia="Batang"/>
          <w:szCs w:val="16"/>
          <w:lang w:val="en-US"/>
        </w:rPr>
        <w:t xml:space="preserve"> </w:t>
      </w:r>
      <w:r w:rsidRPr="00217B5B">
        <w:rPr>
          <w:rStyle w:val="FootnoteReference"/>
          <w:rFonts w:eastAsia="Batang"/>
          <w:szCs w:val="16"/>
          <w:lang w:val="en-US"/>
        </w:rPr>
        <w:tab/>
      </w:r>
      <w:r w:rsidRPr="005C7A0A">
        <w:rPr>
          <w:rStyle w:val="FootnoteReference"/>
          <w:rFonts w:eastAsia="Batang"/>
          <w:i/>
          <w:szCs w:val="16"/>
          <w:lang w:val="en-US"/>
        </w:rPr>
        <w:t xml:space="preserve">Case of Cruz Sánchez et al. v. Peru. Preliminary </w:t>
      </w:r>
      <w:r w:rsidRPr="005C7A0A">
        <w:rPr>
          <w:rFonts w:eastAsia="Batang"/>
          <w:i/>
          <w:szCs w:val="16"/>
          <w:lang w:val="en-US"/>
        </w:rPr>
        <w:t>objections,</w:t>
      </w:r>
      <w:r w:rsidRPr="005C7A0A">
        <w:rPr>
          <w:rStyle w:val="FootnoteReference"/>
          <w:rFonts w:eastAsia="Batang"/>
          <w:i/>
          <w:szCs w:val="16"/>
          <w:lang w:val="en-US"/>
        </w:rPr>
        <w:t xml:space="preserve"> merits, reparations and costs.</w:t>
      </w:r>
      <w:r w:rsidRPr="005C7A0A">
        <w:rPr>
          <w:rStyle w:val="FootnoteReference"/>
          <w:rFonts w:eastAsia="Batang"/>
          <w:szCs w:val="16"/>
          <w:lang w:val="en-US"/>
        </w:rPr>
        <w:t xml:space="preserve"> Judgment of April 17, 2015, para. 75.</w:t>
      </w:r>
    </w:p>
  </w:footnote>
  <w:footnote w:id="440">
    <w:p w14:paraId="28FE6E78" w14:textId="77777777" w:rsidR="000F66F8" w:rsidRPr="005C7A0A" w:rsidRDefault="000F66F8" w:rsidP="000F66F8">
      <w:pPr>
        <w:pStyle w:val="Footnotes"/>
        <w:rPr>
          <w:szCs w:val="16"/>
          <w:lang w:val="en-US"/>
        </w:rPr>
      </w:pPr>
      <w:r w:rsidRPr="00217B5B">
        <w:rPr>
          <w:rStyle w:val="FootnoteReference"/>
          <w:rFonts w:eastAsia="Batang"/>
          <w:szCs w:val="16"/>
          <w:lang w:val="en-US"/>
        </w:rPr>
        <w:footnoteRef/>
      </w:r>
      <w:r w:rsidRPr="00217B5B">
        <w:rPr>
          <w:rStyle w:val="FootnoteReference"/>
          <w:rFonts w:eastAsia="Batang"/>
          <w:szCs w:val="16"/>
          <w:lang w:val="en-US"/>
        </w:rPr>
        <w:t xml:space="preserve"> </w:t>
      </w:r>
      <w:r w:rsidRPr="005C7A0A">
        <w:rPr>
          <w:rStyle w:val="FootnoteReference"/>
          <w:rFonts w:eastAsia="Batang"/>
          <w:szCs w:val="16"/>
          <w:lang w:val="en-US"/>
        </w:rPr>
        <w:tab/>
        <w:t>See also paras. 18 and 22 of the Judgment.</w:t>
      </w:r>
    </w:p>
  </w:footnote>
  <w:footnote w:id="441">
    <w:p w14:paraId="43E0B002" w14:textId="77777777" w:rsidR="000F66F8" w:rsidRPr="005C7A0A" w:rsidRDefault="000F66F8" w:rsidP="000F66F8">
      <w:pPr>
        <w:pStyle w:val="Footnotes"/>
        <w:rPr>
          <w:szCs w:val="16"/>
          <w:lang w:val="en-US"/>
        </w:rPr>
      </w:pPr>
      <w:r w:rsidRPr="00217B5B">
        <w:rPr>
          <w:rStyle w:val="FootnoteReference"/>
          <w:rFonts w:eastAsia="Batang"/>
          <w:szCs w:val="16"/>
          <w:lang w:val="en-US"/>
        </w:rPr>
        <w:footnoteRef/>
      </w:r>
      <w:r w:rsidRPr="00217B5B">
        <w:rPr>
          <w:rStyle w:val="FootnoteReference"/>
          <w:rFonts w:eastAsia="Batang"/>
          <w:szCs w:val="16"/>
          <w:lang w:val="en-US"/>
        </w:rPr>
        <w:t xml:space="preserve"> </w:t>
      </w:r>
      <w:r w:rsidRPr="00217B5B">
        <w:rPr>
          <w:rStyle w:val="FootnoteReference"/>
          <w:rFonts w:eastAsia="Batang"/>
          <w:szCs w:val="16"/>
          <w:lang w:val="en-US"/>
        </w:rPr>
        <w:tab/>
      </w:r>
      <w:r w:rsidRPr="005C7A0A">
        <w:rPr>
          <w:rStyle w:val="FootnoteReference"/>
          <w:rFonts w:eastAsia="Batang"/>
          <w:i/>
          <w:szCs w:val="16"/>
          <w:lang w:val="en-US"/>
        </w:rPr>
        <w:t>Cf.</w:t>
      </w:r>
      <w:r w:rsidRPr="005C7A0A">
        <w:rPr>
          <w:rStyle w:val="FootnoteReference"/>
          <w:rFonts w:eastAsia="Batang"/>
          <w:szCs w:val="16"/>
          <w:lang w:val="en-US"/>
        </w:rPr>
        <w:t xml:space="preserve"> para. 19 of the Judgment.</w:t>
      </w:r>
    </w:p>
  </w:footnote>
  <w:footnote w:id="442">
    <w:p w14:paraId="1DCD2255"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5C7A0A">
        <w:rPr>
          <w:rStyle w:val="FootnoteReference"/>
          <w:rFonts w:eastAsia="Batang"/>
          <w:szCs w:val="16"/>
          <w:lang w:val="en-US"/>
        </w:rPr>
        <w:t xml:space="preserve"> </w:t>
      </w:r>
      <w:r w:rsidRPr="005C7A0A">
        <w:rPr>
          <w:rStyle w:val="FootnoteReference"/>
          <w:rFonts w:eastAsia="Batang"/>
          <w:szCs w:val="16"/>
          <w:lang w:val="en-US"/>
        </w:rPr>
        <w:tab/>
      </w:r>
      <w:r w:rsidRPr="005C7A0A">
        <w:rPr>
          <w:rStyle w:val="FootnoteReference"/>
          <w:rFonts w:eastAsia="Batang"/>
          <w:i/>
          <w:szCs w:val="16"/>
          <w:lang w:val="en-US"/>
        </w:rPr>
        <w:t>Cf.</w:t>
      </w:r>
      <w:r w:rsidRPr="005C7A0A">
        <w:rPr>
          <w:rStyle w:val="FootnoteReference"/>
          <w:rFonts w:eastAsia="Batang"/>
          <w:szCs w:val="16"/>
          <w:lang w:val="en-US"/>
        </w:rPr>
        <w:t xml:space="preserve"> para. 23 of the Judgment.</w:t>
      </w:r>
    </w:p>
  </w:footnote>
  <w:footnote w:id="443">
    <w:p w14:paraId="61AAD60B" w14:textId="77777777" w:rsidR="000F66F8" w:rsidRPr="005C7A0A" w:rsidRDefault="000F66F8" w:rsidP="000F66F8">
      <w:pPr>
        <w:pStyle w:val="Footnotes"/>
        <w:rPr>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C2736C">
        <w:rPr>
          <w:rStyle w:val="FootnoteReference"/>
          <w:rFonts w:eastAsia="Batang"/>
          <w:szCs w:val="16"/>
          <w:lang w:val="en-US"/>
        </w:rPr>
        <w:tab/>
      </w:r>
      <w:r w:rsidRPr="005C7A0A">
        <w:rPr>
          <w:rStyle w:val="FootnoteReference"/>
          <w:rFonts w:eastAsia="Batang"/>
          <w:szCs w:val="16"/>
          <w:lang w:val="en-US"/>
        </w:rPr>
        <w:t>Para. 25 of the Judgment.</w:t>
      </w:r>
    </w:p>
  </w:footnote>
  <w:footnote w:id="444">
    <w:p w14:paraId="71E2428E"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5C7A0A">
        <w:rPr>
          <w:rStyle w:val="FootnoteReference"/>
          <w:rFonts w:eastAsia="Batang"/>
          <w:szCs w:val="16"/>
          <w:lang w:val="en-US"/>
        </w:rPr>
        <w:t xml:space="preserve"> </w:t>
      </w:r>
      <w:r w:rsidRPr="005C7A0A">
        <w:rPr>
          <w:rStyle w:val="FootnoteReference"/>
          <w:rFonts w:eastAsia="Batang"/>
          <w:szCs w:val="16"/>
          <w:lang w:val="en-US"/>
        </w:rPr>
        <w:tab/>
        <w:t>Para. 26 of the Judgment.</w:t>
      </w:r>
    </w:p>
  </w:footnote>
  <w:footnote w:id="445">
    <w:p w14:paraId="10202445" w14:textId="77777777" w:rsidR="000F66F8" w:rsidRPr="005C7A0A" w:rsidRDefault="000F66F8" w:rsidP="000F66F8">
      <w:pPr>
        <w:pStyle w:val="Footnotes"/>
        <w:rPr>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t>Para. 26 of the Judgment.</w:t>
      </w:r>
    </w:p>
  </w:footnote>
  <w:footnote w:id="446">
    <w:p w14:paraId="3C1C2716"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t>Para. 27 of the Judgment.</w:t>
      </w:r>
    </w:p>
  </w:footnote>
  <w:footnote w:id="447">
    <w:p w14:paraId="1F143D6D"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t>Para. 28 of the Judgment.</w:t>
      </w:r>
    </w:p>
  </w:footnote>
  <w:footnote w:id="448">
    <w:p w14:paraId="66854E8B" w14:textId="77777777" w:rsidR="000F66F8" w:rsidRPr="005C7A0A" w:rsidRDefault="000F66F8" w:rsidP="000F66F8">
      <w:pPr>
        <w:pStyle w:val="Footnotes"/>
        <w:rPr>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C2736C">
        <w:rPr>
          <w:rStyle w:val="FootnoteReference"/>
          <w:rFonts w:eastAsia="Batang"/>
          <w:szCs w:val="16"/>
          <w:lang w:val="en-US"/>
        </w:rPr>
        <w:tab/>
      </w:r>
      <w:r w:rsidRPr="005C7A0A">
        <w:rPr>
          <w:rStyle w:val="FootnoteReference"/>
          <w:rFonts w:eastAsia="Batang"/>
          <w:szCs w:val="16"/>
          <w:lang w:val="en-US"/>
        </w:rPr>
        <w:t>Idem.</w:t>
      </w:r>
    </w:p>
  </w:footnote>
  <w:footnote w:id="449">
    <w:p w14:paraId="2323236F" w14:textId="77777777" w:rsidR="000F66F8" w:rsidRPr="005C7A0A" w:rsidRDefault="000F66F8" w:rsidP="000F66F8">
      <w:pPr>
        <w:pStyle w:val="Footnotes"/>
        <w:rPr>
          <w:szCs w:val="16"/>
          <w:lang w:val="en-US"/>
        </w:rPr>
      </w:pPr>
      <w:r w:rsidRPr="00C2736C">
        <w:rPr>
          <w:rStyle w:val="FootnoteReference"/>
          <w:rFonts w:eastAsia="Batang"/>
          <w:szCs w:val="16"/>
          <w:lang w:val="en-US"/>
        </w:rPr>
        <w:footnoteRef/>
      </w:r>
      <w:r w:rsidRPr="005C7A0A">
        <w:rPr>
          <w:rStyle w:val="FootnoteReference"/>
          <w:rFonts w:eastAsia="Batang"/>
          <w:szCs w:val="16"/>
          <w:lang w:val="en-US"/>
        </w:rPr>
        <w:t xml:space="preserve"> </w:t>
      </w:r>
      <w:r w:rsidRPr="005C7A0A">
        <w:rPr>
          <w:rStyle w:val="FootnoteReference"/>
          <w:rFonts w:eastAsia="Batang"/>
          <w:szCs w:val="16"/>
          <w:lang w:val="en-US"/>
        </w:rPr>
        <w:tab/>
      </w:r>
      <w:r w:rsidRPr="005C7A0A">
        <w:rPr>
          <w:rStyle w:val="FootnoteReference"/>
          <w:rFonts w:eastAsia="Batang"/>
          <w:i/>
          <w:szCs w:val="16"/>
          <w:lang w:val="en-US"/>
        </w:rPr>
        <w:t>Case of Cruz Sánchez et al. v. Peru. Preliminary objections, merits, reparations and costs.</w:t>
      </w:r>
      <w:r w:rsidRPr="005C7A0A">
        <w:rPr>
          <w:rStyle w:val="FootnoteReference"/>
          <w:rFonts w:eastAsia="Batang"/>
          <w:szCs w:val="16"/>
          <w:lang w:val="en-US"/>
        </w:rPr>
        <w:t xml:space="preserve"> Judgment of April 17, 2015. Series C No. 292, para. 37.</w:t>
      </w:r>
      <w:r w:rsidRPr="005C7A0A">
        <w:rPr>
          <w:szCs w:val="16"/>
          <w:lang w:val="en-US"/>
        </w:rPr>
        <w:t xml:space="preserve"> </w:t>
      </w:r>
    </w:p>
  </w:footnote>
  <w:footnote w:id="450">
    <w:p w14:paraId="1613133F" w14:textId="77777777" w:rsidR="000F66F8" w:rsidRPr="005C7A0A" w:rsidRDefault="000F66F8" w:rsidP="000F66F8">
      <w:pPr>
        <w:pStyle w:val="Footnotes"/>
        <w:rPr>
          <w:rStyle w:val="FootnoteReference"/>
          <w:rFonts w:eastAsia="Batang" w:cs="Calibri"/>
          <w:bCs/>
          <w:szCs w:val="16"/>
          <w:lang w:val="en-US" w:eastAsia="es-MX"/>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r>
      <w:r w:rsidRPr="005C7A0A">
        <w:rPr>
          <w:rStyle w:val="FootnoteReference"/>
          <w:rFonts w:eastAsia="Batang"/>
          <w:i/>
          <w:szCs w:val="16"/>
          <w:lang w:val="en-US"/>
        </w:rPr>
        <w:t xml:space="preserve">Case of </w:t>
      </w:r>
      <w:proofErr w:type="spellStart"/>
      <w:r w:rsidRPr="005C7A0A">
        <w:rPr>
          <w:rStyle w:val="FootnoteReference"/>
          <w:rFonts w:eastAsia="Batang"/>
          <w:i/>
          <w:szCs w:val="16"/>
          <w:lang w:val="en-US"/>
        </w:rPr>
        <w:t>Díaz</w:t>
      </w:r>
      <w:proofErr w:type="spellEnd"/>
      <w:r w:rsidRPr="005C7A0A">
        <w:rPr>
          <w:rStyle w:val="FootnoteReference"/>
          <w:rFonts w:eastAsia="Batang"/>
          <w:i/>
          <w:szCs w:val="16"/>
          <w:lang w:val="en-US"/>
        </w:rPr>
        <w:t xml:space="preserve"> Peña v. Venezuela. Preliminary objection, merits, reparations and costs.</w:t>
      </w:r>
      <w:r w:rsidRPr="005C7A0A">
        <w:rPr>
          <w:rStyle w:val="FootnoteReference"/>
          <w:rFonts w:eastAsia="Batang"/>
          <w:szCs w:val="16"/>
          <w:lang w:val="en-US"/>
        </w:rPr>
        <w:t xml:space="preserve"> Judgment of June 26, 2012. Series C 244, para. 43.</w:t>
      </w:r>
    </w:p>
  </w:footnote>
  <w:footnote w:id="451">
    <w:p w14:paraId="74D61B05" w14:textId="77777777" w:rsidR="000F66F8" w:rsidRPr="005C7A0A" w:rsidRDefault="000F66F8" w:rsidP="000F66F8">
      <w:pPr>
        <w:pStyle w:val="Footnotes"/>
        <w:rPr>
          <w:rStyle w:val="FootnoteReference"/>
          <w:rFonts w:eastAsia="Batang"/>
          <w:szCs w:val="16"/>
          <w:lang w:val="en-US"/>
        </w:rPr>
      </w:pPr>
      <w:r w:rsidRPr="005C7A0A">
        <w:rPr>
          <w:rStyle w:val="FootnoteReference"/>
          <w:rFonts w:eastAsia="Batang" w:cs="Calibri"/>
          <w:bCs/>
          <w:szCs w:val="16"/>
          <w:lang w:val="en-US" w:eastAsia="es-MX"/>
        </w:rPr>
        <w:footnoteRef/>
      </w:r>
      <w:r w:rsidRPr="005C7A0A">
        <w:rPr>
          <w:rStyle w:val="FootnoteReference"/>
          <w:rFonts w:eastAsia="Batang"/>
          <w:bCs/>
          <w:szCs w:val="16"/>
          <w:lang w:val="en-US" w:eastAsia="es-MX"/>
        </w:rPr>
        <w:t xml:space="preserve"> </w:t>
      </w:r>
      <w:r w:rsidRPr="005C7A0A">
        <w:rPr>
          <w:rStyle w:val="FootnoteReference"/>
          <w:rFonts w:eastAsia="Batang"/>
          <w:bCs/>
          <w:szCs w:val="16"/>
          <w:lang w:val="en-US" w:eastAsia="es-MX"/>
        </w:rPr>
        <w:tab/>
      </w:r>
      <w:r w:rsidRPr="005C7A0A">
        <w:rPr>
          <w:rStyle w:val="FootnoteReference"/>
          <w:rFonts w:eastAsia="Batang"/>
          <w:szCs w:val="16"/>
          <w:lang w:val="en-US"/>
        </w:rPr>
        <w:t>Article 68 of the Convention: “1.</w:t>
      </w:r>
      <w:r w:rsidRPr="005C7A0A">
        <w:rPr>
          <w:rFonts w:eastAsia="Batang"/>
          <w:szCs w:val="16"/>
          <w:lang w:val="en-US"/>
        </w:rPr>
        <w:t xml:space="preserve"> </w:t>
      </w:r>
      <w:r w:rsidRPr="005C7A0A">
        <w:rPr>
          <w:spacing w:val="-3"/>
          <w:szCs w:val="16"/>
          <w:lang w:val="en-US"/>
        </w:rPr>
        <w:t>The States Parties to the Convention undertake to comply with the judgment of the Court in any case to which they are parties.</w:t>
      </w:r>
      <w:r w:rsidRPr="005C7A0A">
        <w:rPr>
          <w:rStyle w:val="FootnoteReference"/>
          <w:rFonts w:eastAsia="Batang"/>
          <w:szCs w:val="16"/>
          <w:lang w:val="en-US"/>
        </w:rPr>
        <w:t xml:space="preserve"> 2. </w:t>
      </w:r>
      <w:r w:rsidRPr="005C7A0A">
        <w:rPr>
          <w:spacing w:val="-3"/>
          <w:szCs w:val="16"/>
          <w:lang w:val="en-US"/>
        </w:rPr>
        <w:t xml:space="preserve">That part of a judgment that stipulates compensatory damages may be executed in the country concerned in accordance with domestic procedure governing the execution of judgments </w:t>
      </w:r>
      <w:proofErr w:type="gramStart"/>
      <w:r w:rsidRPr="005C7A0A">
        <w:rPr>
          <w:spacing w:val="-3"/>
          <w:szCs w:val="16"/>
          <w:lang w:val="en-US"/>
        </w:rPr>
        <w:t xml:space="preserve">against </w:t>
      </w:r>
      <w:proofErr w:type="gramEnd"/>
      <w:r w:rsidRPr="005C7A0A">
        <w:rPr>
          <w:rStyle w:val="FootnoteReference"/>
          <w:rFonts w:eastAsia="Batang"/>
          <w:szCs w:val="16"/>
          <w:lang w:val="en-US"/>
        </w:rPr>
        <w:t>the State</w:t>
      </w:r>
      <w:r w:rsidRPr="005C7A0A">
        <w:rPr>
          <w:rFonts w:eastAsia="Batang"/>
          <w:szCs w:val="16"/>
          <w:lang w:val="en-US"/>
        </w:rPr>
        <w:t>.</w:t>
      </w:r>
      <w:r w:rsidRPr="005C7A0A">
        <w:rPr>
          <w:rStyle w:val="FootnoteReference"/>
          <w:rFonts w:eastAsia="Batang"/>
          <w:szCs w:val="16"/>
          <w:lang w:val="en-US"/>
        </w:rPr>
        <w:t xml:space="preserve">” </w:t>
      </w:r>
    </w:p>
  </w:footnote>
  <w:footnote w:id="452">
    <w:p w14:paraId="54D7856D"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C2736C">
        <w:rPr>
          <w:rStyle w:val="FootnoteReference"/>
          <w:rFonts w:eastAsia="Batang"/>
          <w:szCs w:val="16"/>
          <w:lang w:val="en-US"/>
        </w:rPr>
        <w:tab/>
      </w:r>
      <w:r w:rsidRPr="005C7A0A">
        <w:rPr>
          <w:rStyle w:val="FootnoteReference"/>
          <w:rFonts w:eastAsia="Batang"/>
          <w:szCs w:val="16"/>
          <w:lang w:val="en-US"/>
        </w:rPr>
        <w:t>Article 38 of the St</w:t>
      </w:r>
      <w:r w:rsidRPr="005C7A0A">
        <w:rPr>
          <w:rFonts w:eastAsia="Batang"/>
          <w:szCs w:val="16"/>
          <w:lang w:val="en-US"/>
        </w:rPr>
        <w:t>atute</w:t>
      </w:r>
      <w:r w:rsidRPr="005C7A0A">
        <w:rPr>
          <w:rStyle w:val="FootnoteReference"/>
          <w:rFonts w:eastAsia="Batang"/>
          <w:szCs w:val="16"/>
          <w:lang w:val="en-US"/>
        </w:rPr>
        <w:t xml:space="preserve"> of the International Court of Justice: “1. </w:t>
      </w:r>
      <w:r w:rsidRPr="005C7A0A">
        <w:rPr>
          <w:szCs w:val="16"/>
          <w:lang w:val="en-US"/>
        </w:rPr>
        <w:t xml:space="preserve">The Court, whose function is to decide in accordance with international law such disputes as are submitted to it, shall apply: a) international conventions, whether general or particular, establishing rules expressly recognized by the contesting states; b) international custom, as evidence of a general practice accepted as law; c) the general principles of law recognized by civilized nations; d. subject to the provisions of Article 59, judicial decisions and the teachings of the most highly qualified publicists of the various nations, as subsidiary means for the determination of rules of law. 2. This provision shall not prejudice the power of the Court to decide a case </w:t>
      </w:r>
      <w:r w:rsidRPr="005C7A0A">
        <w:rPr>
          <w:i/>
          <w:iCs w:val="0"/>
          <w:szCs w:val="16"/>
          <w:lang w:val="en-US"/>
        </w:rPr>
        <w:t xml:space="preserve">ex </w:t>
      </w:r>
      <w:proofErr w:type="spellStart"/>
      <w:r w:rsidRPr="005C7A0A">
        <w:rPr>
          <w:i/>
          <w:iCs w:val="0"/>
          <w:szCs w:val="16"/>
          <w:lang w:val="en-US"/>
        </w:rPr>
        <w:t>aequo</w:t>
      </w:r>
      <w:proofErr w:type="spellEnd"/>
      <w:r w:rsidRPr="005C7A0A">
        <w:rPr>
          <w:i/>
          <w:iCs w:val="0"/>
          <w:szCs w:val="16"/>
          <w:lang w:val="en-US"/>
        </w:rPr>
        <w:t xml:space="preserve"> </w:t>
      </w:r>
      <w:proofErr w:type="gramStart"/>
      <w:r w:rsidRPr="005C7A0A">
        <w:rPr>
          <w:i/>
          <w:iCs w:val="0"/>
          <w:szCs w:val="16"/>
          <w:lang w:val="en-US"/>
        </w:rPr>
        <w:t>et</w:t>
      </w:r>
      <w:proofErr w:type="gramEnd"/>
      <w:r w:rsidRPr="005C7A0A">
        <w:rPr>
          <w:i/>
          <w:iCs w:val="0"/>
          <w:szCs w:val="16"/>
          <w:lang w:val="en-US"/>
        </w:rPr>
        <w:t xml:space="preserve"> bono</w:t>
      </w:r>
      <w:r w:rsidRPr="005C7A0A">
        <w:rPr>
          <w:szCs w:val="16"/>
          <w:lang w:val="en-US"/>
        </w:rPr>
        <w:t>, if the parties agree thereto.</w:t>
      </w:r>
      <w:r w:rsidRPr="005C7A0A">
        <w:rPr>
          <w:rStyle w:val="FootnoteReference"/>
          <w:rFonts w:eastAsia="Batang"/>
          <w:szCs w:val="16"/>
          <w:lang w:val="en-US"/>
        </w:rPr>
        <w:t>”</w:t>
      </w:r>
    </w:p>
    <w:p w14:paraId="6B26951D" w14:textId="77777777" w:rsidR="000F66F8" w:rsidRPr="005C7A0A" w:rsidRDefault="000F66F8" w:rsidP="000F66F8">
      <w:pPr>
        <w:pStyle w:val="Footnotes"/>
        <w:rPr>
          <w:szCs w:val="16"/>
          <w:lang w:val="en-US"/>
        </w:rPr>
      </w:pPr>
      <w:r w:rsidRPr="005C7A0A">
        <w:rPr>
          <w:rStyle w:val="FootnoteReference"/>
          <w:rFonts w:eastAsia="Batang"/>
          <w:szCs w:val="16"/>
          <w:lang w:val="en-US"/>
        </w:rPr>
        <w:tab/>
        <w:t>Article 59 of this</w:t>
      </w:r>
      <w:r w:rsidRPr="005C7A0A">
        <w:rPr>
          <w:rFonts w:eastAsia="Batang"/>
          <w:szCs w:val="16"/>
          <w:lang w:val="en-US"/>
        </w:rPr>
        <w:t xml:space="preserve"> Statute</w:t>
      </w:r>
      <w:r w:rsidRPr="005C7A0A">
        <w:rPr>
          <w:rStyle w:val="FootnoteReference"/>
          <w:rFonts w:eastAsia="Batang"/>
          <w:szCs w:val="16"/>
          <w:lang w:val="en-US"/>
        </w:rPr>
        <w:t>: “[t]he</w:t>
      </w:r>
      <w:r w:rsidRPr="005C7A0A">
        <w:rPr>
          <w:szCs w:val="16"/>
          <w:lang w:val="en-US"/>
        </w:rPr>
        <w:t xml:space="preserve"> decision of the Court has no binding force except between the parties and in respect of that particular case</w:t>
      </w:r>
      <w:r w:rsidRPr="005C7A0A">
        <w:rPr>
          <w:rStyle w:val="FootnoteReference"/>
          <w:rFonts w:eastAsia="Batang"/>
          <w:szCs w:val="16"/>
          <w:lang w:val="en-US"/>
        </w:rPr>
        <w:t xml:space="preserve">”. </w:t>
      </w:r>
    </w:p>
  </w:footnote>
  <w:footnote w:id="453">
    <w:p w14:paraId="423376AA"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r>
      <w:r w:rsidRPr="005C7A0A">
        <w:rPr>
          <w:rFonts w:eastAsia="Batang"/>
          <w:szCs w:val="16"/>
          <w:lang w:val="en-US"/>
        </w:rPr>
        <w:t xml:space="preserve">Record of complaint submitted to </w:t>
      </w:r>
      <w:r w:rsidRPr="005C7A0A">
        <w:rPr>
          <w:rStyle w:val="FootnoteReference"/>
          <w:rFonts w:eastAsia="Batang"/>
          <w:szCs w:val="16"/>
          <w:lang w:val="en-US"/>
        </w:rPr>
        <w:t xml:space="preserve">the Court on </w:t>
      </w:r>
      <w:r w:rsidRPr="005C7A0A">
        <w:rPr>
          <w:rFonts w:eastAsia="Batang"/>
          <w:szCs w:val="16"/>
          <w:lang w:val="en-US"/>
        </w:rPr>
        <w:t>August 17,</w:t>
      </w:r>
      <w:r w:rsidRPr="005C7A0A">
        <w:rPr>
          <w:rStyle w:val="FootnoteReference"/>
          <w:rFonts w:eastAsia="Batang"/>
          <w:szCs w:val="16"/>
          <w:lang w:val="en-US"/>
        </w:rPr>
        <w:t xml:space="preserve"> 2011</w:t>
      </w:r>
      <w:r w:rsidRPr="005C7A0A">
        <w:rPr>
          <w:rFonts w:eastAsia="Batang"/>
          <w:szCs w:val="16"/>
          <w:lang w:val="en-US"/>
        </w:rPr>
        <w:t>, by Judge</w:t>
      </w:r>
      <w:r w:rsidRPr="005C7A0A">
        <w:rPr>
          <w:rStyle w:val="FootnoteReference"/>
          <w:rFonts w:eastAsia="Batang"/>
          <w:szCs w:val="16"/>
          <w:lang w:val="en-US"/>
        </w:rPr>
        <w:t xml:space="preserve"> Eduardo </w:t>
      </w:r>
      <w:proofErr w:type="spellStart"/>
      <w:r w:rsidRPr="005C7A0A">
        <w:rPr>
          <w:rStyle w:val="FootnoteReference"/>
          <w:rFonts w:eastAsia="Batang"/>
          <w:szCs w:val="16"/>
          <w:lang w:val="en-US"/>
        </w:rPr>
        <w:t>Vio</w:t>
      </w:r>
      <w:proofErr w:type="spellEnd"/>
      <w:r w:rsidRPr="005C7A0A">
        <w:rPr>
          <w:rStyle w:val="FootnoteReference"/>
          <w:rFonts w:eastAsia="Batang"/>
          <w:szCs w:val="16"/>
          <w:lang w:val="en-US"/>
        </w:rPr>
        <w:t xml:space="preserve"> </w:t>
      </w:r>
      <w:proofErr w:type="spellStart"/>
      <w:r w:rsidRPr="005C7A0A">
        <w:rPr>
          <w:rStyle w:val="FootnoteReference"/>
          <w:rFonts w:eastAsia="Batang"/>
          <w:szCs w:val="16"/>
          <w:lang w:val="en-US"/>
        </w:rPr>
        <w:t>Grossi</w:t>
      </w:r>
      <w:proofErr w:type="spellEnd"/>
      <w:r w:rsidRPr="005C7A0A">
        <w:rPr>
          <w:rStyle w:val="FootnoteReference"/>
          <w:rFonts w:eastAsia="Batang"/>
          <w:szCs w:val="16"/>
          <w:lang w:val="en-US"/>
        </w:rPr>
        <w:t xml:space="preserve"> and </w:t>
      </w:r>
      <w:r w:rsidRPr="005C7A0A">
        <w:rPr>
          <w:rFonts w:eastAsia="Batang"/>
          <w:szCs w:val="16"/>
          <w:lang w:val="en-US"/>
        </w:rPr>
        <w:t xml:space="preserve">Dissenting opinion of this judge, </w:t>
      </w:r>
      <w:r w:rsidRPr="005C7A0A">
        <w:rPr>
          <w:rStyle w:val="FootnoteReference"/>
          <w:rFonts w:eastAsia="Batang"/>
          <w:i/>
          <w:szCs w:val="16"/>
          <w:lang w:val="en-US"/>
        </w:rPr>
        <w:t xml:space="preserve">Case of </w:t>
      </w:r>
      <w:proofErr w:type="spellStart"/>
      <w:r w:rsidRPr="005C7A0A">
        <w:rPr>
          <w:rStyle w:val="FootnoteReference"/>
          <w:rFonts w:eastAsia="Batang"/>
          <w:i/>
          <w:szCs w:val="16"/>
          <w:lang w:val="en-US"/>
        </w:rPr>
        <w:t>Barbani</w:t>
      </w:r>
      <w:proofErr w:type="spellEnd"/>
      <w:r w:rsidRPr="005C7A0A">
        <w:rPr>
          <w:rStyle w:val="FootnoteReference"/>
          <w:rFonts w:eastAsia="Batang"/>
          <w:i/>
          <w:szCs w:val="16"/>
          <w:lang w:val="en-US"/>
        </w:rPr>
        <w:t xml:space="preserve"> Duarte et al. v. Uruguay. Merits, reparations and costs</w:t>
      </w:r>
      <w:r w:rsidRPr="005C7A0A">
        <w:rPr>
          <w:rStyle w:val="FootnoteReference"/>
          <w:rFonts w:eastAsia="Batang"/>
          <w:szCs w:val="16"/>
          <w:lang w:val="en-US"/>
        </w:rPr>
        <w:t xml:space="preserve">. Judgment of October </w:t>
      </w:r>
      <w:r w:rsidRPr="005C7A0A">
        <w:rPr>
          <w:rFonts w:eastAsia="Batang"/>
          <w:szCs w:val="16"/>
          <w:lang w:val="en-US"/>
        </w:rPr>
        <w:t>1</w:t>
      </w:r>
      <w:r w:rsidRPr="005C7A0A">
        <w:rPr>
          <w:rStyle w:val="FootnoteReference"/>
          <w:rFonts w:eastAsia="Batang"/>
          <w:szCs w:val="16"/>
          <w:lang w:val="en-US"/>
        </w:rPr>
        <w:t xml:space="preserve">3, 2011. Series C No. 234. </w:t>
      </w:r>
    </w:p>
  </w:footnote>
  <w:footnote w:id="454">
    <w:p w14:paraId="4B5C3EA2"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C2736C">
        <w:rPr>
          <w:rStyle w:val="FootnoteReference"/>
          <w:rFonts w:eastAsia="Batang"/>
          <w:szCs w:val="16"/>
          <w:lang w:val="en-US"/>
        </w:rPr>
        <w:tab/>
      </w:r>
      <w:r w:rsidRPr="005C7A0A">
        <w:rPr>
          <w:rFonts w:eastAsia="Batang"/>
          <w:szCs w:val="16"/>
          <w:lang w:val="en-US"/>
        </w:rPr>
        <w:t>First phrase of</w:t>
      </w:r>
      <w:r w:rsidRPr="005C7A0A">
        <w:rPr>
          <w:rStyle w:val="FootnoteReference"/>
          <w:rFonts w:eastAsia="Batang"/>
          <w:szCs w:val="16"/>
          <w:lang w:val="en-US"/>
        </w:rPr>
        <w:t xml:space="preserve"> Article 41 of the Convention: “[t]he</w:t>
      </w:r>
      <w:r w:rsidRPr="005C7A0A">
        <w:rPr>
          <w:spacing w:val="-3"/>
          <w:szCs w:val="16"/>
          <w:lang w:val="en-US"/>
        </w:rPr>
        <w:t xml:space="preserve"> main function of the Commission shall be to promote respect for and defense of human rights.</w:t>
      </w:r>
      <w:r w:rsidRPr="005C7A0A">
        <w:rPr>
          <w:rStyle w:val="FootnoteReference"/>
          <w:rFonts w:eastAsia="Batang"/>
          <w:szCs w:val="16"/>
          <w:lang w:val="en-US"/>
        </w:rPr>
        <w:t xml:space="preserve">” </w:t>
      </w:r>
    </w:p>
  </w:footnote>
  <w:footnote w:id="455">
    <w:p w14:paraId="2CDBB5C1" w14:textId="77777777" w:rsidR="000F66F8" w:rsidRPr="005C7A0A" w:rsidRDefault="000F66F8" w:rsidP="000F66F8">
      <w:pPr>
        <w:pStyle w:val="Footnotes"/>
        <w:rPr>
          <w:rStyle w:val="FootnoteReference"/>
          <w:rFonts w:eastAsia="Batang"/>
          <w:szCs w:val="16"/>
          <w:lang w:val="en-US"/>
        </w:rPr>
      </w:pPr>
      <w:r w:rsidRPr="00C2736C">
        <w:rPr>
          <w:rStyle w:val="FootnoteReference"/>
          <w:rFonts w:eastAsia="Batang"/>
          <w:szCs w:val="16"/>
          <w:lang w:val="en-US"/>
        </w:rPr>
        <w:footnoteRef/>
      </w:r>
      <w:r w:rsidRPr="00C2736C">
        <w:rPr>
          <w:rStyle w:val="FootnoteReference"/>
          <w:rFonts w:eastAsia="Batang"/>
          <w:szCs w:val="16"/>
          <w:lang w:val="en-US"/>
        </w:rPr>
        <w:t xml:space="preserve"> </w:t>
      </w:r>
      <w:r w:rsidRPr="005C7A0A">
        <w:rPr>
          <w:rStyle w:val="FootnoteReference"/>
          <w:rFonts w:eastAsia="Batang"/>
          <w:szCs w:val="16"/>
          <w:lang w:val="en-US"/>
        </w:rPr>
        <w:tab/>
        <w:t>Article 62(3) of the Convention: “[t]</w:t>
      </w:r>
      <w:r w:rsidRPr="005C7A0A">
        <w:rPr>
          <w:spacing w:val="-3"/>
          <w:szCs w:val="16"/>
          <w:lang w:val="en-US"/>
        </w:rPr>
        <w:t>he jurisdiction of the Court shall comprise all cases concerning the interpretation and application of the provisions of this Convention that are submitted to it, provided that the States Parties to the case recognize or have recognized such jurisdiction, whether by special declaration pursuant to the preceding paragraphs, or by a special agreement.</w:t>
      </w:r>
      <w:r w:rsidRPr="005C7A0A">
        <w:rPr>
          <w:rStyle w:val="FootnoteReference"/>
          <w:rFonts w:eastAsia="Batang"/>
          <w:szCs w:val="16"/>
          <w:lang w:val="en-US"/>
        </w:rPr>
        <w:t>”</w:t>
      </w:r>
    </w:p>
  </w:footnote>
  <w:footnote w:id="456">
    <w:p w14:paraId="03D86BFB" w14:textId="77777777" w:rsidR="000F66F8" w:rsidRPr="005C7A0A" w:rsidRDefault="000F66F8" w:rsidP="000F66F8">
      <w:pPr>
        <w:tabs>
          <w:tab w:val="left" w:pos="480"/>
          <w:tab w:val="left" w:pos="1080"/>
          <w:tab w:val="left" w:pos="1680"/>
          <w:tab w:val="left" w:pos="5400"/>
        </w:tabs>
        <w:suppressAutoHyphens/>
        <w:spacing w:after="120"/>
        <w:rPr>
          <w:rStyle w:val="FootnoteReference"/>
          <w:spacing w:val="-3"/>
          <w:sz w:val="16"/>
          <w:szCs w:val="16"/>
          <w:lang w:val="en-US"/>
        </w:rPr>
      </w:pPr>
      <w:r w:rsidRPr="00C2736C">
        <w:rPr>
          <w:rStyle w:val="FootnoteReference"/>
          <w:rFonts w:eastAsia="Batang"/>
          <w:sz w:val="16"/>
          <w:szCs w:val="16"/>
          <w:lang w:val="en-US"/>
        </w:rPr>
        <w:footnoteRef/>
      </w:r>
      <w:r w:rsidRPr="00C2736C">
        <w:rPr>
          <w:rStyle w:val="FootnoteReference"/>
          <w:rFonts w:eastAsia="Batang"/>
          <w:sz w:val="16"/>
          <w:szCs w:val="16"/>
          <w:lang w:val="en-US"/>
        </w:rPr>
        <w:t xml:space="preserve"> </w:t>
      </w:r>
      <w:r w:rsidRPr="005C7A0A">
        <w:rPr>
          <w:rStyle w:val="FootnoteReference"/>
          <w:rFonts w:eastAsia="Batang"/>
          <w:sz w:val="16"/>
          <w:szCs w:val="16"/>
          <w:lang w:val="en-US"/>
        </w:rPr>
        <w:tab/>
        <w:t xml:space="preserve">Article 76 of the Convention: “1. </w:t>
      </w:r>
      <w:r w:rsidRPr="005C7A0A">
        <w:rPr>
          <w:spacing w:val="-3"/>
          <w:sz w:val="16"/>
          <w:szCs w:val="16"/>
          <w:lang w:val="en-US"/>
        </w:rPr>
        <w:t>Proposals to amend this Convention may be submitted to the General Assembly for the action it deems appropriate by any State Party directly, and by the Commission or the Court through the Secretary General. 2. Amendments shall enter into force for the States ratifying them on the date when two</w:t>
      </w:r>
      <w:r w:rsidRPr="005C7A0A">
        <w:rPr>
          <w:spacing w:val="-3"/>
          <w:sz w:val="16"/>
          <w:szCs w:val="16"/>
          <w:lang w:val="en-US"/>
        </w:rPr>
        <w:noBreakHyphen/>
        <w:t>thirds of the States Parties to this Convention have deposited their respective instruments of ratification.  With respect to the other States Parties, the amendments shall enter into force on the dates on which they deposit their respective instruments of ratification.”</w:t>
      </w:r>
    </w:p>
    <w:p w14:paraId="20B33EDF" w14:textId="77777777" w:rsidR="000F66F8" w:rsidRPr="005C7A0A" w:rsidRDefault="000F66F8" w:rsidP="000F66F8">
      <w:pPr>
        <w:pStyle w:val="NormalWeb"/>
        <w:tabs>
          <w:tab w:val="left" w:pos="480"/>
        </w:tabs>
        <w:spacing w:before="0" w:beforeAutospacing="0" w:after="120" w:afterAutospacing="0"/>
        <w:jc w:val="both"/>
        <w:rPr>
          <w:rFonts w:ascii="Verdana" w:hAnsi="Verdana"/>
          <w:sz w:val="16"/>
          <w:szCs w:val="16"/>
          <w:lang w:val="en-US"/>
        </w:rPr>
      </w:pPr>
      <w:r w:rsidRPr="005C7A0A">
        <w:rPr>
          <w:rStyle w:val="FootnoteReference"/>
          <w:rFonts w:ascii="Verdana" w:eastAsia="Batang" w:hAnsi="Verdana"/>
          <w:sz w:val="16"/>
          <w:szCs w:val="16"/>
          <w:lang w:val="en-US"/>
        </w:rPr>
        <w:tab/>
        <w:t xml:space="preserve">Article 39 of the </w:t>
      </w:r>
      <w:r w:rsidRPr="005C7A0A">
        <w:rPr>
          <w:rFonts w:ascii="Verdana" w:eastAsia="Batang" w:hAnsi="Verdana"/>
          <w:sz w:val="16"/>
          <w:szCs w:val="16"/>
          <w:lang w:val="en-US"/>
        </w:rPr>
        <w:t xml:space="preserve">Vienna </w:t>
      </w:r>
      <w:r w:rsidRPr="005C7A0A">
        <w:rPr>
          <w:rStyle w:val="FootnoteReference"/>
          <w:rFonts w:ascii="Verdana" w:eastAsia="Batang" w:hAnsi="Verdana"/>
          <w:sz w:val="16"/>
          <w:szCs w:val="16"/>
          <w:lang w:val="en-US"/>
        </w:rPr>
        <w:t xml:space="preserve">Convention </w:t>
      </w:r>
      <w:r w:rsidRPr="005C7A0A">
        <w:rPr>
          <w:rFonts w:ascii="Verdana" w:eastAsia="Batang" w:hAnsi="Verdana"/>
          <w:sz w:val="16"/>
          <w:szCs w:val="16"/>
          <w:lang w:val="en-US"/>
        </w:rPr>
        <w:t>on the Law of Treaties: “</w:t>
      </w:r>
      <w:r w:rsidRPr="005C7A0A">
        <w:rPr>
          <w:rFonts w:ascii="Verdana" w:hAnsi="Verdana"/>
          <w:bCs/>
          <w:sz w:val="16"/>
          <w:szCs w:val="16"/>
          <w:lang w:val="en-US"/>
        </w:rPr>
        <w:t>General rule regarding the amendment of treaties</w:t>
      </w:r>
      <w:r w:rsidRPr="005C7A0A">
        <w:rPr>
          <w:rFonts w:ascii="Verdana" w:hAnsi="Verdana"/>
          <w:sz w:val="16"/>
          <w:szCs w:val="16"/>
          <w:lang w:val="en-US"/>
        </w:rPr>
        <w:t>. A treaty may be amended by agreement between the parties. The rules laid down in Part II apply to such an agreement except in so far as the treaty may otherwise provide.”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B7598" w14:textId="11447FA1" w:rsidR="002306C1" w:rsidRDefault="002306C1">
    <w:pPr>
      <w:pStyle w:val="Header"/>
      <w:jc w:val="center"/>
    </w:pPr>
    <w:r>
      <w:t xml:space="preserve">- </w:t>
    </w:r>
    <w:sdt>
      <w:sdtPr>
        <w:id w:val="-15189201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F66F8">
          <w:rPr>
            <w:noProof/>
          </w:rPr>
          <w:t>6</w:t>
        </w:r>
        <w:r>
          <w:rPr>
            <w:noProof/>
          </w:rPr>
          <w:fldChar w:fldCharType="end"/>
        </w:r>
        <w:r>
          <w:rPr>
            <w:noProof/>
          </w:rPr>
          <w:t xml:space="preserve"> -</w:t>
        </w:r>
      </w:sdtContent>
    </w:sdt>
  </w:p>
  <w:p w14:paraId="698DDBD8" w14:textId="77777777" w:rsidR="002306C1" w:rsidRDefault="00230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F01"/>
    <w:multiLevelType w:val="hybridMultilevel"/>
    <w:tmpl w:val="452AEFD4"/>
    <w:lvl w:ilvl="0" w:tplc="5DD66312">
      <w:start w:val="1"/>
      <w:numFmt w:val="decimal"/>
      <w:lvlText w:val="%1."/>
      <w:lvlJc w:val="left"/>
      <w:pPr>
        <w:ind w:left="1060" w:hanging="700"/>
      </w:pPr>
      <w:rPr>
        <w:rFonts w:hint="default"/>
        <w:b w:val="0"/>
        <w:i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35B6F88"/>
    <w:multiLevelType w:val="hybridMultilevel"/>
    <w:tmpl w:val="3F669AD6"/>
    <w:lvl w:ilvl="0" w:tplc="7D1E87BE">
      <w:start w:val="1"/>
      <w:numFmt w:val="bullet"/>
      <w:lvlText w:val=""/>
      <w:lvlJc w:val="left"/>
      <w:pPr>
        <w:ind w:left="1440" w:hanging="360"/>
      </w:pPr>
      <w:rPr>
        <w:rFonts w:ascii="Symbol" w:hAnsi="Symbol" w:hint="default"/>
        <w:sz w:val="20"/>
        <w:szCs w:val="20"/>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2">
    <w:nsid w:val="09250928"/>
    <w:multiLevelType w:val="hybridMultilevel"/>
    <w:tmpl w:val="5BBCAB20"/>
    <w:lvl w:ilvl="0" w:tplc="42201B46">
      <w:start w:val="1"/>
      <w:numFmt w:val="decimal"/>
      <w:lvlText w:val="%1."/>
      <w:lvlJc w:val="left"/>
      <w:pPr>
        <w:ind w:left="720" w:hanging="360"/>
      </w:pPr>
      <w:rPr>
        <w:b w:val="0"/>
        <w:color w:val="auto"/>
      </w:rPr>
    </w:lvl>
    <w:lvl w:ilvl="1" w:tplc="140A0019">
      <w:start w:val="1"/>
      <w:numFmt w:val="lowerLetter"/>
      <w:lvlText w:val="%2."/>
      <w:lvlJc w:val="left"/>
      <w:pPr>
        <w:ind w:left="1440" w:hanging="360"/>
      </w:pPr>
    </w:lvl>
    <w:lvl w:ilvl="2" w:tplc="E08855CE">
      <w:start w:val="1"/>
      <w:numFmt w:val="decimal"/>
      <w:lvlText w:val="%3."/>
      <w:lvlJc w:val="left"/>
      <w:pPr>
        <w:ind w:left="2340" w:hanging="360"/>
      </w:pPr>
      <w:rPr>
        <w:rFonts w:hint="default"/>
        <w:i w:val="0"/>
      </w:rPr>
    </w:lvl>
    <w:lvl w:ilvl="3" w:tplc="754C8096">
      <w:start w:val="1"/>
      <w:numFmt w:val="lowerRoman"/>
      <w:lvlText w:val="(%4)"/>
      <w:lvlJc w:val="left"/>
      <w:pPr>
        <w:ind w:left="3240" w:hanging="720"/>
      </w:pPr>
      <w:rPr>
        <w:rFonts w:hint="default"/>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0B881BA0"/>
    <w:multiLevelType w:val="hybridMultilevel"/>
    <w:tmpl w:val="FE22F30C"/>
    <w:lvl w:ilvl="0" w:tplc="998C2C5E">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11A46D19"/>
    <w:multiLevelType w:val="hybridMultilevel"/>
    <w:tmpl w:val="7194C4CE"/>
    <w:lvl w:ilvl="0" w:tplc="35B239B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3F14B4D"/>
    <w:multiLevelType w:val="hybridMultilevel"/>
    <w:tmpl w:val="EBC6C118"/>
    <w:lvl w:ilvl="0" w:tplc="90544A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1E5E4271"/>
    <w:multiLevelType w:val="hybridMultilevel"/>
    <w:tmpl w:val="5AF00C88"/>
    <w:lvl w:ilvl="0" w:tplc="6E16C3E4">
      <w:start w:val="1"/>
      <w:numFmt w:val="upp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2D817BBB"/>
    <w:multiLevelType w:val="hybridMultilevel"/>
    <w:tmpl w:val="C0147802"/>
    <w:lvl w:ilvl="0" w:tplc="65828F86">
      <w:start w:val="1"/>
      <w:numFmt w:val="decimal"/>
      <w:pStyle w:val="PrrafodeSentencia"/>
      <w:lvlText w:val="%1."/>
      <w:lvlJc w:val="left"/>
      <w:pPr>
        <w:tabs>
          <w:tab w:val="num" w:pos="657"/>
        </w:tabs>
        <w:ind w:left="90" w:firstLine="0"/>
      </w:pPr>
      <w:rPr>
        <w:rFonts w:ascii="Verdana" w:eastAsia="Times New Roman" w:hAnsi="Verdana" w:hint="default"/>
        <w:b w:val="0"/>
        <w:bCs w:val="0"/>
        <w:i w:val="0"/>
        <w:iCs w:val="0"/>
        <w:strike w:val="0"/>
        <w:color w:val="auto"/>
        <w:sz w:val="20"/>
        <w:szCs w:val="20"/>
        <w:lang w:val="es-ES_tradnl"/>
      </w:rPr>
    </w:lvl>
    <w:lvl w:ilvl="1" w:tplc="7C2C13CE">
      <w:start w:val="1"/>
      <w:numFmt w:val="lowerLetter"/>
      <w:lvlText w:val="%2."/>
      <w:lvlJc w:val="left"/>
      <w:pPr>
        <w:ind w:left="1440" w:hanging="360"/>
      </w:pPr>
    </w:lvl>
    <w:lvl w:ilvl="2" w:tplc="841219D4"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983EE9"/>
    <w:multiLevelType w:val="hybridMultilevel"/>
    <w:tmpl w:val="65002546"/>
    <w:lvl w:ilvl="0" w:tplc="67F6E7F6">
      <w:start w:val="1"/>
      <w:numFmt w:val="decimal"/>
      <w:lvlText w:val="%1."/>
      <w:lvlJc w:val="left"/>
      <w:pPr>
        <w:tabs>
          <w:tab w:val="num" w:pos="720"/>
        </w:tabs>
        <w:ind w:left="0" w:firstLine="720"/>
      </w:pPr>
      <w:rPr>
        <w:rFonts w:ascii="Univers" w:hAnsi="Univers" w:hint="default"/>
        <w:b w:val="0"/>
        <w:i w:val="0"/>
        <w:sz w:val="20"/>
        <w:szCs w:val="20"/>
        <w:lang w:val="es-ES"/>
      </w:rPr>
    </w:lvl>
    <w:lvl w:ilvl="1" w:tplc="1B26FCC0">
      <w:start w:val="25"/>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1453AB"/>
    <w:multiLevelType w:val="hybridMultilevel"/>
    <w:tmpl w:val="CA9C6112"/>
    <w:lvl w:ilvl="0" w:tplc="653C165C">
      <w:start w:val="1"/>
      <w:numFmt w:val="upperLetter"/>
      <w:lvlText w:val="%1."/>
      <w:lvlJc w:val="left"/>
      <w:pPr>
        <w:ind w:left="420" w:hanging="360"/>
      </w:pPr>
      <w:rPr>
        <w:rFonts w:hint="default"/>
        <w:b/>
      </w:rPr>
    </w:lvl>
    <w:lvl w:ilvl="1" w:tplc="340A0019" w:tentative="1">
      <w:start w:val="1"/>
      <w:numFmt w:val="lowerLetter"/>
      <w:lvlText w:val="%2."/>
      <w:lvlJc w:val="left"/>
      <w:pPr>
        <w:ind w:left="1140" w:hanging="360"/>
      </w:pPr>
    </w:lvl>
    <w:lvl w:ilvl="2" w:tplc="340A001B" w:tentative="1">
      <w:start w:val="1"/>
      <w:numFmt w:val="lowerRoman"/>
      <w:lvlText w:val="%3."/>
      <w:lvlJc w:val="right"/>
      <w:pPr>
        <w:ind w:left="1860" w:hanging="180"/>
      </w:pPr>
    </w:lvl>
    <w:lvl w:ilvl="3" w:tplc="340A000F" w:tentative="1">
      <w:start w:val="1"/>
      <w:numFmt w:val="decimal"/>
      <w:lvlText w:val="%4."/>
      <w:lvlJc w:val="left"/>
      <w:pPr>
        <w:ind w:left="2580" w:hanging="360"/>
      </w:pPr>
    </w:lvl>
    <w:lvl w:ilvl="4" w:tplc="340A0019" w:tentative="1">
      <w:start w:val="1"/>
      <w:numFmt w:val="lowerLetter"/>
      <w:lvlText w:val="%5."/>
      <w:lvlJc w:val="left"/>
      <w:pPr>
        <w:ind w:left="3300" w:hanging="360"/>
      </w:pPr>
    </w:lvl>
    <w:lvl w:ilvl="5" w:tplc="340A001B" w:tentative="1">
      <w:start w:val="1"/>
      <w:numFmt w:val="lowerRoman"/>
      <w:lvlText w:val="%6."/>
      <w:lvlJc w:val="right"/>
      <w:pPr>
        <w:ind w:left="4020" w:hanging="180"/>
      </w:pPr>
    </w:lvl>
    <w:lvl w:ilvl="6" w:tplc="340A000F" w:tentative="1">
      <w:start w:val="1"/>
      <w:numFmt w:val="decimal"/>
      <w:lvlText w:val="%7."/>
      <w:lvlJc w:val="left"/>
      <w:pPr>
        <w:ind w:left="4740" w:hanging="360"/>
      </w:pPr>
    </w:lvl>
    <w:lvl w:ilvl="7" w:tplc="340A0019" w:tentative="1">
      <w:start w:val="1"/>
      <w:numFmt w:val="lowerLetter"/>
      <w:lvlText w:val="%8."/>
      <w:lvlJc w:val="left"/>
      <w:pPr>
        <w:ind w:left="5460" w:hanging="360"/>
      </w:pPr>
    </w:lvl>
    <w:lvl w:ilvl="8" w:tplc="340A001B" w:tentative="1">
      <w:start w:val="1"/>
      <w:numFmt w:val="lowerRoman"/>
      <w:lvlText w:val="%9."/>
      <w:lvlJc w:val="right"/>
      <w:pPr>
        <w:ind w:left="6180" w:hanging="180"/>
      </w:pPr>
    </w:lvl>
  </w:abstractNum>
  <w:abstractNum w:abstractNumId="10">
    <w:nsid w:val="58FC7B1E"/>
    <w:multiLevelType w:val="hybridMultilevel"/>
    <w:tmpl w:val="C9E6F5FE"/>
    <w:lvl w:ilvl="0" w:tplc="BDF61C2C">
      <w:start w:val="39"/>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9A14894"/>
    <w:multiLevelType w:val="hybridMultilevel"/>
    <w:tmpl w:val="1108CDF2"/>
    <w:lvl w:ilvl="0" w:tplc="C32873DA">
      <w:numFmt w:val="bullet"/>
      <w:lvlText w:val="-"/>
      <w:lvlJc w:val="left"/>
      <w:pPr>
        <w:ind w:left="720" w:hanging="360"/>
      </w:pPr>
      <w:rPr>
        <w:rFonts w:ascii="Verdana" w:eastAsiaTheme="minorHAnsi" w:hAnsi="Verdana"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5AAE1741"/>
    <w:multiLevelType w:val="hybridMultilevel"/>
    <w:tmpl w:val="37B80340"/>
    <w:lvl w:ilvl="0" w:tplc="2BFCD30C">
      <w:start w:val="1"/>
      <w:numFmt w:val="lowerRoman"/>
      <w:lvlText w:val="%1."/>
      <w:lvlJc w:val="right"/>
      <w:pPr>
        <w:ind w:left="1440" w:hanging="360"/>
      </w:pPr>
      <w:rPr>
        <w:rFonts w:hint="default"/>
        <w:sz w:val="16"/>
        <w:szCs w:val="16"/>
      </w:rPr>
    </w:lvl>
    <w:lvl w:ilvl="1" w:tplc="140A0019">
      <w:start w:val="1"/>
      <w:numFmt w:val="upperLetter"/>
      <w:lvlText w:val="%2."/>
      <w:lvlJc w:val="left"/>
      <w:pPr>
        <w:ind w:left="2160" w:hanging="360"/>
      </w:pPr>
      <w:rPr>
        <w:rFonts w:hint="default"/>
      </w:rPr>
    </w:lvl>
    <w:lvl w:ilvl="2" w:tplc="140A001B" w:tentative="1">
      <w:start w:val="1"/>
      <w:numFmt w:val="bullet"/>
      <w:lvlText w:val=""/>
      <w:lvlJc w:val="left"/>
      <w:pPr>
        <w:ind w:left="2880" w:hanging="360"/>
      </w:pPr>
      <w:rPr>
        <w:rFonts w:ascii="Wingdings" w:hAnsi="Wingdings" w:hint="default"/>
      </w:rPr>
    </w:lvl>
    <w:lvl w:ilvl="3" w:tplc="140A000F" w:tentative="1">
      <w:start w:val="1"/>
      <w:numFmt w:val="bullet"/>
      <w:lvlText w:val=""/>
      <w:lvlJc w:val="left"/>
      <w:pPr>
        <w:ind w:left="3600" w:hanging="360"/>
      </w:pPr>
      <w:rPr>
        <w:rFonts w:ascii="Symbol" w:hAnsi="Symbol" w:hint="default"/>
      </w:rPr>
    </w:lvl>
    <w:lvl w:ilvl="4" w:tplc="140A0019" w:tentative="1">
      <w:start w:val="1"/>
      <w:numFmt w:val="bullet"/>
      <w:lvlText w:val="o"/>
      <w:lvlJc w:val="left"/>
      <w:pPr>
        <w:ind w:left="4320" w:hanging="360"/>
      </w:pPr>
      <w:rPr>
        <w:rFonts w:ascii="Courier New" w:hAnsi="Courier New" w:cs="Courier New" w:hint="default"/>
      </w:rPr>
    </w:lvl>
    <w:lvl w:ilvl="5" w:tplc="140A001B" w:tentative="1">
      <w:start w:val="1"/>
      <w:numFmt w:val="bullet"/>
      <w:lvlText w:val=""/>
      <w:lvlJc w:val="left"/>
      <w:pPr>
        <w:ind w:left="5040" w:hanging="360"/>
      </w:pPr>
      <w:rPr>
        <w:rFonts w:ascii="Wingdings" w:hAnsi="Wingdings" w:hint="default"/>
      </w:rPr>
    </w:lvl>
    <w:lvl w:ilvl="6" w:tplc="140A000F" w:tentative="1">
      <w:start w:val="1"/>
      <w:numFmt w:val="bullet"/>
      <w:lvlText w:val=""/>
      <w:lvlJc w:val="left"/>
      <w:pPr>
        <w:ind w:left="5760" w:hanging="360"/>
      </w:pPr>
      <w:rPr>
        <w:rFonts w:ascii="Symbol" w:hAnsi="Symbol" w:hint="default"/>
      </w:rPr>
    </w:lvl>
    <w:lvl w:ilvl="7" w:tplc="140A0019" w:tentative="1">
      <w:start w:val="1"/>
      <w:numFmt w:val="bullet"/>
      <w:lvlText w:val="o"/>
      <w:lvlJc w:val="left"/>
      <w:pPr>
        <w:ind w:left="6480" w:hanging="360"/>
      </w:pPr>
      <w:rPr>
        <w:rFonts w:ascii="Courier New" w:hAnsi="Courier New" w:cs="Courier New" w:hint="default"/>
      </w:rPr>
    </w:lvl>
    <w:lvl w:ilvl="8" w:tplc="140A001B" w:tentative="1">
      <w:start w:val="1"/>
      <w:numFmt w:val="bullet"/>
      <w:lvlText w:val=""/>
      <w:lvlJc w:val="left"/>
      <w:pPr>
        <w:ind w:left="7200" w:hanging="360"/>
      </w:pPr>
      <w:rPr>
        <w:rFonts w:ascii="Wingdings" w:hAnsi="Wingdings" w:hint="default"/>
      </w:rPr>
    </w:lvl>
  </w:abstractNum>
  <w:abstractNum w:abstractNumId="13">
    <w:nsid w:val="66495D8D"/>
    <w:multiLevelType w:val="hybridMultilevel"/>
    <w:tmpl w:val="A5D8C258"/>
    <w:lvl w:ilvl="0" w:tplc="4ABA237A">
      <w:start w:val="1"/>
      <w:numFmt w:val="lowerRoman"/>
      <w:lvlText w:val="(%1)"/>
      <w:lvlJc w:val="left"/>
      <w:pPr>
        <w:ind w:left="3240" w:hanging="72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6CCB7C3B"/>
    <w:multiLevelType w:val="hybridMultilevel"/>
    <w:tmpl w:val="21DC72DC"/>
    <w:lvl w:ilvl="0" w:tplc="C75CD262">
      <w:start w:val="1"/>
      <w:numFmt w:val="upperLetter"/>
      <w:lvlText w:val="%1."/>
      <w:lvlJc w:val="left"/>
      <w:pPr>
        <w:ind w:left="1636"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F655032"/>
    <w:multiLevelType w:val="hybridMultilevel"/>
    <w:tmpl w:val="B5B2F53E"/>
    <w:lvl w:ilvl="0" w:tplc="140A001B">
      <w:start w:val="1"/>
      <w:numFmt w:val="decimal"/>
      <w:lvlText w:val="%1."/>
      <w:lvlJc w:val="left"/>
      <w:pPr>
        <w:ind w:left="1446" w:hanging="360"/>
      </w:pPr>
    </w:lvl>
    <w:lvl w:ilvl="1" w:tplc="140A0019" w:tentative="1">
      <w:start w:val="1"/>
      <w:numFmt w:val="lowerLetter"/>
      <w:lvlText w:val="%2."/>
      <w:lvlJc w:val="left"/>
      <w:pPr>
        <w:ind w:left="2166" w:hanging="360"/>
      </w:pPr>
    </w:lvl>
    <w:lvl w:ilvl="2" w:tplc="140A001B" w:tentative="1">
      <w:start w:val="1"/>
      <w:numFmt w:val="lowerRoman"/>
      <w:lvlText w:val="%3."/>
      <w:lvlJc w:val="right"/>
      <w:pPr>
        <w:ind w:left="2886" w:hanging="180"/>
      </w:pPr>
    </w:lvl>
    <w:lvl w:ilvl="3" w:tplc="140A000F" w:tentative="1">
      <w:start w:val="1"/>
      <w:numFmt w:val="decimal"/>
      <w:lvlText w:val="%4."/>
      <w:lvlJc w:val="left"/>
      <w:pPr>
        <w:ind w:left="3606" w:hanging="360"/>
      </w:pPr>
    </w:lvl>
    <w:lvl w:ilvl="4" w:tplc="140A0019" w:tentative="1">
      <w:start w:val="1"/>
      <w:numFmt w:val="lowerLetter"/>
      <w:lvlText w:val="%5."/>
      <w:lvlJc w:val="left"/>
      <w:pPr>
        <w:ind w:left="4326" w:hanging="360"/>
      </w:pPr>
    </w:lvl>
    <w:lvl w:ilvl="5" w:tplc="140A001B" w:tentative="1">
      <w:start w:val="1"/>
      <w:numFmt w:val="lowerRoman"/>
      <w:lvlText w:val="%6."/>
      <w:lvlJc w:val="right"/>
      <w:pPr>
        <w:ind w:left="5046" w:hanging="180"/>
      </w:pPr>
    </w:lvl>
    <w:lvl w:ilvl="6" w:tplc="140A000F" w:tentative="1">
      <w:start w:val="1"/>
      <w:numFmt w:val="decimal"/>
      <w:lvlText w:val="%7."/>
      <w:lvlJc w:val="left"/>
      <w:pPr>
        <w:ind w:left="5766" w:hanging="360"/>
      </w:pPr>
    </w:lvl>
    <w:lvl w:ilvl="7" w:tplc="140A0019" w:tentative="1">
      <w:start w:val="1"/>
      <w:numFmt w:val="lowerLetter"/>
      <w:lvlText w:val="%8."/>
      <w:lvlJc w:val="left"/>
      <w:pPr>
        <w:ind w:left="6486" w:hanging="360"/>
      </w:pPr>
    </w:lvl>
    <w:lvl w:ilvl="8" w:tplc="140A001B" w:tentative="1">
      <w:start w:val="1"/>
      <w:numFmt w:val="lowerRoman"/>
      <w:lvlText w:val="%9."/>
      <w:lvlJc w:val="right"/>
      <w:pPr>
        <w:ind w:left="7206" w:hanging="180"/>
      </w:pPr>
    </w:lvl>
  </w:abstractNum>
  <w:abstractNum w:abstractNumId="16">
    <w:nsid w:val="705A6F5C"/>
    <w:multiLevelType w:val="hybridMultilevel"/>
    <w:tmpl w:val="554EE8C4"/>
    <w:lvl w:ilvl="0" w:tplc="ED0459E8">
      <w:start w:val="1"/>
      <w:numFmt w:val="decimal"/>
      <w:pStyle w:val="Numberedparagraphs"/>
      <w:lvlText w:val="%1."/>
      <w:lvlJc w:val="left"/>
      <w:pPr>
        <w:tabs>
          <w:tab w:val="num" w:pos="720"/>
        </w:tabs>
        <w:ind w:left="0" w:firstLine="0"/>
      </w:pPr>
      <w:rPr>
        <w:rFonts w:ascii="Verdana" w:hAnsi="Verdana" w:hint="default"/>
        <w:b w:val="0"/>
        <w:i w:val="0"/>
        <w:strike w:val="0"/>
        <w:color w:val="auto"/>
        <w:sz w:val="20"/>
        <w:szCs w:val="20"/>
        <w:lang w:val="es-AR"/>
      </w:rPr>
    </w:lvl>
    <w:lvl w:ilvl="1" w:tplc="323EEAAC">
      <w:start w:val="7"/>
      <w:numFmt w:val="decimal"/>
      <w:lvlText w:val="%2."/>
      <w:lvlJc w:val="left"/>
      <w:pPr>
        <w:ind w:left="2160" w:hanging="360"/>
      </w:pPr>
      <w:rPr>
        <w:rFonts w:hint="default"/>
      </w:rPr>
    </w:lvl>
    <w:lvl w:ilvl="2" w:tplc="B96C1A40">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7">
    <w:nsid w:val="7A7D511C"/>
    <w:multiLevelType w:val="hybridMultilevel"/>
    <w:tmpl w:val="59C65B48"/>
    <w:lvl w:ilvl="0" w:tplc="50A65828">
      <w:start w:val="1"/>
      <w:numFmt w:val="decimal"/>
      <w:lvlText w:val="%1."/>
      <w:lvlJc w:val="left"/>
      <w:pPr>
        <w:ind w:left="720" w:hanging="360"/>
      </w:pPr>
      <w:rPr>
        <w:rFonts w:ascii="Verdana" w:hAnsi="Verdana" w:hint="default"/>
        <w:b w:val="0"/>
        <w:lang w:val="es-MX"/>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E64D32"/>
    <w:multiLevelType w:val="hybridMultilevel"/>
    <w:tmpl w:val="47ECB3FE"/>
    <w:lvl w:ilvl="0" w:tplc="140A0001">
      <w:start w:val="1"/>
      <w:numFmt w:val="decimal"/>
      <w:lvlText w:val="%1."/>
      <w:lvlJc w:val="left"/>
      <w:pPr>
        <w:tabs>
          <w:tab w:val="num" w:pos="11028"/>
        </w:tabs>
      </w:pPr>
      <w:rPr>
        <w:rFonts w:ascii="Verdana" w:eastAsia="Times New Roman" w:hAnsi="Verdana"/>
        <w:b w:val="0"/>
        <w:bCs w:val="0"/>
        <w:i w:val="0"/>
        <w:iCs w:val="0"/>
        <w:strike w:val="0"/>
        <w:color w:val="auto"/>
        <w:sz w:val="20"/>
        <w:szCs w:val="20"/>
        <w:lang w:val="es-CR"/>
      </w:rPr>
    </w:lvl>
    <w:lvl w:ilvl="1" w:tplc="140A0003">
      <w:start w:val="1"/>
      <w:numFmt w:val="lowerLetter"/>
      <w:lvlText w:val="%2)"/>
      <w:lvlJc w:val="left"/>
      <w:pPr>
        <w:tabs>
          <w:tab w:val="num" w:pos="1080"/>
        </w:tabs>
        <w:ind w:left="1080" w:hanging="360"/>
      </w:pPr>
      <w:rPr>
        <w:rFonts w:hint="default"/>
        <w:b w:val="0"/>
        <w:bCs w:val="0"/>
        <w:i w:val="0"/>
        <w:iCs w:val="0"/>
        <w:sz w:val="20"/>
        <w:szCs w:val="20"/>
      </w:rPr>
    </w:lvl>
    <w:lvl w:ilvl="2" w:tplc="9A486304">
      <w:start w:val="1"/>
      <w:numFmt w:val="lowerRoman"/>
      <w:lvlText w:val="%3."/>
      <w:lvlJc w:val="right"/>
      <w:pPr>
        <w:tabs>
          <w:tab w:val="num" w:pos="1530"/>
        </w:tabs>
        <w:ind w:left="1530" w:hanging="180"/>
      </w:pPr>
      <w:rPr>
        <w:b w:val="0"/>
        <w:strike w:val="0"/>
      </w:rPr>
    </w:lvl>
    <w:lvl w:ilvl="3" w:tplc="140A0001">
      <w:start w:val="1"/>
      <w:numFmt w:val="decimal"/>
      <w:lvlText w:val="%4."/>
      <w:lvlJc w:val="left"/>
      <w:pPr>
        <w:tabs>
          <w:tab w:val="num" w:pos="2880"/>
        </w:tabs>
        <w:ind w:left="2880" w:hanging="360"/>
      </w:pPr>
    </w:lvl>
    <w:lvl w:ilvl="4" w:tplc="140A0003">
      <w:start w:val="1"/>
      <w:numFmt w:val="lowerLetter"/>
      <w:pStyle w:val="Heading6"/>
      <w:lvlText w:val="%5."/>
      <w:lvlJc w:val="left"/>
      <w:pPr>
        <w:tabs>
          <w:tab w:val="num" w:pos="3600"/>
        </w:tabs>
        <w:ind w:left="3600" w:hanging="360"/>
      </w:pPr>
    </w:lvl>
    <w:lvl w:ilvl="5" w:tplc="140A0005">
      <w:start w:val="1"/>
      <w:numFmt w:val="lowerRoman"/>
      <w:lvlText w:val="%6."/>
      <w:lvlJc w:val="right"/>
      <w:pPr>
        <w:tabs>
          <w:tab w:val="num" w:pos="4320"/>
        </w:tabs>
        <w:ind w:left="4320" w:hanging="180"/>
      </w:pPr>
    </w:lvl>
    <w:lvl w:ilvl="6" w:tplc="140A0001">
      <w:start w:val="1"/>
      <w:numFmt w:val="decimal"/>
      <w:lvlText w:val="%7."/>
      <w:lvlJc w:val="left"/>
      <w:pPr>
        <w:tabs>
          <w:tab w:val="num" w:pos="5040"/>
        </w:tabs>
        <w:ind w:left="5040" w:hanging="360"/>
      </w:pPr>
    </w:lvl>
    <w:lvl w:ilvl="7" w:tplc="140A0003">
      <w:start w:val="1"/>
      <w:numFmt w:val="lowerLetter"/>
      <w:lvlText w:val="%8."/>
      <w:lvlJc w:val="left"/>
      <w:pPr>
        <w:tabs>
          <w:tab w:val="num" w:pos="5760"/>
        </w:tabs>
        <w:ind w:left="5760" w:hanging="360"/>
      </w:pPr>
    </w:lvl>
    <w:lvl w:ilvl="8" w:tplc="140A0005">
      <w:start w:val="1"/>
      <w:numFmt w:val="lowerRoman"/>
      <w:lvlText w:val="%9."/>
      <w:lvlJc w:val="right"/>
      <w:pPr>
        <w:tabs>
          <w:tab w:val="num" w:pos="6480"/>
        </w:tabs>
        <w:ind w:left="6480" w:hanging="180"/>
      </w:pPr>
    </w:lvl>
  </w:abstractNum>
  <w:abstractNum w:abstractNumId="19">
    <w:nsid w:val="7E3B73C6"/>
    <w:multiLevelType w:val="hybridMultilevel"/>
    <w:tmpl w:val="5EBA60EE"/>
    <w:lvl w:ilvl="0" w:tplc="D50E3498">
      <w:start w:val="1"/>
      <w:numFmt w:val="lowerRoman"/>
      <w:lvlText w:val="%1."/>
      <w:lvlJc w:val="right"/>
      <w:pPr>
        <w:ind w:left="720" w:hanging="360"/>
      </w:pPr>
      <w:rPr>
        <w:b w:val="0"/>
      </w:rPr>
    </w:lvl>
    <w:lvl w:ilvl="1" w:tplc="2C0A0019" w:tentative="1">
      <w:start w:val="1"/>
      <w:numFmt w:val="lowerLetter"/>
      <w:lvlText w:val="%2."/>
      <w:lvlJc w:val="left"/>
      <w:pPr>
        <w:ind w:left="1440" w:hanging="360"/>
      </w:pPr>
    </w:lvl>
    <w:lvl w:ilvl="2" w:tplc="B768858A" w:tentative="1">
      <w:start w:val="1"/>
      <w:numFmt w:val="lowerRoman"/>
      <w:lvlText w:val="%3."/>
      <w:lvlJc w:val="right"/>
      <w:pPr>
        <w:ind w:left="2160" w:hanging="180"/>
      </w:pPr>
    </w:lvl>
    <w:lvl w:ilvl="3" w:tplc="3F0893E6" w:tentative="1">
      <w:start w:val="1"/>
      <w:numFmt w:val="decimal"/>
      <w:lvlText w:val="%4."/>
      <w:lvlJc w:val="left"/>
      <w:pPr>
        <w:ind w:left="2880" w:hanging="360"/>
      </w:pPr>
    </w:lvl>
    <w:lvl w:ilvl="4" w:tplc="E7BA4BB6"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8"/>
  </w:num>
  <w:num w:numId="2">
    <w:abstractNumId w:val="7"/>
  </w:num>
  <w:num w:numId="3">
    <w:abstractNumId w:val="1"/>
  </w:num>
  <w:num w:numId="4">
    <w:abstractNumId w:val="19"/>
  </w:num>
  <w:num w:numId="5">
    <w:abstractNumId w:val="12"/>
  </w:num>
  <w:num w:numId="6">
    <w:abstractNumId w:val="2"/>
  </w:num>
  <w:num w:numId="7">
    <w:abstractNumId w:val="15"/>
  </w:num>
  <w:num w:numId="8">
    <w:abstractNumId w:val="10"/>
  </w:num>
  <w:num w:numId="9">
    <w:abstractNumId w:val="6"/>
  </w:num>
  <w:num w:numId="10">
    <w:abstractNumId w:val="16"/>
  </w:num>
  <w:num w:numId="11">
    <w:abstractNumId w:val="13"/>
  </w:num>
  <w:num w:numId="12">
    <w:abstractNumId w:val="0"/>
  </w:num>
  <w:num w:numId="13">
    <w:abstractNumId w:val="1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4"/>
  </w:num>
  <w:num w:numId="17">
    <w:abstractNumId w:val="4"/>
  </w:num>
  <w:num w:numId="18">
    <w:abstractNumId w:val="9"/>
  </w:num>
  <w:num w:numId="19">
    <w:abstractNumId w:val="3"/>
  </w:num>
  <w:num w:numId="20">
    <w:abstractNumId w:val="5"/>
  </w:num>
  <w:num w:numId="2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0F"/>
    <w:rsid w:val="000006EE"/>
    <w:rsid w:val="0000076A"/>
    <w:rsid w:val="000046E9"/>
    <w:rsid w:val="000052EF"/>
    <w:rsid w:val="00005E6E"/>
    <w:rsid w:val="0000606D"/>
    <w:rsid w:val="000063EB"/>
    <w:rsid w:val="000067D6"/>
    <w:rsid w:val="000068BC"/>
    <w:rsid w:val="00007493"/>
    <w:rsid w:val="000104E3"/>
    <w:rsid w:val="00011941"/>
    <w:rsid w:val="000124CC"/>
    <w:rsid w:val="000128B5"/>
    <w:rsid w:val="00012D98"/>
    <w:rsid w:val="00013438"/>
    <w:rsid w:val="00013F50"/>
    <w:rsid w:val="000145AD"/>
    <w:rsid w:val="00014A34"/>
    <w:rsid w:val="00015456"/>
    <w:rsid w:val="00016DF5"/>
    <w:rsid w:val="00017AED"/>
    <w:rsid w:val="000207AA"/>
    <w:rsid w:val="00021379"/>
    <w:rsid w:val="000214AE"/>
    <w:rsid w:val="000228C0"/>
    <w:rsid w:val="00022E40"/>
    <w:rsid w:val="00023C52"/>
    <w:rsid w:val="00025ABC"/>
    <w:rsid w:val="000264E1"/>
    <w:rsid w:val="00026537"/>
    <w:rsid w:val="0002722E"/>
    <w:rsid w:val="00030BE3"/>
    <w:rsid w:val="00030FA9"/>
    <w:rsid w:val="00031E98"/>
    <w:rsid w:val="00032060"/>
    <w:rsid w:val="000323C2"/>
    <w:rsid w:val="00032AD0"/>
    <w:rsid w:val="00033A6B"/>
    <w:rsid w:val="000347EE"/>
    <w:rsid w:val="00035BE0"/>
    <w:rsid w:val="000363E6"/>
    <w:rsid w:val="00036465"/>
    <w:rsid w:val="000378F2"/>
    <w:rsid w:val="000412F2"/>
    <w:rsid w:val="000413ED"/>
    <w:rsid w:val="000419A9"/>
    <w:rsid w:val="00042439"/>
    <w:rsid w:val="00042993"/>
    <w:rsid w:val="00043B7E"/>
    <w:rsid w:val="000441B2"/>
    <w:rsid w:val="000450D6"/>
    <w:rsid w:val="000450F8"/>
    <w:rsid w:val="00047569"/>
    <w:rsid w:val="00047585"/>
    <w:rsid w:val="0004789C"/>
    <w:rsid w:val="000514E8"/>
    <w:rsid w:val="00053F62"/>
    <w:rsid w:val="00054292"/>
    <w:rsid w:val="00054D52"/>
    <w:rsid w:val="00055657"/>
    <w:rsid w:val="00056B25"/>
    <w:rsid w:val="00056FAC"/>
    <w:rsid w:val="00060682"/>
    <w:rsid w:val="0006115A"/>
    <w:rsid w:val="00062A93"/>
    <w:rsid w:val="00063901"/>
    <w:rsid w:val="000653E4"/>
    <w:rsid w:val="000659B9"/>
    <w:rsid w:val="00067412"/>
    <w:rsid w:val="00067870"/>
    <w:rsid w:val="00067A37"/>
    <w:rsid w:val="00070241"/>
    <w:rsid w:val="00070B79"/>
    <w:rsid w:val="00071662"/>
    <w:rsid w:val="0007216E"/>
    <w:rsid w:val="00072E6D"/>
    <w:rsid w:val="000735F3"/>
    <w:rsid w:val="00073CE6"/>
    <w:rsid w:val="0007712D"/>
    <w:rsid w:val="000811BD"/>
    <w:rsid w:val="00082E75"/>
    <w:rsid w:val="0008332A"/>
    <w:rsid w:val="00084067"/>
    <w:rsid w:val="000857D0"/>
    <w:rsid w:val="00085B16"/>
    <w:rsid w:val="00087CF8"/>
    <w:rsid w:val="00087F4D"/>
    <w:rsid w:val="00090255"/>
    <w:rsid w:val="00090D9F"/>
    <w:rsid w:val="0009101A"/>
    <w:rsid w:val="000922E8"/>
    <w:rsid w:val="0009264F"/>
    <w:rsid w:val="0009320E"/>
    <w:rsid w:val="00093C25"/>
    <w:rsid w:val="00094988"/>
    <w:rsid w:val="000958E6"/>
    <w:rsid w:val="00096BB6"/>
    <w:rsid w:val="0009779D"/>
    <w:rsid w:val="000A0A71"/>
    <w:rsid w:val="000A0CDE"/>
    <w:rsid w:val="000A1623"/>
    <w:rsid w:val="000A18C0"/>
    <w:rsid w:val="000A1BFE"/>
    <w:rsid w:val="000A2A1C"/>
    <w:rsid w:val="000A2C5E"/>
    <w:rsid w:val="000A5AA5"/>
    <w:rsid w:val="000A68FB"/>
    <w:rsid w:val="000A6C9B"/>
    <w:rsid w:val="000A7AB1"/>
    <w:rsid w:val="000B02B6"/>
    <w:rsid w:val="000B08F3"/>
    <w:rsid w:val="000B1B06"/>
    <w:rsid w:val="000B2932"/>
    <w:rsid w:val="000B2FEF"/>
    <w:rsid w:val="000B335F"/>
    <w:rsid w:val="000B3BFE"/>
    <w:rsid w:val="000B57F5"/>
    <w:rsid w:val="000B5996"/>
    <w:rsid w:val="000B75C8"/>
    <w:rsid w:val="000B7B55"/>
    <w:rsid w:val="000C0ACF"/>
    <w:rsid w:val="000C16D6"/>
    <w:rsid w:val="000C1FED"/>
    <w:rsid w:val="000C224D"/>
    <w:rsid w:val="000C2F33"/>
    <w:rsid w:val="000C3792"/>
    <w:rsid w:val="000C4A1C"/>
    <w:rsid w:val="000C6AB2"/>
    <w:rsid w:val="000D17EE"/>
    <w:rsid w:val="000D18D5"/>
    <w:rsid w:val="000D292B"/>
    <w:rsid w:val="000D29C2"/>
    <w:rsid w:val="000D366F"/>
    <w:rsid w:val="000D574E"/>
    <w:rsid w:val="000D6315"/>
    <w:rsid w:val="000D6543"/>
    <w:rsid w:val="000E03BC"/>
    <w:rsid w:val="000E3446"/>
    <w:rsid w:val="000E42B1"/>
    <w:rsid w:val="000E4FDD"/>
    <w:rsid w:val="000E530E"/>
    <w:rsid w:val="000E58B6"/>
    <w:rsid w:val="000E5DC2"/>
    <w:rsid w:val="000E7190"/>
    <w:rsid w:val="000E790B"/>
    <w:rsid w:val="000F0B9A"/>
    <w:rsid w:val="000F0D0E"/>
    <w:rsid w:val="000F178D"/>
    <w:rsid w:val="000F1808"/>
    <w:rsid w:val="000F2860"/>
    <w:rsid w:val="000F2BBA"/>
    <w:rsid w:val="000F3305"/>
    <w:rsid w:val="000F3E62"/>
    <w:rsid w:val="000F4423"/>
    <w:rsid w:val="000F66F8"/>
    <w:rsid w:val="000F7730"/>
    <w:rsid w:val="000F79C3"/>
    <w:rsid w:val="00100530"/>
    <w:rsid w:val="001006DF"/>
    <w:rsid w:val="00105E7C"/>
    <w:rsid w:val="0010628C"/>
    <w:rsid w:val="0010638A"/>
    <w:rsid w:val="001063D9"/>
    <w:rsid w:val="001072C3"/>
    <w:rsid w:val="00107399"/>
    <w:rsid w:val="00107D66"/>
    <w:rsid w:val="001102A1"/>
    <w:rsid w:val="00110776"/>
    <w:rsid w:val="00110F26"/>
    <w:rsid w:val="0011204B"/>
    <w:rsid w:val="00113FCC"/>
    <w:rsid w:val="0011486D"/>
    <w:rsid w:val="0011554C"/>
    <w:rsid w:val="00115662"/>
    <w:rsid w:val="00115F59"/>
    <w:rsid w:val="001168D7"/>
    <w:rsid w:val="00120001"/>
    <w:rsid w:val="0012123F"/>
    <w:rsid w:val="0012342F"/>
    <w:rsid w:val="001234FE"/>
    <w:rsid w:val="00123A3E"/>
    <w:rsid w:val="00123C74"/>
    <w:rsid w:val="001246AD"/>
    <w:rsid w:val="001254F2"/>
    <w:rsid w:val="001260C0"/>
    <w:rsid w:val="00127339"/>
    <w:rsid w:val="00127873"/>
    <w:rsid w:val="00130236"/>
    <w:rsid w:val="00130C63"/>
    <w:rsid w:val="00130E64"/>
    <w:rsid w:val="00131EFC"/>
    <w:rsid w:val="00132D3F"/>
    <w:rsid w:val="00133CD4"/>
    <w:rsid w:val="00136A45"/>
    <w:rsid w:val="00137C57"/>
    <w:rsid w:val="00140098"/>
    <w:rsid w:val="001415BC"/>
    <w:rsid w:val="0014202F"/>
    <w:rsid w:val="001421C8"/>
    <w:rsid w:val="001424C4"/>
    <w:rsid w:val="001447BE"/>
    <w:rsid w:val="001451DB"/>
    <w:rsid w:val="00145818"/>
    <w:rsid w:val="00145DD2"/>
    <w:rsid w:val="001469AB"/>
    <w:rsid w:val="0015041C"/>
    <w:rsid w:val="001504F2"/>
    <w:rsid w:val="001526EC"/>
    <w:rsid w:val="001528A7"/>
    <w:rsid w:val="00152E77"/>
    <w:rsid w:val="00153815"/>
    <w:rsid w:val="0015384F"/>
    <w:rsid w:val="00153BD5"/>
    <w:rsid w:val="0015428E"/>
    <w:rsid w:val="00154602"/>
    <w:rsid w:val="0015488C"/>
    <w:rsid w:val="00154A7F"/>
    <w:rsid w:val="00157752"/>
    <w:rsid w:val="00157C7F"/>
    <w:rsid w:val="00160687"/>
    <w:rsid w:val="001608FA"/>
    <w:rsid w:val="001621DE"/>
    <w:rsid w:val="00162623"/>
    <w:rsid w:val="00162DFB"/>
    <w:rsid w:val="00166DA7"/>
    <w:rsid w:val="00167464"/>
    <w:rsid w:val="0017003D"/>
    <w:rsid w:val="001703EA"/>
    <w:rsid w:val="00170E84"/>
    <w:rsid w:val="00170FF6"/>
    <w:rsid w:val="001710CA"/>
    <w:rsid w:val="00171408"/>
    <w:rsid w:val="0017194F"/>
    <w:rsid w:val="00171D3B"/>
    <w:rsid w:val="001736F4"/>
    <w:rsid w:val="00176AF0"/>
    <w:rsid w:val="00176E53"/>
    <w:rsid w:val="0017753F"/>
    <w:rsid w:val="0017789E"/>
    <w:rsid w:val="00182E83"/>
    <w:rsid w:val="00183413"/>
    <w:rsid w:val="001834F4"/>
    <w:rsid w:val="00184DF4"/>
    <w:rsid w:val="00186FB2"/>
    <w:rsid w:val="00187EFF"/>
    <w:rsid w:val="00190B73"/>
    <w:rsid w:val="00191AC0"/>
    <w:rsid w:val="00192250"/>
    <w:rsid w:val="001934B0"/>
    <w:rsid w:val="00193A52"/>
    <w:rsid w:val="00194358"/>
    <w:rsid w:val="0019500A"/>
    <w:rsid w:val="0019572D"/>
    <w:rsid w:val="00195783"/>
    <w:rsid w:val="0019598C"/>
    <w:rsid w:val="00196CB7"/>
    <w:rsid w:val="0019771D"/>
    <w:rsid w:val="001A08D6"/>
    <w:rsid w:val="001A0D21"/>
    <w:rsid w:val="001A185A"/>
    <w:rsid w:val="001A1B8C"/>
    <w:rsid w:val="001A2865"/>
    <w:rsid w:val="001A2DCB"/>
    <w:rsid w:val="001A3275"/>
    <w:rsid w:val="001A35C6"/>
    <w:rsid w:val="001A42ED"/>
    <w:rsid w:val="001A4446"/>
    <w:rsid w:val="001A6F6D"/>
    <w:rsid w:val="001B16AA"/>
    <w:rsid w:val="001B3295"/>
    <w:rsid w:val="001B4883"/>
    <w:rsid w:val="001B4C87"/>
    <w:rsid w:val="001B536F"/>
    <w:rsid w:val="001B7C1F"/>
    <w:rsid w:val="001C3321"/>
    <w:rsid w:val="001C385C"/>
    <w:rsid w:val="001C4601"/>
    <w:rsid w:val="001C46D0"/>
    <w:rsid w:val="001C48DD"/>
    <w:rsid w:val="001C4A84"/>
    <w:rsid w:val="001C4D6B"/>
    <w:rsid w:val="001C60C9"/>
    <w:rsid w:val="001C7140"/>
    <w:rsid w:val="001D0955"/>
    <w:rsid w:val="001D1B01"/>
    <w:rsid w:val="001D1EA1"/>
    <w:rsid w:val="001D2155"/>
    <w:rsid w:val="001D2294"/>
    <w:rsid w:val="001D3504"/>
    <w:rsid w:val="001D3B15"/>
    <w:rsid w:val="001D3F15"/>
    <w:rsid w:val="001D43D5"/>
    <w:rsid w:val="001D4E77"/>
    <w:rsid w:val="001D5DCB"/>
    <w:rsid w:val="001D609D"/>
    <w:rsid w:val="001D721D"/>
    <w:rsid w:val="001E03D0"/>
    <w:rsid w:val="001E078F"/>
    <w:rsid w:val="001E1377"/>
    <w:rsid w:val="001E2773"/>
    <w:rsid w:val="001E3984"/>
    <w:rsid w:val="001E4B91"/>
    <w:rsid w:val="001E5F28"/>
    <w:rsid w:val="001E6333"/>
    <w:rsid w:val="001E6CC8"/>
    <w:rsid w:val="001E7113"/>
    <w:rsid w:val="001E7A8B"/>
    <w:rsid w:val="001F00E9"/>
    <w:rsid w:val="001F04CC"/>
    <w:rsid w:val="001F0D9B"/>
    <w:rsid w:val="001F1865"/>
    <w:rsid w:val="001F2656"/>
    <w:rsid w:val="001F43B0"/>
    <w:rsid w:val="001F4536"/>
    <w:rsid w:val="001F523F"/>
    <w:rsid w:val="001F760A"/>
    <w:rsid w:val="001F7A5D"/>
    <w:rsid w:val="00200317"/>
    <w:rsid w:val="00200708"/>
    <w:rsid w:val="00200760"/>
    <w:rsid w:val="002009B8"/>
    <w:rsid w:val="00200B97"/>
    <w:rsid w:val="00200CEB"/>
    <w:rsid w:val="002015BF"/>
    <w:rsid w:val="00201D10"/>
    <w:rsid w:val="00201E4D"/>
    <w:rsid w:val="00202DF1"/>
    <w:rsid w:val="00203B33"/>
    <w:rsid w:val="0020496F"/>
    <w:rsid w:val="00206B60"/>
    <w:rsid w:val="002074DA"/>
    <w:rsid w:val="00207D2F"/>
    <w:rsid w:val="00211167"/>
    <w:rsid w:val="00211482"/>
    <w:rsid w:val="00211DEA"/>
    <w:rsid w:val="00213B47"/>
    <w:rsid w:val="00214593"/>
    <w:rsid w:val="0021527A"/>
    <w:rsid w:val="00216773"/>
    <w:rsid w:val="002168E2"/>
    <w:rsid w:val="00217F50"/>
    <w:rsid w:val="00220650"/>
    <w:rsid w:val="0022164E"/>
    <w:rsid w:val="00221B79"/>
    <w:rsid w:val="0022251B"/>
    <w:rsid w:val="00222C10"/>
    <w:rsid w:val="0022315C"/>
    <w:rsid w:val="00224D16"/>
    <w:rsid w:val="002264C6"/>
    <w:rsid w:val="00227884"/>
    <w:rsid w:val="002302A1"/>
    <w:rsid w:val="002306C1"/>
    <w:rsid w:val="002315F7"/>
    <w:rsid w:val="00232105"/>
    <w:rsid w:val="0023346A"/>
    <w:rsid w:val="00234126"/>
    <w:rsid w:val="0023465D"/>
    <w:rsid w:val="002348C3"/>
    <w:rsid w:val="00235539"/>
    <w:rsid w:val="00235FB8"/>
    <w:rsid w:val="002373E2"/>
    <w:rsid w:val="00237622"/>
    <w:rsid w:val="00240AE0"/>
    <w:rsid w:val="00241678"/>
    <w:rsid w:val="0024198F"/>
    <w:rsid w:val="00241B62"/>
    <w:rsid w:val="00242227"/>
    <w:rsid w:val="00243661"/>
    <w:rsid w:val="0024394F"/>
    <w:rsid w:val="002462CC"/>
    <w:rsid w:val="00250055"/>
    <w:rsid w:val="00251C7F"/>
    <w:rsid w:val="00253700"/>
    <w:rsid w:val="00253F7E"/>
    <w:rsid w:val="00254702"/>
    <w:rsid w:val="00254DA5"/>
    <w:rsid w:val="002550E5"/>
    <w:rsid w:val="00255C05"/>
    <w:rsid w:val="00255FA7"/>
    <w:rsid w:val="00257DA8"/>
    <w:rsid w:val="00257ED4"/>
    <w:rsid w:val="00260DE4"/>
    <w:rsid w:val="00261DA3"/>
    <w:rsid w:val="00261DEE"/>
    <w:rsid w:val="00262A80"/>
    <w:rsid w:val="00262D06"/>
    <w:rsid w:val="00262E0E"/>
    <w:rsid w:val="0026447F"/>
    <w:rsid w:val="00264AF0"/>
    <w:rsid w:val="0026521E"/>
    <w:rsid w:val="00265680"/>
    <w:rsid w:val="00265C95"/>
    <w:rsid w:val="00267835"/>
    <w:rsid w:val="00267C0B"/>
    <w:rsid w:val="00270410"/>
    <w:rsid w:val="0027284C"/>
    <w:rsid w:val="00273779"/>
    <w:rsid w:val="0027555D"/>
    <w:rsid w:val="00276751"/>
    <w:rsid w:val="00276EA9"/>
    <w:rsid w:val="00277A02"/>
    <w:rsid w:val="00281E5A"/>
    <w:rsid w:val="00282063"/>
    <w:rsid w:val="0028364F"/>
    <w:rsid w:val="00285061"/>
    <w:rsid w:val="00285D86"/>
    <w:rsid w:val="0028623E"/>
    <w:rsid w:val="00290420"/>
    <w:rsid w:val="00290D48"/>
    <w:rsid w:val="0029169C"/>
    <w:rsid w:val="0029294F"/>
    <w:rsid w:val="00292CFD"/>
    <w:rsid w:val="00292D65"/>
    <w:rsid w:val="00292FAA"/>
    <w:rsid w:val="0029386E"/>
    <w:rsid w:val="00294C95"/>
    <w:rsid w:val="00295002"/>
    <w:rsid w:val="00295AAD"/>
    <w:rsid w:val="0029760F"/>
    <w:rsid w:val="002A0FBE"/>
    <w:rsid w:val="002A1388"/>
    <w:rsid w:val="002A345B"/>
    <w:rsid w:val="002A4630"/>
    <w:rsid w:val="002A4FF8"/>
    <w:rsid w:val="002A5362"/>
    <w:rsid w:val="002A60B9"/>
    <w:rsid w:val="002A70C7"/>
    <w:rsid w:val="002A78CF"/>
    <w:rsid w:val="002B05BD"/>
    <w:rsid w:val="002B29EC"/>
    <w:rsid w:val="002B2E6F"/>
    <w:rsid w:val="002B3582"/>
    <w:rsid w:val="002B35B4"/>
    <w:rsid w:val="002B47E8"/>
    <w:rsid w:val="002B4C7E"/>
    <w:rsid w:val="002B56A1"/>
    <w:rsid w:val="002B61DC"/>
    <w:rsid w:val="002B6471"/>
    <w:rsid w:val="002B6719"/>
    <w:rsid w:val="002B6DA6"/>
    <w:rsid w:val="002B7A64"/>
    <w:rsid w:val="002C0D5C"/>
    <w:rsid w:val="002C13A0"/>
    <w:rsid w:val="002C17F8"/>
    <w:rsid w:val="002C25E6"/>
    <w:rsid w:val="002C2F04"/>
    <w:rsid w:val="002C35A4"/>
    <w:rsid w:val="002C3FFC"/>
    <w:rsid w:val="002C450A"/>
    <w:rsid w:val="002C4625"/>
    <w:rsid w:val="002C47D1"/>
    <w:rsid w:val="002C4ABC"/>
    <w:rsid w:val="002C634B"/>
    <w:rsid w:val="002D1CFC"/>
    <w:rsid w:val="002D2FE1"/>
    <w:rsid w:val="002D37DD"/>
    <w:rsid w:val="002D41BA"/>
    <w:rsid w:val="002D4326"/>
    <w:rsid w:val="002D4334"/>
    <w:rsid w:val="002D65F2"/>
    <w:rsid w:val="002D72E1"/>
    <w:rsid w:val="002D779C"/>
    <w:rsid w:val="002D77FF"/>
    <w:rsid w:val="002D7855"/>
    <w:rsid w:val="002E07B2"/>
    <w:rsid w:val="002E0A95"/>
    <w:rsid w:val="002E0D23"/>
    <w:rsid w:val="002E0D75"/>
    <w:rsid w:val="002E0DFC"/>
    <w:rsid w:val="002E1438"/>
    <w:rsid w:val="002E46A6"/>
    <w:rsid w:val="002E4745"/>
    <w:rsid w:val="002E76EE"/>
    <w:rsid w:val="002F07AC"/>
    <w:rsid w:val="002F0927"/>
    <w:rsid w:val="002F0E5D"/>
    <w:rsid w:val="002F1744"/>
    <w:rsid w:val="002F17D6"/>
    <w:rsid w:val="002F218D"/>
    <w:rsid w:val="002F22B6"/>
    <w:rsid w:val="002F3E29"/>
    <w:rsid w:val="002F4735"/>
    <w:rsid w:val="002F4737"/>
    <w:rsid w:val="002F47E7"/>
    <w:rsid w:val="002F495C"/>
    <w:rsid w:val="002F5D9A"/>
    <w:rsid w:val="002F5F51"/>
    <w:rsid w:val="002F6CA9"/>
    <w:rsid w:val="002F702F"/>
    <w:rsid w:val="002F7F5F"/>
    <w:rsid w:val="00300838"/>
    <w:rsid w:val="00301C7D"/>
    <w:rsid w:val="003049D9"/>
    <w:rsid w:val="00305F9C"/>
    <w:rsid w:val="003066CA"/>
    <w:rsid w:val="003106FE"/>
    <w:rsid w:val="003114CE"/>
    <w:rsid w:val="00311D22"/>
    <w:rsid w:val="00312FF0"/>
    <w:rsid w:val="00313669"/>
    <w:rsid w:val="00313C37"/>
    <w:rsid w:val="00313E52"/>
    <w:rsid w:val="003159EB"/>
    <w:rsid w:val="0031636B"/>
    <w:rsid w:val="00316E3C"/>
    <w:rsid w:val="00321238"/>
    <w:rsid w:val="0032239E"/>
    <w:rsid w:val="00322C2A"/>
    <w:rsid w:val="00324643"/>
    <w:rsid w:val="003247DE"/>
    <w:rsid w:val="003257FB"/>
    <w:rsid w:val="00326554"/>
    <w:rsid w:val="00326562"/>
    <w:rsid w:val="00326594"/>
    <w:rsid w:val="003270F9"/>
    <w:rsid w:val="003274B9"/>
    <w:rsid w:val="003274DD"/>
    <w:rsid w:val="00327E7D"/>
    <w:rsid w:val="003301E7"/>
    <w:rsid w:val="00330323"/>
    <w:rsid w:val="003317AB"/>
    <w:rsid w:val="003317BA"/>
    <w:rsid w:val="003331D6"/>
    <w:rsid w:val="003338B1"/>
    <w:rsid w:val="00337F8E"/>
    <w:rsid w:val="00340673"/>
    <w:rsid w:val="00341E0F"/>
    <w:rsid w:val="00342CE1"/>
    <w:rsid w:val="00343472"/>
    <w:rsid w:val="00343A12"/>
    <w:rsid w:val="00345E11"/>
    <w:rsid w:val="003473B3"/>
    <w:rsid w:val="00347FCE"/>
    <w:rsid w:val="00350081"/>
    <w:rsid w:val="00350390"/>
    <w:rsid w:val="00350431"/>
    <w:rsid w:val="00350982"/>
    <w:rsid w:val="00353ED3"/>
    <w:rsid w:val="00354432"/>
    <w:rsid w:val="00354582"/>
    <w:rsid w:val="0035588F"/>
    <w:rsid w:val="00355A7B"/>
    <w:rsid w:val="00355AA5"/>
    <w:rsid w:val="00355C9D"/>
    <w:rsid w:val="0035626D"/>
    <w:rsid w:val="00356BF4"/>
    <w:rsid w:val="00360AA5"/>
    <w:rsid w:val="00360F38"/>
    <w:rsid w:val="00361261"/>
    <w:rsid w:val="0036148E"/>
    <w:rsid w:val="0036400C"/>
    <w:rsid w:val="003653E5"/>
    <w:rsid w:val="003656F1"/>
    <w:rsid w:val="0036597F"/>
    <w:rsid w:val="00366432"/>
    <w:rsid w:val="003667F1"/>
    <w:rsid w:val="00366E52"/>
    <w:rsid w:val="003708EA"/>
    <w:rsid w:val="003723EC"/>
    <w:rsid w:val="0037290B"/>
    <w:rsid w:val="00372A87"/>
    <w:rsid w:val="00375CF1"/>
    <w:rsid w:val="003769E0"/>
    <w:rsid w:val="00376F9A"/>
    <w:rsid w:val="0037709D"/>
    <w:rsid w:val="00380714"/>
    <w:rsid w:val="003807FD"/>
    <w:rsid w:val="00381182"/>
    <w:rsid w:val="003824D9"/>
    <w:rsid w:val="00382D6F"/>
    <w:rsid w:val="00383735"/>
    <w:rsid w:val="00383FD1"/>
    <w:rsid w:val="00385E9D"/>
    <w:rsid w:val="0038705A"/>
    <w:rsid w:val="00387740"/>
    <w:rsid w:val="0039093A"/>
    <w:rsid w:val="003911B6"/>
    <w:rsid w:val="00392D11"/>
    <w:rsid w:val="003930BA"/>
    <w:rsid w:val="003943D8"/>
    <w:rsid w:val="00396F5B"/>
    <w:rsid w:val="003971D2"/>
    <w:rsid w:val="00397BB4"/>
    <w:rsid w:val="003A0D77"/>
    <w:rsid w:val="003A1906"/>
    <w:rsid w:val="003A24E7"/>
    <w:rsid w:val="003A2731"/>
    <w:rsid w:val="003A2AA7"/>
    <w:rsid w:val="003A2E97"/>
    <w:rsid w:val="003A3D18"/>
    <w:rsid w:val="003A42BC"/>
    <w:rsid w:val="003A5114"/>
    <w:rsid w:val="003B09D9"/>
    <w:rsid w:val="003B0DF9"/>
    <w:rsid w:val="003B1175"/>
    <w:rsid w:val="003B240E"/>
    <w:rsid w:val="003B2516"/>
    <w:rsid w:val="003B256E"/>
    <w:rsid w:val="003B333C"/>
    <w:rsid w:val="003B3A61"/>
    <w:rsid w:val="003B5407"/>
    <w:rsid w:val="003B5A98"/>
    <w:rsid w:val="003C1974"/>
    <w:rsid w:val="003C20BC"/>
    <w:rsid w:val="003C49A4"/>
    <w:rsid w:val="003C6F20"/>
    <w:rsid w:val="003D1504"/>
    <w:rsid w:val="003D234A"/>
    <w:rsid w:val="003D2602"/>
    <w:rsid w:val="003D2B7E"/>
    <w:rsid w:val="003D2FF4"/>
    <w:rsid w:val="003D5BA8"/>
    <w:rsid w:val="003D668F"/>
    <w:rsid w:val="003D6789"/>
    <w:rsid w:val="003D6A05"/>
    <w:rsid w:val="003D6EEF"/>
    <w:rsid w:val="003D6FDF"/>
    <w:rsid w:val="003D7AE6"/>
    <w:rsid w:val="003E0FF3"/>
    <w:rsid w:val="003E2758"/>
    <w:rsid w:val="003E2C0A"/>
    <w:rsid w:val="003E3F68"/>
    <w:rsid w:val="003E4836"/>
    <w:rsid w:val="003E4957"/>
    <w:rsid w:val="003E5B72"/>
    <w:rsid w:val="003E5BC7"/>
    <w:rsid w:val="003E7B0D"/>
    <w:rsid w:val="003F03F9"/>
    <w:rsid w:val="003F0C2E"/>
    <w:rsid w:val="003F12DC"/>
    <w:rsid w:val="003F1B93"/>
    <w:rsid w:val="003F1C32"/>
    <w:rsid w:val="003F3873"/>
    <w:rsid w:val="003F3C6B"/>
    <w:rsid w:val="003F412B"/>
    <w:rsid w:val="003F4974"/>
    <w:rsid w:val="003F4C7C"/>
    <w:rsid w:val="003F6023"/>
    <w:rsid w:val="003F6077"/>
    <w:rsid w:val="003F74F0"/>
    <w:rsid w:val="003F7791"/>
    <w:rsid w:val="003F7C73"/>
    <w:rsid w:val="003F7FA1"/>
    <w:rsid w:val="00400898"/>
    <w:rsid w:val="00400AAD"/>
    <w:rsid w:val="00400B1A"/>
    <w:rsid w:val="00401238"/>
    <w:rsid w:val="0040225C"/>
    <w:rsid w:val="00402AE5"/>
    <w:rsid w:val="00404CAB"/>
    <w:rsid w:val="004054FC"/>
    <w:rsid w:val="00405E3B"/>
    <w:rsid w:val="00406E3B"/>
    <w:rsid w:val="004070DF"/>
    <w:rsid w:val="00407902"/>
    <w:rsid w:val="00410779"/>
    <w:rsid w:val="004115E0"/>
    <w:rsid w:val="004124D9"/>
    <w:rsid w:val="00412C66"/>
    <w:rsid w:val="00413EB0"/>
    <w:rsid w:val="0041501E"/>
    <w:rsid w:val="00416B58"/>
    <w:rsid w:val="0041751B"/>
    <w:rsid w:val="00417649"/>
    <w:rsid w:val="004204E5"/>
    <w:rsid w:val="00420A4E"/>
    <w:rsid w:val="00420B6F"/>
    <w:rsid w:val="00421516"/>
    <w:rsid w:val="00421524"/>
    <w:rsid w:val="00421782"/>
    <w:rsid w:val="00422FFC"/>
    <w:rsid w:val="0042395E"/>
    <w:rsid w:val="0042473F"/>
    <w:rsid w:val="0042514E"/>
    <w:rsid w:val="00425209"/>
    <w:rsid w:val="004257EF"/>
    <w:rsid w:val="00425903"/>
    <w:rsid w:val="00425BF9"/>
    <w:rsid w:val="00426FB0"/>
    <w:rsid w:val="00427114"/>
    <w:rsid w:val="004272E3"/>
    <w:rsid w:val="00430A53"/>
    <w:rsid w:val="004310E9"/>
    <w:rsid w:val="00432F94"/>
    <w:rsid w:val="0043339E"/>
    <w:rsid w:val="00433AB8"/>
    <w:rsid w:val="004350FD"/>
    <w:rsid w:val="00436A94"/>
    <w:rsid w:val="00436AB6"/>
    <w:rsid w:val="00436C48"/>
    <w:rsid w:val="00436D03"/>
    <w:rsid w:val="00437A32"/>
    <w:rsid w:val="00440233"/>
    <w:rsid w:val="00440A80"/>
    <w:rsid w:val="00442420"/>
    <w:rsid w:val="00442AEF"/>
    <w:rsid w:val="00442D7D"/>
    <w:rsid w:val="0044336A"/>
    <w:rsid w:val="0044372C"/>
    <w:rsid w:val="0044372D"/>
    <w:rsid w:val="0045023C"/>
    <w:rsid w:val="00450EC8"/>
    <w:rsid w:val="0045233A"/>
    <w:rsid w:val="004524BC"/>
    <w:rsid w:val="00452B97"/>
    <w:rsid w:val="00452D51"/>
    <w:rsid w:val="00453100"/>
    <w:rsid w:val="00454778"/>
    <w:rsid w:val="00454D1F"/>
    <w:rsid w:val="00454EE1"/>
    <w:rsid w:val="00455E57"/>
    <w:rsid w:val="00455F73"/>
    <w:rsid w:val="00457F43"/>
    <w:rsid w:val="004612FA"/>
    <w:rsid w:val="00464235"/>
    <w:rsid w:val="00464ABA"/>
    <w:rsid w:val="004655C7"/>
    <w:rsid w:val="00465AC3"/>
    <w:rsid w:val="00465AE2"/>
    <w:rsid w:val="00465C15"/>
    <w:rsid w:val="00466652"/>
    <w:rsid w:val="00466C8C"/>
    <w:rsid w:val="004676C9"/>
    <w:rsid w:val="0046770A"/>
    <w:rsid w:val="00467AFC"/>
    <w:rsid w:val="00470A57"/>
    <w:rsid w:val="00470B06"/>
    <w:rsid w:val="0047101B"/>
    <w:rsid w:val="004710CD"/>
    <w:rsid w:val="0047195E"/>
    <w:rsid w:val="00473F16"/>
    <w:rsid w:val="004753CD"/>
    <w:rsid w:val="0047611E"/>
    <w:rsid w:val="0047698E"/>
    <w:rsid w:val="0047744E"/>
    <w:rsid w:val="004812AF"/>
    <w:rsid w:val="00481C8D"/>
    <w:rsid w:val="004824DE"/>
    <w:rsid w:val="00482633"/>
    <w:rsid w:val="00482D99"/>
    <w:rsid w:val="00483456"/>
    <w:rsid w:val="00483A27"/>
    <w:rsid w:val="00485E47"/>
    <w:rsid w:val="00485F39"/>
    <w:rsid w:val="00487061"/>
    <w:rsid w:val="00487A85"/>
    <w:rsid w:val="00490531"/>
    <w:rsid w:val="00490FB5"/>
    <w:rsid w:val="00492349"/>
    <w:rsid w:val="00493F2C"/>
    <w:rsid w:val="00494D21"/>
    <w:rsid w:val="004955D8"/>
    <w:rsid w:val="00495CF3"/>
    <w:rsid w:val="00497FDD"/>
    <w:rsid w:val="004A1375"/>
    <w:rsid w:val="004A32C1"/>
    <w:rsid w:val="004A4713"/>
    <w:rsid w:val="004A592B"/>
    <w:rsid w:val="004A7619"/>
    <w:rsid w:val="004A792A"/>
    <w:rsid w:val="004B0210"/>
    <w:rsid w:val="004B4285"/>
    <w:rsid w:val="004B64C5"/>
    <w:rsid w:val="004B751B"/>
    <w:rsid w:val="004C0403"/>
    <w:rsid w:val="004C10D1"/>
    <w:rsid w:val="004C2993"/>
    <w:rsid w:val="004C2AB6"/>
    <w:rsid w:val="004C302D"/>
    <w:rsid w:val="004C3EBE"/>
    <w:rsid w:val="004C4053"/>
    <w:rsid w:val="004C4278"/>
    <w:rsid w:val="004C53FC"/>
    <w:rsid w:val="004C5589"/>
    <w:rsid w:val="004C69E1"/>
    <w:rsid w:val="004D136B"/>
    <w:rsid w:val="004D19BD"/>
    <w:rsid w:val="004D2183"/>
    <w:rsid w:val="004D2CF6"/>
    <w:rsid w:val="004D32C6"/>
    <w:rsid w:val="004D5693"/>
    <w:rsid w:val="004D6A87"/>
    <w:rsid w:val="004D7ADF"/>
    <w:rsid w:val="004E0CD6"/>
    <w:rsid w:val="004E1A91"/>
    <w:rsid w:val="004E1D7E"/>
    <w:rsid w:val="004E2BD1"/>
    <w:rsid w:val="004E3369"/>
    <w:rsid w:val="004E3D24"/>
    <w:rsid w:val="004E443C"/>
    <w:rsid w:val="004E4E88"/>
    <w:rsid w:val="004E59A9"/>
    <w:rsid w:val="004E6A11"/>
    <w:rsid w:val="004E72F8"/>
    <w:rsid w:val="004F0750"/>
    <w:rsid w:val="004F19B0"/>
    <w:rsid w:val="004F1B01"/>
    <w:rsid w:val="004F1DCE"/>
    <w:rsid w:val="004F2118"/>
    <w:rsid w:val="004F3E8E"/>
    <w:rsid w:val="004F5656"/>
    <w:rsid w:val="004F6869"/>
    <w:rsid w:val="004F68B6"/>
    <w:rsid w:val="004F6B18"/>
    <w:rsid w:val="004F7E7F"/>
    <w:rsid w:val="005002E7"/>
    <w:rsid w:val="00504E23"/>
    <w:rsid w:val="0050607E"/>
    <w:rsid w:val="005066B9"/>
    <w:rsid w:val="005072F9"/>
    <w:rsid w:val="005118EE"/>
    <w:rsid w:val="00511B4B"/>
    <w:rsid w:val="00513112"/>
    <w:rsid w:val="00513300"/>
    <w:rsid w:val="005143A1"/>
    <w:rsid w:val="0051453F"/>
    <w:rsid w:val="00514D73"/>
    <w:rsid w:val="00515473"/>
    <w:rsid w:val="00520193"/>
    <w:rsid w:val="00520F5A"/>
    <w:rsid w:val="005211D5"/>
    <w:rsid w:val="00523569"/>
    <w:rsid w:val="0052482E"/>
    <w:rsid w:val="00524EEB"/>
    <w:rsid w:val="005300B1"/>
    <w:rsid w:val="005303C6"/>
    <w:rsid w:val="00531230"/>
    <w:rsid w:val="00531C4E"/>
    <w:rsid w:val="00532479"/>
    <w:rsid w:val="00532976"/>
    <w:rsid w:val="00532EF7"/>
    <w:rsid w:val="005332DA"/>
    <w:rsid w:val="00534441"/>
    <w:rsid w:val="00534F4E"/>
    <w:rsid w:val="00535B8E"/>
    <w:rsid w:val="00535E40"/>
    <w:rsid w:val="00536A13"/>
    <w:rsid w:val="00543183"/>
    <w:rsid w:val="00543370"/>
    <w:rsid w:val="00544B2D"/>
    <w:rsid w:val="00544FF4"/>
    <w:rsid w:val="005454BF"/>
    <w:rsid w:val="00546045"/>
    <w:rsid w:val="005468C1"/>
    <w:rsid w:val="005475F0"/>
    <w:rsid w:val="00551195"/>
    <w:rsid w:val="00552594"/>
    <w:rsid w:val="00552EA1"/>
    <w:rsid w:val="00553232"/>
    <w:rsid w:val="00553384"/>
    <w:rsid w:val="00553FC5"/>
    <w:rsid w:val="00554192"/>
    <w:rsid w:val="0055433C"/>
    <w:rsid w:val="00554EB2"/>
    <w:rsid w:val="0055523D"/>
    <w:rsid w:val="00555D98"/>
    <w:rsid w:val="00555FCE"/>
    <w:rsid w:val="005568A4"/>
    <w:rsid w:val="00556AC2"/>
    <w:rsid w:val="00557E44"/>
    <w:rsid w:val="005606E4"/>
    <w:rsid w:val="005608E2"/>
    <w:rsid w:val="00561394"/>
    <w:rsid w:val="00561461"/>
    <w:rsid w:val="0056171C"/>
    <w:rsid w:val="00561F57"/>
    <w:rsid w:val="00562614"/>
    <w:rsid w:val="00562AA4"/>
    <w:rsid w:val="00562FE4"/>
    <w:rsid w:val="00563A34"/>
    <w:rsid w:val="00564697"/>
    <w:rsid w:val="0056566D"/>
    <w:rsid w:val="005668AB"/>
    <w:rsid w:val="0056729D"/>
    <w:rsid w:val="005672BD"/>
    <w:rsid w:val="005700CD"/>
    <w:rsid w:val="00570817"/>
    <w:rsid w:val="005709AB"/>
    <w:rsid w:val="00570FB1"/>
    <w:rsid w:val="0057101D"/>
    <w:rsid w:val="00573C06"/>
    <w:rsid w:val="00574C8E"/>
    <w:rsid w:val="00574EDB"/>
    <w:rsid w:val="005776A1"/>
    <w:rsid w:val="00577A41"/>
    <w:rsid w:val="005802BF"/>
    <w:rsid w:val="005806D6"/>
    <w:rsid w:val="00580F09"/>
    <w:rsid w:val="005810AD"/>
    <w:rsid w:val="005815EB"/>
    <w:rsid w:val="0058288B"/>
    <w:rsid w:val="00582DF0"/>
    <w:rsid w:val="00582F59"/>
    <w:rsid w:val="005837B2"/>
    <w:rsid w:val="00584026"/>
    <w:rsid w:val="005847E4"/>
    <w:rsid w:val="00584A5D"/>
    <w:rsid w:val="00585D0B"/>
    <w:rsid w:val="0058668C"/>
    <w:rsid w:val="005868A4"/>
    <w:rsid w:val="005868B3"/>
    <w:rsid w:val="005869A0"/>
    <w:rsid w:val="005874C4"/>
    <w:rsid w:val="005878BD"/>
    <w:rsid w:val="0059022D"/>
    <w:rsid w:val="00590290"/>
    <w:rsid w:val="00590B00"/>
    <w:rsid w:val="00590E12"/>
    <w:rsid w:val="00591130"/>
    <w:rsid w:val="00591C7B"/>
    <w:rsid w:val="0059263F"/>
    <w:rsid w:val="00593915"/>
    <w:rsid w:val="005939D0"/>
    <w:rsid w:val="00593A7A"/>
    <w:rsid w:val="00593AAF"/>
    <w:rsid w:val="00593E5B"/>
    <w:rsid w:val="00594BAE"/>
    <w:rsid w:val="00595410"/>
    <w:rsid w:val="00596046"/>
    <w:rsid w:val="00596AF8"/>
    <w:rsid w:val="005973C8"/>
    <w:rsid w:val="005A02CB"/>
    <w:rsid w:val="005A23C0"/>
    <w:rsid w:val="005A265A"/>
    <w:rsid w:val="005A2E4B"/>
    <w:rsid w:val="005A2FDF"/>
    <w:rsid w:val="005A35FB"/>
    <w:rsid w:val="005A46F1"/>
    <w:rsid w:val="005A615B"/>
    <w:rsid w:val="005A63F3"/>
    <w:rsid w:val="005A6D56"/>
    <w:rsid w:val="005A7877"/>
    <w:rsid w:val="005A793F"/>
    <w:rsid w:val="005B059D"/>
    <w:rsid w:val="005B0B7C"/>
    <w:rsid w:val="005B2420"/>
    <w:rsid w:val="005B3500"/>
    <w:rsid w:val="005B4118"/>
    <w:rsid w:val="005B4D39"/>
    <w:rsid w:val="005B51D2"/>
    <w:rsid w:val="005B61EC"/>
    <w:rsid w:val="005B6E81"/>
    <w:rsid w:val="005B7264"/>
    <w:rsid w:val="005C0244"/>
    <w:rsid w:val="005C0331"/>
    <w:rsid w:val="005C2901"/>
    <w:rsid w:val="005C4D7A"/>
    <w:rsid w:val="005C52C2"/>
    <w:rsid w:val="005C5FD5"/>
    <w:rsid w:val="005C672C"/>
    <w:rsid w:val="005C6BF5"/>
    <w:rsid w:val="005C6E98"/>
    <w:rsid w:val="005C7699"/>
    <w:rsid w:val="005D0C72"/>
    <w:rsid w:val="005D0F9C"/>
    <w:rsid w:val="005D2818"/>
    <w:rsid w:val="005D291A"/>
    <w:rsid w:val="005D2DA6"/>
    <w:rsid w:val="005D3CC8"/>
    <w:rsid w:val="005D3E07"/>
    <w:rsid w:val="005D4426"/>
    <w:rsid w:val="005D4F20"/>
    <w:rsid w:val="005D66A7"/>
    <w:rsid w:val="005D6949"/>
    <w:rsid w:val="005D69C1"/>
    <w:rsid w:val="005D6B9A"/>
    <w:rsid w:val="005E0B2C"/>
    <w:rsid w:val="005E0BF6"/>
    <w:rsid w:val="005E0E7E"/>
    <w:rsid w:val="005E1090"/>
    <w:rsid w:val="005E17F8"/>
    <w:rsid w:val="005E194B"/>
    <w:rsid w:val="005E194D"/>
    <w:rsid w:val="005E19B2"/>
    <w:rsid w:val="005E19E7"/>
    <w:rsid w:val="005E2330"/>
    <w:rsid w:val="005E3B0F"/>
    <w:rsid w:val="005E53CB"/>
    <w:rsid w:val="005E60F5"/>
    <w:rsid w:val="005E6BEE"/>
    <w:rsid w:val="005F07A9"/>
    <w:rsid w:val="005F23F8"/>
    <w:rsid w:val="005F4DEE"/>
    <w:rsid w:val="005F5D9D"/>
    <w:rsid w:val="005F645A"/>
    <w:rsid w:val="005F6F85"/>
    <w:rsid w:val="005F7256"/>
    <w:rsid w:val="005F73B9"/>
    <w:rsid w:val="005F7A5B"/>
    <w:rsid w:val="00600FF9"/>
    <w:rsid w:val="00601499"/>
    <w:rsid w:val="00601501"/>
    <w:rsid w:val="00601B3D"/>
    <w:rsid w:val="0060266C"/>
    <w:rsid w:val="00604DC5"/>
    <w:rsid w:val="006126AD"/>
    <w:rsid w:val="00613094"/>
    <w:rsid w:val="00614FDB"/>
    <w:rsid w:val="006152BF"/>
    <w:rsid w:val="00620B47"/>
    <w:rsid w:val="00620E83"/>
    <w:rsid w:val="00622045"/>
    <w:rsid w:val="00622E39"/>
    <w:rsid w:val="00623061"/>
    <w:rsid w:val="0062364C"/>
    <w:rsid w:val="00624909"/>
    <w:rsid w:val="00630026"/>
    <w:rsid w:val="0063199D"/>
    <w:rsid w:val="00631AED"/>
    <w:rsid w:val="00631CCB"/>
    <w:rsid w:val="00631E95"/>
    <w:rsid w:val="00631F9C"/>
    <w:rsid w:val="00632148"/>
    <w:rsid w:val="006323FD"/>
    <w:rsid w:val="006324A5"/>
    <w:rsid w:val="00633974"/>
    <w:rsid w:val="00633B9F"/>
    <w:rsid w:val="00634A0C"/>
    <w:rsid w:val="006354C5"/>
    <w:rsid w:val="00635ACC"/>
    <w:rsid w:val="006362B5"/>
    <w:rsid w:val="00637A67"/>
    <w:rsid w:val="006409A1"/>
    <w:rsid w:val="0064208C"/>
    <w:rsid w:val="0064362E"/>
    <w:rsid w:val="00643FCA"/>
    <w:rsid w:val="00644235"/>
    <w:rsid w:val="00644486"/>
    <w:rsid w:val="00646AB2"/>
    <w:rsid w:val="00647F5E"/>
    <w:rsid w:val="00650499"/>
    <w:rsid w:val="00650898"/>
    <w:rsid w:val="00650A5D"/>
    <w:rsid w:val="006520CA"/>
    <w:rsid w:val="00652631"/>
    <w:rsid w:val="0065313D"/>
    <w:rsid w:val="00653211"/>
    <w:rsid w:val="0065353F"/>
    <w:rsid w:val="00653EE5"/>
    <w:rsid w:val="006555B4"/>
    <w:rsid w:val="00655CD5"/>
    <w:rsid w:val="0065667F"/>
    <w:rsid w:val="006607A2"/>
    <w:rsid w:val="00662208"/>
    <w:rsid w:val="0066241B"/>
    <w:rsid w:val="00662FA0"/>
    <w:rsid w:val="006632FF"/>
    <w:rsid w:val="00663558"/>
    <w:rsid w:val="00664EBE"/>
    <w:rsid w:val="00666CEE"/>
    <w:rsid w:val="00671241"/>
    <w:rsid w:val="00671299"/>
    <w:rsid w:val="00671326"/>
    <w:rsid w:val="00671630"/>
    <w:rsid w:val="0067262A"/>
    <w:rsid w:val="00672B34"/>
    <w:rsid w:val="00673561"/>
    <w:rsid w:val="00673D59"/>
    <w:rsid w:val="00673EBF"/>
    <w:rsid w:val="00674392"/>
    <w:rsid w:val="006752DB"/>
    <w:rsid w:val="00675E4A"/>
    <w:rsid w:val="0067764A"/>
    <w:rsid w:val="00680248"/>
    <w:rsid w:val="00681789"/>
    <w:rsid w:val="00681A8F"/>
    <w:rsid w:val="006839CF"/>
    <w:rsid w:val="00683C1F"/>
    <w:rsid w:val="00684AB5"/>
    <w:rsid w:val="006854BB"/>
    <w:rsid w:val="006855FB"/>
    <w:rsid w:val="00685F80"/>
    <w:rsid w:val="00687427"/>
    <w:rsid w:val="00687B11"/>
    <w:rsid w:val="0069105B"/>
    <w:rsid w:val="00691636"/>
    <w:rsid w:val="00692C69"/>
    <w:rsid w:val="00693BB1"/>
    <w:rsid w:val="00693C6F"/>
    <w:rsid w:val="00694A7B"/>
    <w:rsid w:val="00694B79"/>
    <w:rsid w:val="00694DA9"/>
    <w:rsid w:val="006950B4"/>
    <w:rsid w:val="0069518D"/>
    <w:rsid w:val="00696694"/>
    <w:rsid w:val="00696B82"/>
    <w:rsid w:val="00697390"/>
    <w:rsid w:val="006977B6"/>
    <w:rsid w:val="00697A4E"/>
    <w:rsid w:val="006A1DCF"/>
    <w:rsid w:val="006A22B3"/>
    <w:rsid w:val="006A3B99"/>
    <w:rsid w:val="006A6FC4"/>
    <w:rsid w:val="006A78AE"/>
    <w:rsid w:val="006A7A77"/>
    <w:rsid w:val="006B02ED"/>
    <w:rsid w:val="006B0EB6"/>
    <w:rsid w:val="006B0EC1"/>
    <w:rsid w:val="006B20AB"/>
    <w:rsid w:val="006B22F4"/>
    <w:rsid w:val="006B2591"/>
    <w:rsid w:val="006B2B10"/>
    <w:rsid w:val="006B36B9"/>
    <w:rsid w:val="006B4DD8"/>
    <w:rsid w:val="006B521A"/>
    <w:rsid w:val="006B6D20"/>
    <w:rsid w:val="006B70BB"/>
    <w:rsid w:val="006B7667"/>
    <w:rsid w:val="006C2502"/>
    <w:rsid w:val="006C254B"/>
    <w:rsid w:val="006C3C2E"/>
    <w:rsid w:val="006C4CC8"/>
    <w:rsid w:val="006C5F06"/>
    <w:rsid w:val="006C5F3B"/>
    <w:rsid w:val="006C6BF6"/>
    <w:rsid w:val="006D0E4B"/>
    <w:rsid w:val="006D309F"/>
    <w:rsid w:val="006D30D7"/>
    <w:rsid w:val="006D3E43"/>
    <w:rsid w:val="006D3E4A"/>
    <w:rsid w:val="006D40D0"/>
    <w:rsid w:val="006D69A4"/>
    <w:rsid w:val="006D7892"/>
    <w:rsid w:val="006D7BBC"/>
    <w:rsid w:val="006D7D22"/>
    <w:rsid w:val="006D7F19"/>
    <w:rsid w:val="006E12A4"/>
    <w:rsid w:val="006E1FEA"/>
    <w:rsid w:val="006E313A"/>
    <w:rsid w:val="006E32CC"/>
    <w:rsid w:val="006E37D5"/>
    <w:rsid w:val="006E3891"/>
    <w:rsid w:val="006E6905"/>
    <w:rsid w:val="006E6B66"/>
    <w:rsid w:val="006E6D91"/>
    <w:rsid w:val="006E7A28"/>
    <w:rsid w:val="006F1468"/>
    <w:rsid w:val="006F24F7"/>
    <w:rsid w:val="006F2855"/>
    <w:rsid w:val="006F36D1"/>
    <w:rsid w:val="006F4399"/>
    <w:rsid w:val="006F4421"/>
    <w:rsid w:val="006F49D3"/>
    <w:rsid w:val="006F4B79"/>
    <w:rsid w:val="006F5C2D"/>
    <w:rsid w:val="006F62CD"/>
    <w:rsid w:val="006F6EC2"/>
    <w:rsid w:val="006F785A"/>
    <w:rsid w:val="007005D3"/>
    <w:rsid w:val="00701C90"/>
    <w:rsid w:val="00702E29"/>
    <w:rsid w:val="00704EEF"/>
    <w:rsid w:val="00705FF4"/>
    <w:rsid w:val="007063E5"/>
    <w:rsid w:val="00706942"/>
    <w:rsid w:val="00706A53"/>
    <w:rsid w:val="00706CBF"/>
    <w:rsid w:val="00707360"/>
    <w:rsid w:val="007076DF"/>
    <w:rsid w:val="0070787D"/>
    <w:rsid w:val="00711BBE"/>
    <w:rsid w:val="00712501"/>
    <w:rsid w:val="00712B7E"/>
    <w:rsid w:val="00713373"/>
    <w:rsid w:val="00713783"/>
    <w:rsid w:val="00713A7B"/>
    <w:rsid w:val="00713D24"/>
    <w:rsid w:val="00714047"/>
    <w:rsid w:val="0071573D"/>
    <w:rsid w:val="00715D8B"/>
    <w:rsid w:val="007166B1"/>
    <w:rsid w:val="00717679"/>
    <w:rsid w:val="0071795C"/>
    <w:rsid w:val="007208DD"/>
    <w:rsid w:val="00721832"/>
    <w:rsid w:val="00722366"/>
    <w:rsid w:val="0072278D"/>
    <w:rsid w:val="007229C8"/>
    <w:rsid w:val="00723005"/>
    <w:rsid w:val="0072315E"/>
    <w:rsid w:val="007237EE"/>
    <w:rsid w:val="00724C66"/>
    <w:rsid w:val="00724D62"/>
    <w:rsid w:val="00726B27"/>
    <w:rsid w:val="007272C8"/>
    <w:rsid w:val="00727829"/>
    <w:rsid w:val="00727EB5"/>
    <w:rsid w:val="007307CC"/>
    <w:rsid w:val="00730D69"/>
    <w:rsid w:val="00733BB3"/>
    <w:rsid w:val="0073402A"/>
    <w:rsid w:val="007343FE"/>
    <w:rsid w:val="00734C78"/>
    <w:rsid w:val="00735747"/>
    <w:rsid w:val="007363F8"/>
    <w:rsid w:val="007366B1"/>
    <w:rsid w:val="00737293"/>
    <w:rsid w:val="00737E24"/>
    <w:rsid w:val="007405CE"/>
    <w:rsid w:val="00741BEE"/>
    <w:rsid w:val="00741F03"/>
    <w:rsid w:val="00741F48"/>
    <w:rsid w:val="007425D3"/>
    <w:rsid w:val="00742D6A"/>
    <w:rsid w:val="00743E5E"/>
    <w:rsid w:val="00744518"/>
    <w:rsid w:val="00745E3A"/>
    <w:rsid w:val="007461CF"/>
    <w:rsid w:val="00751182"/>
    <w:rsid w:val="00751A7C"/>
    <w:rsid w:val="00751AF1"/>
    <w:rsid w:val="00751EB8"/>
    <w:rsid w:val="00751F8E"/>
    <w:rsid w:val="0075265D"/>
    <w:rsid w:val="007528BF"/>
    <w:rsid w:val="0075295B"/>
    <w:rsid w:val="00752CC1"/>
    <w:rsid w:val="0075372D"/>
    <w:rsid w:val="00753A5E"/>
    <w:rsid w:val="00753FC8"/>
    <w:rsid w:val="00754AC7"/>
    <w:rsid w:val="00755666"/>
    <w:rsid w:val="00756A79"/>
    <w:rsid w:val="00756E6A"/>
    <w:rsid w:val="00757543"/>
    <w:rsid w:val="00760C8F"/>
    <w:rsid w:val="0076264C"/>
    <w:rsid w:val="00762A8B"/>
    <w:rsid w:val="00762E83"/>
    <w:rsid w:val="007637EC"/>
    <w:rsid w:val="00765DDA"/>
    <w:rsid w:val="0076752D"/>
    <w:rsid w:val="00767DE5"/>
    <w:rsid w:val="0077258C"/>
    <w:rsid w:val="0077368A"/>
    <w:rsid w:val="00773CA5"/>
    <w:rsid w:val="00775124"/>
    <w:rsid w:val="0077515D"/>
    <w:rsid w:val="0077539A"/>
    <w:rsid w:val="00775AD4"/>
    <w:rsid w:val="00776774"/>
    <w:rsid w:val="00776D24"/>
    <w:rsid w:val="00780693"/>
    <w:rsid w:val="007809AB"/>
    <w:rsid w:val="00782CC8"/>
    <w:rsid w:val="00784726"/>
    <w:rsid w:val="0078584C"/>
    <w:rsid w:val="00786353"/>
    <w:rsid w:val="00786367"/>
    <w:rsid w:val="00787298"/>
    <w:rsid w:val="007872A4"/>
    <w:rsid w:val="0078739D"/>
    <w:rsid w:val="00790B67"/>
    <w:rsid w:val="007911CC"/>
    <w:rsid w:val="007915BB"/>
    <w:rsid w:val="007921E4"/>
    <w:rsid w:val="00793320"/>
    <w:rsid w:val="00793A62"/>
    <w:rsid w:val="0079449B"/>
    <w:rsid w:val="00794BB3"/>
    <w:rsid w:val="0079515C"/>
    <w:rsid w:val="007956BB"/>
    <w:rsid w:val="007967E7"/>
    <w:rsid w:val="00796BA6"/>
    <w:rsid w:val="00797053"/>
    <w:rsid w:val="007976FD"/>
    <w:rsid w:val="00797D46"/>
    <w:rsid w:val="007A0393"/>
    <w:rsid w:val="007A13CD"/>
    <w:rsid w:val="007A247E"/>
    <w:rsid w:val="007A273E"/>
    <w:rsid w:val="007A43F5"/>
    <w:rsid w:val="007A47B7"/>
    <w:rsid w:val="007A49DB"/>
    <w:rsid w:val="007A570B"/>
    <w:rsid w:val="007A5DEF"/>
    <w:rsid w:val="007A615C"/>
    <w:rsid w:val="007A68F5"/>
    <w:rsid w:val="007A6B28"/>
    <w:rsid w:val="007A6D35"/>
    <w:rsid w:val="007B0BE9"/>
    <w:rsid w:val="007B15C7"/>
    <w:rsid w:val="007B2BE1"/>
    <w:rsid w:val="007B2D30"/>
    <w:rsid w:val="007B353A"/>
    <w:rsid w:val="007B4091"/>
    <w:rsid w:val="007B4B4E"/>
    <w:rsid w:val="007B514E"/>
    <w:rsid w:val="007B734C"/>
    <w:rsid w:val="007B7598"/>
    <w:rsid w:val="007B79BD"/>
    <w:rsid w:val="007B7BF3"/>
    <w:rsid w:val="007C10F1"/>
    <w:rsid w:val="007C3048"/>
    <w:rsid w:val="007C50A1"/>
    <w:rsid w:val="007C700D"/>
    <w:rsid w:val="007C7A9B"/>
    <w:rsid w:val="007D0149"/>
    <w:rsid w:val="007D02C7"/>
    <w:rsid w:val="007D0E2B"/>
    <w:rsid w:val="007D1E09"/>
    <w:rsid w:val="007D2178"/>
    <w:rsid w:val="007D3FE9"/>
    <w:rsid w:val="007D4752"/>
    <w:rsid w:val="007D50EC"/>
    <w:rsid w:val="007D5BB3"/>
    <w:rsid w:val="007E101A"/>
    <w:rsid w:val="007E1678"/>
    <w:rsid w:val="007E4281"/>
    <w:rsid w:val="007E4367"/>
    <w:rsid w:val="007E5C8A"/>
    <w:rsid w:val="007E6D3D"/>
    <w:rsid w:val="007E78F5"/>
    <w:rsid w:val="007E7DEA"/>
    <w:rsid w:val="007F0053"/>
    <w:rsid w:val="007F0FCE"/>
    <w:rsid w:val="007F1A47"/>
    <w:rsid w:val="007F1CB3"/>
    <w:rsid w:val="007F2BBF"/>
    <w:rsid w:val="007F3E99"/>
    <w:rsid w:val="007F6009"/>
    <w:rsid w:val="007F738A"/>
    <w:rsid w:val="007F787D"/>
    <w:rsid w:val="008007EC"/>
    <w:rsid w:val="00802A88"/>
    <w:rsid w:val="00802E1B"/>
    <w:rsid w:val="00803862"/>
    <w:rsid w:val="00803EFB"/>
    <w:rsid w:val="00804B51"/>
    <w:rsid w:val="008054F2"/>
    <w:rsid w:val="008065B7"/>
    <w:rsid w:val="00810189"/>
    <w:rsid w:val="0081038A"/>
    <w:rsid w:val="008108DA"/>
    <w:rsid w:val="00811990"/>
    <w:rsid w:val="00812B1C"/>
    <w:rsid w:val="00812C7E"/>
    <w:rsid w:val="00814EA6"/>
    <w:rsid w:val="00814F04"/>
    <w:rsid w:val="0081559D"/>
    <w:rsid w:val="00815E97"/>
    <w:rsid w:val="00817789"/>
    <w:rsid w:val="00817BEC"/>
    <w:rsid w:val="008219DF"/>
    <w:rsid w:val="00821E59"/>
    <w:rsid w:val="00822AAE"/>
    <w:rsid w:val="00822E8C"/>
    <w:rsid w:val="00822F01"/>
    <w:rsid w:val="008254BA"/>
    <w:rsid w:val="00826423"/>
    <w:rsid w:val="00826A7A"/>
    <w:rsid w:val="00826C16"/>
    <w:rsid w:val="008307D0"/>
    <w:rsid w:val="00830E4F"/>
    <w:rsid w:val="008325F9"/>
    <w:rsid w:val="00832B92"/>
    <w:rsid w:val="00832DE4"/>
    <w:rsid w:val="0083344F"/>
    <w:rsid w:val="008347D7"/>
    <w:rsid w:val="00836B5B"/>
    <w:rsid w:val="008374D1"/>
    <w:rsid w:val="00837624"/>
    <w:rsid w:val="00837BA0"/>
    <w:rsid w:val="00840A83"/>
    <w:rsid w:val="00841056"/>
    <w:rsid w:val="008418CA"/>
    <w:rsid w:val="0084399D"/>
    <w:rsid w:val="00843F28"/>
    <w:rsid w:val="00844D8B"/>
    <w:rsid w:val="008450A2"/>
    <w:rsid w:val="008460BE"/>
    <w:rsid w:val="0084644C"/>
    <w:rsid w:val="00846472"/>
    <w:rsid w:val="0084658A"/>
    <w:rsid w:val="00846D5F"/>
    <w:rsid w:val="00847053"/>
    <w:rsid w:val="008505DB"/>
    <w:rsid w:val="00850B45"/>
    <w:rsid w:val="00851076"/>
    <w:rsid w:val="00851698"/>
    <w:rsid w:val="00851B2B"/>
    <w:rsid w:val="00851B89"/>
    <w:rsid w:val="00852877"/>
    <w:rsid w:val="00853044"/>
    <w:rsid w:val="00854C2F"/>
    <w:rsid w:val="00854CC4"/>
    <w:rsid w:val="00854F4A"/>
    <w:rsid w:val="00856D2E"/>
    <w:rsid w:val="008601B6"/>
    <w:rsid w:val="00860B3A"/>
    <w:rsid w:val="00863509"/>
    <w:rsid w:val="00864818"/>
    <w:rsid w:val="008656F0"/>
    <w:rsid w:val="00866344"/>
    <w:rsid w:val="008668D0"/>
    <w:rsid w:val="008675C3"/>
    <w:rsid w:val="00867A36"/>
    <w:rsid w:val="00867F9B"/>
    <w:rsid w:val="00870BD5"/>
    <w:rsid w:val="0087137C"/>
    <w:rsid w:val="008727F1"/>
    <w:rsid w:val="00872B8E"/>
    <w:rsid w:val="00872E83"/>
    <w:rsid w:val="00873F30"/>
    <w:rsid w:val="00874DED"/>
    <w:rsid w:val="00874ECE"/>
    <w:rsid w:val="008758B9"/>
    <w:rsid w:val="008767CB"/>
    <w:rsid w:val="00876926"/>
    <w:rsid w:val="0087711B"/>
    <w:rsid w:val="008776E9"/>
    <w:rsid w:val="00877FEF"/>
    <w:rsid w:val="00880B5B"/>
    <w:rsid w:val="00881167"/>
    <w:rsid w:val="00881233"/>
    <w:rsid w:val="00882269"/>
    <w:rsid w:val="00882A1D"/>
    <w:rsid w:val="00882FFA"/>
    <w:rsid w:val="00883217"/>
    <w:rsid w:val="00883901"/>
    <w:rsid w:val="008847C0"/>
    <w:rsid w:val="00884E98"/>
    <w:rsid w:val="0088537E"/>
    <w:rsid w:val="00885649"/>
    <w:rsid w:val="00885E8D"/>
    <w:rsid w:val="008860DD"/>
    <w:rsid w:val="00886384"/>
    <w:rsid w:val="008864C5"/>
    <w:rsid w:val="0088717A"/>
    <w:rsid w:val="00887407"/>
    <w:rsid w:val="008929F7"/>
    <w:rsid w:val="00893DA0"/>
    <w:rsid w:val="00893E47"/>
    <w:rsid w:val="00893F06"/>
    <w:rsid w:val="00894320"/>
    <w:rsid w:val="00894F5A"/>
    <w:rsid w:val="00895486"/>
    <w:rsid w:val="00895943"/>
    <w:rsid w:val="00895AD7"/>
    <w:rsid w:val="00896C81"/>
    <w:rsid w:val="00897D91"/>
    <w:rsid w:val="008A0AE8"/>
    <w:rsid w:val="008A11F3"/>
    <w:rsid w:val="008A19C4"/>
    <w:rsid w:val="008A1DB4"/>
    <w:rsid w:val="008A236E"/>
    <w:rsid w:val="008A288A"/>
    <w:rsid w:val="008A2AE3"/>
    <w:rsid w:val="008A31A6"/>
    <w:rsid w:val="008A3625"/>
    <w:rsid w:val="008A363C"/>
    <w:rsid w:val="008A3BE1"/>
    <w:rsid w:val="008A58ED"/>
    <w:rsid w:val="008A5EB4"/>
    <w:rsid w:val="008A5F06"/>
    <w:rsid w:val="008A7DE5"/>
    <w:rsid w:val="008B0F6E"/>
    <w:rsid w:val="008B1678"/>
    <w:rsid w:val="008B1792"/>
    <w:rsid w:val="008B1D72"/>
    <w:rsid w:val="008B23A1"/>
    <w:rsid w:val="008B348F"/>
    <w:rsid w:val="008B358E"/>
    <w:rsid w:val="008B42D3"/>
    <w:rsid w:val="008B46B1"/>
    <w:rsid w:val="008B4848"/>
    <w:rsid w:val="008B7E73"/>
    <w:rsid w:val="008C0105"/>
    <w:rsid w:val="008C0188"/>
    <w:rsid w:val="008C06ED"/>
    <w:rsid w:val="008C213C"/>
    <w:rsid w:val="008C2650"/>
    <w:rsid w:val="008C2CD9"/>
    <w:rsid w:val="008C3A55"/>
    <w:rsid w:val="008C3C36"/>
    <w:rsid w:val="008C4EFC"/>
    <w:rsid w:val="008C4F22"/>
    <w:rsid w:val="008C63F1"/>
    <w:rsid w:val="008C6A51"/>
    <w:rsid w:val="008C75DB"/>
    <w:rsid w:val="008C7788"/>
    <w:rsid w:val="008C7A43"/>
    <w:rsid w:val="008C7BC9"/>
    <w:rsid w:val="008D158A"/>
    <w:rsid w:val="008D1F02"/>
    <w:rsid w:val="008D3001"/>
    <w:rsid w:val="008D4D8F"/>
    <w:rsid w:val="008D5CCF"/>
    <w:rsid w:val="008D6339"/>
    <w:rsid w:val="008D69A6"/>
    <w:rsid w:val="008D6A4B"/>
    <w:rsid w:val="008D7D4E"/>
    <w:rsid w:val="008D7D97"/>
    <w:rsid w:val="008E06B8"/>
    <w:rsid w:val="008E208C"/>
    <w:rsid w:val="008E28F6"/>
    <w:rsid w:val="008E2F3A"/>
    <w:rsid w:val="008E3A10"/>
    <w:rsid w:val="008E5AB6"/>
    <w:rsid w:val="008E5FF6"/>
    <w:rsid w:val="008E6682"/>
    <w:rsid w:val="008E7FCD"/>
    <w:rsid w:val="008F044A"/>
    <w:rsid w:val="008F04BC"/>
    <w:rsid w:val="008F1650"/>
    <w:rsid w:val="008F18C7"/>
    <w:rsid w:val="008F1FC8"/>
    <w:rsid w:val="008F27F4"/>
    <w:rsid w:val="008F29B1"/>
    <w:rsid w:val="008F3797"/>
    <w:rsid w:val="008F4216"/>
    <w:rsid w:val="008F560C"/>
    <w:rsid w:val="008F6199"/>
    <w:rsid w:val="008F70C0"/>
    <w:rsid w:val="008F76F8"/>
    <w:rsid w:val="00900801"/>
    <w:rsid w:val="009010EE"/>
    <w:rsid w:val="00901330"/>
    <w:rsid w:val="00901431"/>
    <w:rsid w:val="0090160A"/>
    <w:rsid w:val="009020F9"/>
    <w:rsid w:val="00904EA6"/>
    <w:rsid w:val="00906A35"/>
    <w:rsid w:val="00907C8A"/>
    <w:rsid w:val="00910467"/>
    <w:rsid w:val="009106C7"/>
    <w:rsid w:val="00910FD9"/>
    <w:rsid w:val="00912AD9"/>
    <w:rsid w:val="0091414A"/>
    <w:rsid w:val="00914341"/>
    <w:rsid w:val="00914526"/>
    <w:rsid w:val="00915186"/>
    <w:rsid w:val="00916C75"/>
    <w:rsid w:val="00917142"/>
    <w:rsid w:val="00917D1F"/>
    <w:rsid w:val="00920F60"/>
    <w:rsid w:val="00921F3A"/>
    <w:rsid w:val="00922262"/>
    <w:rsid w:val="00922BEE"/>
    <w:rsid w:val="00924C90"/>
    <w:rsid w:val="009263D3"/>
    <w:rsid w:val="00927635"/>
    <w:rsid w:val="00927D6F"/>
    <w:rsid w:val="00931F54"/>
    <w:rsid w:val="00934280"/>
    <w:rsid w:val="009345ED"/>
    <w:rsid w:val="00934E49"/>
    <w:rsid w:val="00936048"/>
    <w:rsid w:val="00936F29"/>
    <w:rsid w:val="00943B0D"/>
    <w:rsid w:val="00944D24"/>
    <w:rsid w:val="00945A1A"/>
    <w:rsid w:val="00945E57"/>
    <w:rsid w:val="00946C20"/>
    <w:rsid w:val="00947926"/>
    <w:rsid w:val="00947DC5"/>
    <w:rsid w:val="00950832"/>
    <w:rsid w:val="00952543"/>
    <w:rsid w:val="00953349"/>
    <w:rsid w:val="00953371"/>
    <w:rsid w:val="0095594C"/>
    <w:rsid w:val="00956E97"/>
    <w:rsid w:val="0095739F"/>
    <w:rsid w:val="00960061"/>
    <w:rsid w:val="009600A6"/>
    <w:rsid w:val="009603E9"/>
    <w:rsid w:val="00961AF5"/>
    <w:rsid w:val="00961C46"/>
    <w:rsid w:val="00962DCE"/>
    <w:rsid w:val="009644F5"/>
    <w:rsid w:val="009655A4"/>
    <w:rsid w:val="00967766"/>
    <w:rsid w:val="00967E26"/>
    <w:rsid w:val="00970348"/>
    <w:rsid w:val="009706D7"/>
    <w:rsid w:val="009707AA"/>
    <w:rsid w:val="009715DA"/>
    <w:rsid w:val="0097355F"/>
    <w:rsid w:val="00976143"/>
    <w:rsid w:val="00976DCA"/>
    <w:rsid w:val="00980931"/>
    <w:rsid w:val="0098153B"/>
    <w:rsid w:val="00982C8D"/>
    <w:rsid w:val="00983E42"/>
    <w:rsid w:val="00984445"/>
    <w:rsid w:val="009858B3"/>
    <w:rsid w:val="00985B3F"/>
    <w:rsid w:val="0098628D"/>
    <w:rsid w:val="009876AD"/>
    <w:rsid w:val="00990036"/>
    <w:rsid w:val="0099093E"/>
    <w:rsid w:val="009918B0"/>
    <w:rsid w:val="00991E34"/>
    <w:rsid w:val="00992035"/>
    <w:rsid w:val="0099268D"/>
    <w:rsid w:val="009927BF"/>
    <w:rsid w:val="00993796"/>
    <w:rsid w:val="00994B74"/>
    <w:rsid w:val="00995F31"/>
    <w:rsid w:val="009960DA"/>
    <w:rsid w:val="0099630C"/>
    <w:rsid w:val="0099690C"/>
    <w:rsid w:val="00996ACD"/>
    <w:rsid w:val="009A0538"/>
    <w:rsid w:val="009A0DA1"/>
    <w:rsid w:val="009A173D"/>
    <w:rsid w:val="009A21EE"/>
    <w:rsid w:val="009A22A8"/>
    <w:rsid w:val="009A3DC6"/>
    <w:rsid w:val="009A43A8"/>
    <w:rsid w:val="009A50CD"/>
    <w:rsid w:val="009A60C1"/>
    <w:rsid w:val="009A628B"/>
    <w:rsid w:val="009A634D"/>
    <w:rsid w:val="009A6ACE"/>
    <w:rsid w:val="009A6D88"/>
    <w:rsid w:val="009A75B5"/>
    <w:rsid w:val="009A7642"/>
    <w:rsid w:val="009B1A2B"/>
    <w:rsid w:val="009B2B72"/>
    <w:rsid w:val="009B3ACB"/>
    <w:rsid w:val="009B4E85"/>
    <w:rsid w:val="009B5300"/>
    <w:rsid w:val="009B7C37"/>
    <w:rsid w:val="009C0415"/>
    <w:rsid w:val="009C05FB"/>
    <w:rsid w:val="009C06E2"/>
    <w:rsid w:val="009C114E"/>
    <w:rsid w:val="009C2DF9"/>
    <w:rsid w:val="009C334E"/>
    <w:rsid w:val="009C37D1"/>
    <w:rsid w:val="009C3E39"/>
    <w:rsid w:val="009C446C"/>
    <w:rsid w:val="009C4A3E"/>
    <w:rsid w:val="009C4DCA"/>
    <w:rsid w:val="009C5AF5"/>
    <w:rsid w:val="009C632B"/>
    <w:rsid w:val="009C729C"/>
    <w:rsid w:val="009D0243"/>
    <w:rsid w:val="009D0C9E"/>
    <w:rsid w:val="009D230F"/>
    <w:rsid w:val="009D3829"/>
    <w:rsid w:val="009D3C31"/>
    <w:rsid w:val="009D46BC"/>
    <w:rsid w:val="009D5115"/>
    <w:rsid w:val="009D51C5"/>
    <w:rsid w:val="009D56A9"/>
    <w:rsid w:val="009D69D7"/>
    <w:rsid w:val="009D6CD3"/>
    <w:rsid w:val="009D6E54"/>
    <w:rsid w:val="009D7AB0"/>
    <w:rsid w:val="009D7D2D"/>
    <w:rsid w:val="009E0950"/>
    <w:rsid w:val="009E10A3"/>
    <w:rsid w:val="009E5939"/>
    <w:rsid w:val="009E60D0"/>
    <w:rsid w:val="009E7281"/>
    <w:rsid w:val="009F24F8"/>
    <w:rsid w:val="009F2CCE"/>
    <w:rsid w:val="009F2E99"/>
    <w:rsid w:val="009F35C5"/>
    <w:rsid w:val="009F47A2"/>
    <w:rsid w:val="009F50D1"/>
    <w:rsid w:val="009F54A1"/>
    <w:rsid w:val="009F58B4"/>
    <w:rsid w:val="009F7AEA"/>
    <w:rsid w:val="00A00DCD"/>
    <w:rsid w:val="00A025DE"/>
    <w:rsid w:val="00A029FF"/>
    <w:rsid w:val="00A039F8"/>
    <w:rsid w:val="00A04C41"/>
    <w:rsid w:val="00A05F61"/>
    <w:rsid w:val="00A10022"/>
    <w:rsid w:val="00A1051C"/>
    <w:rsid w:val="00A118B3"/>
    <w:rsid w:val="00A11D6A"/>
    <w:rsid w:val="00A11E34"/>
    <w:rsid w:val="00A12300"/>
    <w:rsid w:val="00A13058"/>
    <w:rsid w:val="00A15C1E"/>
    <w:rsid w:val="00A1730F"/>
    <w:rsid w:val="00A178E5"/>
    <w:rsid w:val="00A17F5A"/>
    <w:rsid w:val="00A20BDC"/>
    <w:rsid w:val="00A21BAD"/>
    <w:rsid w:val="00A21C7D"/>
    <w:rsid w:val="00A2273E"/>
    <w:rsid w:val="00A23426"/>
    <w:rsid w:val="00A23831"/>
    <w:rsid w:val="00A23B39"/>
    <w:rsid w:val="00A248CC"/>
    <w:rsid w:val="00A25D09"/>
    <w:rsid w:val="00A27092"/>
    <w:rsid w:val="00A31115"/>
    <w:rsid w:val="00A3167C"/>
    <w:rsid w:val="00A32A5F"/>
    <w:rsid w:val="00A3310A"/>
    <w:rsid w:val="00A33C18"/>
    <w:rsid w:val="00A33F97"/>
    <w:rsid w:val="00A3469D"/>
    <w:rsid w:val="00A34A85"/>
    <w:rsid w:val="00A34E0D"/>
    <w:rsid w:val="00A34F65"/>
    <w:rsid w:val="00A35350"/>
    <w:rsid w:val="00A40D5B"/>
    <w:rsid w:val="00A41435"/>
    <w:rsid w:val="00A42212"/>
    <w:rsid w:val="00A42B20"/>
    <w:rsid w:val="00A42E30"/>
    <w:rsid w:val="00A436A9"/>
    <w:rsid w:val="00A4727E"/>
    <w:rsid w:val="00A47845"/>
    <w:rsid w:val="00A50073"/>
    <w:rsid w:val="00A50F8E"/>
    <w:rsid w:val="00A51431"/>
    <w:rsid w:val="00A549D6"/>
    <w:rsid w:val="00A558FE"/>
    <w:rsid w:val="00A55AE9"/>
    <w:rsid w:val="00A56783"/>
    <w:rsid w:val="00A5683B"/>
    <w:rsid w:val="00A617B3"/>
    <w:rsid w:val="00A619CF"/>
    <w:rsid w:val="00A61BD0"/>
    <w:rsid w:val="00A62A68"/>
    <w:rsid w:val="00A64A02"/>
    <w:rsid w:val="00A6519F"/>
    <w:rsid w:val="00A66340"/>
    <w:rsid w:val="00A66D5A"/>
    <w:rsid w:val="00A67EE9"/>
    <w:rsid w:val="00A70692"/>
    <w:rsid w:val="00A708A4"/>
    <w:rsid w:val="00A70EC8"/>
    <w:rsid w:val="00A7171B"/>
    <w:rsid w:val="00A71816"/>
    <w:rsid w:val="00A725F1"/>
    <w:rsid w:val="00A73CC5"/>
    <w:rsid w:val="00A73DC5"/>
    <w:rsid w:val="00A73F1D"/>
    <w:rsid w:val="00A74170"/>
    <w:rsid w:val="00A75B0F"/>
    <w:rsid w:val="00A75B95"/>
    <w:rsid w:val="00A76FF9"/>
    <w:rsid w:val="00A773B8"/>
    <w:rsid w:val="00A77E76"/>
    <w:rsid w:val="00A805E3"/>
    <w:rsid w:val="00A80898"/>
    <w:rsid w:val="00A80902"/>
    <w:rsid w:val="00A8147F"/>
    <w:rsid w:val="00A8156F"/>
    <w:rsid w:val="00A81A17"/>
    <w:rsid w:val="00A81B0F"/>
    <w:rsid w:val="00A81B88"/>
    <w:rsid w:val="00A82431"/>
    <w:rsid w:val="00A83101"/>
    <w:rsid w:val="00A836C4"/>
    <w:rsid w:val="00A83878"/>
    <w:rsid w:val="00A839BF"/>
    <w:rsid w:val="00A83B53"/>
    <w:rsid w:val="00A83D62"/>
    <w:rsid w:val="00A87516"/>
    <w:rsid w:val="00A90D09"/>
    <w:rsid w:val="00A91BC7"/>
    <w:rsid w:val="00A91C5F"/>
    <w:rsid w:val="00A92666"/>
    <w:rsid w:val="00A965A9"/>
    <w:rsid w:val="00A969EB"/>
    <w:rsid w:val="00A977AB"/>
    <w:rsid w:val="00A97BF2"/>
    <w:rsid w:val="00AA0141"/>
    <w:rsid w:val="00AA07BA"/>
    <w:rsid w:val="00AA0B54"/>
    <w:rsid w:val="00AA2C68"/>
    <w:rsid w:val="00AA30CD"/>
    <w:rsid w:val="00AA48D8"/>
    <w:rsid w:val="00AA4948"/>
    <w:rsid w:val="00AA4E39"/>
    <w:rsid w:val="00AA5893"/>
    <w:rsid w:val="00AA68DF"/>
    <w:rsid w:val="00AA6A67"/>
    <w:rsid w:val="00AA6AE2"/>
    <w:rsid w:val="00AA772F"/>
    <w:rsid w:val="00AB16F0"/>
    <w:rsid w:val="00AB1787"/>
    <w:rsid w:val="00AB216D"/>
    <w:rsid w:val="00AB26F8"/>
    <w:rsid w:val="00AB4810"/>
    <w:rsid w:val="00AB4E6D"/>
    <w:rsid w:val="00AB73EE"/>
    <w:rsid w:val="00AB7F0C"/>
    <w:rsid w:val="00AC08BB"/>
    <w:rsid w:val="00AC096B"/>
    <w:rsid w:val="00AC2AB7"/>
    <w:rsid w:val="00AC533D"/>
    <w:rsid w:val="00AC5435"/>
    <w:rsid w:val="00AC5AD4"/>
    <w:rsid w:val="00AC62D7"/>
    <w:rsid w:val="00AC6333"/>
    <w:rsid w:val="00AC6432"/>
    <w:rsid w:val="00AC7B76"/>
    <w:rsid w:val="00AD0313"/>
    <w:rsid w:val="00AD2BC8"/>
    <w:rsid w:val="00AD3B83"/>
    <w:rsid w:val="00AD3E05"/>
    <w:rsid w:val="00AD5093"/>
    <w:rsid w:val="00AD6673"/>
    <w:rsid w:val="00AD6CA1"/>
    <w:rsid w:val="00AD71D7"/>
    <w:rsid w:val="00AE0523"/>
    <w:rsid w:val="00AE0C1F"/>
    <w:rsid w:val="00AE13C4"/>
    <w:rsid w:val="00AE46C7"/>
    <w:rsid w:val="00AE48BE"/>
    <w:rsid w:val="00AE51CB"/>
    <w:rsid w:val="00AE7124"/>
    <w:rsid w:val="00AF0B46"/>
    <w:rsid w:val="00AF17C2"/>
    <w:rsid w:val="00AF232E"/>
    <w:rsid w:val="00AF539B"/>
    <w:rsid w:val="00AF7F22"/>
    <w:rsid w:val="00B00581"/>
    <w:rsid w:val="00B00C59"/>
    <w:rsid w:val="00B025BA"/>
    <w:rsid w:val="00B035B6"/>
    <w:rsid w:val="00B03BAE"/>
    <w:rsid w:val="00B03D1A"/>
    <w:rsid w:val="00B045ED"/>
    <w:rsid w:val="00B04A1B"/>
    <w:rsid w:val="00B04BB8"/>
    <w:rsid w:val="00B057A8"/>
    <w:rsid w:val="00B05A96"/>
    <w:rsid w:val="00B05D77"/>
    <w:rsid w:val="00B075F0"/>
    <w:rsid w:val="00B07694"/>
    <w:rsid w:val="00B07873"/>
    <w:rsid w:val="00B10845"/>
    <w:rsid w:val="00B10E95"/>
    <w:rsid w:val="00B11C6A"/>
    <w:rsid w:val="00B123DA"/>
    <w:rsid w:val="00B136C6"/>
    <w:rsid w:val="00B13B22"/>
    <w:rsid w:val="00B14CE2"/>
    <w:rsid w:val="00B15213"/>
    <w:rsid w:val="00B16E52"/>
    <w:rsid w:val="00B17A78"/>
    <w:rsid w:val="00B20907"/>
    <w:rsid w:val="00B20C5F"/>
    <w:rsid w:val="00B21327"/>
    <w:rsid w:val="00B23E50"/>
    <w:rsid w:val="00B26209"/>
    <w:rsid w:val="00B26A22"/>
    <w:rsid w:val="00B26D53"/>
    <w:rsid w:val="00B278DC"/>
    <w:rsid w:val="00B306F3"/>
    <w:rsid w:val="00B3107E"/>
    <w:rsid w:val="00B33A93"/>
    <w:rsid w:val="00B33AAE"/>
    <w:rsid w:val="00B34989"/>
    <w:rsid w:val="00B35C52"/>
    <w:rsid w:val="00B36C2A"/>
    <w:rsid w:val="00B3765A"/>
    <w:rsid w:val="00B4004B"/>
    <w:rsid w:val="00B40254"/>
    <w:rsid w:val="00B415D8"/>
    <w:rsid w:val="00B42461"/>
    <w:rsid w:val="00B4261E"/>
    <w:rsid w:val="00B43751"/>
    <w:rsid w:val="00B4387D"/>
    <w:rsid w:val="00B43973"/>
    <w:rsid w:val="00B43F84"/>
    <w:rsid w:val="00B451B7"/>
    <w:rsid w:val="00B4799E"/>
    <w:rsid w:val="00B50190"/>
    <w:rsid w:val="00B53148"/>
    <w:rsid w:val="00B5666F"/>
    <w:rsid w:val="00B56B9A"/>
    <w:rsid w:val="00B56D81"/>
    <w:rsid w:val="00B56E36"/>
    <w:rsid w:val="00B56E90"/>
    <w:rsid w:val="00B57308"/>
    <w:rsid w:val="00B5738A"/>
    <w:rsid w:val="00B57E74"/>
    <w:rsid w:val="00B60062"/>
    <w:rsid w:val="00B61EF4"/>
    <w:rsid w:val="00B628BD"/>
    <w:rsid w:val="00B630E9"/>
    <w:rsid w:val="00B63136"/>
    <w:rsid w:val="00B63BE9"/>
    <w:rsid w:val="00B67AC5"/>
    <w:rsid w:val="00B702C1"/>
    <w:rsid w:val="00B723E6"/>
    <w:rsid w:val="00B72B81"/>
    <w:rsid w:val="00B72F3A"/>
    <w:rsid w:val="00B73B62"/>
    <w:rsid w:val="00B74F0E"/>
    <w:rsid w:val="00B75217"/>
    <w:rsid w:val="00B76567"/>
    <w:rsid w:val="00B76B9E"/>
    <w:rsid w:val="00B76D57"/>
    <w:rsid w:val="00B77898"/>
    <w:rsid w:val="00B77C9A"/>
    <w:rsid w:val="00B77EEA"/>
    <w:rsid w:val="00B77FCD"/>
    <w:rsid w:val="00B8021F"/>
    <w:rsid w:val="00B8089D"/>
    <w:rsid w:val="00B80DBF"/>
    <w:rsid w:val="00B81904"/>
    <w:rsid w:val="00B831F5"/>
    <w:rsid w:val="00B83FD4"/>
    <w:rsid w:val="00B844AA"/>
    <w:rsid w:val="00B85774"/>
    <w:rsid w:val="00B85B5E"/>
    <w:rsid w:val="00B86072"/>
    <w:rsid w:val="00B86633"/>
    <w:rsid w:val="00B869D4"/>
    <w:rsid w:val="00B86A64"/>
    <w:rsid w:val="00B86DF1"/>
    <w:rsid w:val="00B87470"/>
    <w:rsid w:val="00B87A3F"/>
    <w:rsid w:val="00B9034F"/>
    <w:rsid w:val="00B9061E"/>
    <w:rsid w:val="00B919BC"/>
    <w:rsid w:val="00B91B72"/>
    <w:rsid w:val="00B91E1A"/>
    <w:rsid w:val="00B9205B"/>
    <w:rsid w:val="00B925A4"/>
    <w:rsid w:val="00B92C3E"/>
    <w:rsid w:val="00B93E41"/>
    <w:rsid w:val="00B95B22"/>
    <w:rsid w:val="00B96586"/>
    <w:rsid w:val="00B972A5"/>
    <w:rsid w:val="00BA1182"/>
    <w:rsid w:val="00BA1B57"/>
    <w:rsid w:val="00BA1E88"/>
    <w:rsid w:val="00BA22F1"/>
    <w:rsid w:val="00BA4D3B"/>
    <w:rsid w:val="00BA4ECA"/>
    <w:rsid w:val="00BA574C"/>
    <w:rsid w:val="00BA5CD2"/>
    <w:rsid w:val="00BA6829"/>
    <w:rsid w:val="00BA6839"/>
    <w:rsid w:val="00BA7053"/>
    <w:rsid w:val="00BA7B53"/>
    <w:rsid w:val="00BA7E90"/>
    <w:rsid w:val="00BB0046"/>
    <w:rsid w:val="00BB0790"/>
    <w:rsid w:val="00BB0BDD"/>
    <w:rsid w:val="00BB146E"/>
    <w:rsid w:val="00BB1D87"/>
    <w:rsid w:val="00BB336A"/>
    <w:rsid w:val="00BB3701"/>
    <w:rsid w:val="00BB3BC3"/>
    <w:rsid w:val="00BB44A4"/>
    <w:rsid w:val="00BB44BD"/>
    <w:rsid w:val="00BB5D86"/>
    <w:rsid w:val="00BB6490"/>
    <w:rsid w:val="00BB7585"/>
    <w:rsid w:val="00BB7DA1"/>
    <w:rsid w:val="00BC0345"/>
    <w:rsid w:val="00BC0699"/>
    <w:rsid w:val="00BC0DBD"/>
    <w:rsid w:val="00BC120C"/>
    <w:rsid w:val="00BC23BE"/>
    <w:rsid w:val="00BC484F"/>
    <w:rsid w:val="00BC56CE"/>
    <w:rsid w:val="00BC59AD"/>
    <w:rsid w:val="00BC5C7E"/>
    <w:rsid w:val="00BC7BEA"/>
    <w:rsid w:val="00BC7DAD"/>
    <w:rsid w:val="00BD0502"/>
    <w:rsid w:val="00BD2115"/>
    <w:rsid w:val="00BD2182"/>
    <w:rsid w:val="00BD2186"/>
    <w:rsid w:val="00BD23C8"/>
    <w:rsid w:val="00BD2D89"/>
    <w:rsid w:val="00BD3061"/>
    <w:rsid w:val="00BD3EF6"/>
    <w:rsid w:val="00BD5257"/>
    <w:rsid w:val="00BD5CC8"/>
    <w:rsid w:val="00BD634A"/>
    <w:rsid w:val="00BD7332"/>
    <w:rsid w:val="00BD7786"/>
    <w:rsid w:val="00BE0171"/>
    <w:rsid w:val="00BE0B07"/>
    <w:rsid w:val="00BE2225"/>
    <w:rsid w:val="00BE2D64"/>
    <w:rsid w:val="00BE354A"/>
    <w:rsid w:val="00BE3DEA"/>
    <w:rsid w:val="00BE4B50"/>
    <w:rsid w:val="00BE4E1A"/>
    <w:rsid w:val="00BE5842"/>
    <w:rsid w:val="00BE631F"/>
    <w:rsid w:val="00BE7F4B"/>
    <w:rsid w:val="00BF011B"/>
    <w:rsid w:val="00BF02BF"/>
    <w:rsid w:val="00BF0DA2"/>
    <w:rsid w:val="00BF22E6"/>
    <w:rsid w:val="00BF3BC2"/>
    <w:rsid w:val="00BF3C11"/>
    <w:rsid w:val="00BF4148"/>
    <w:rsid w:val="00BF4B09"/>
    <w:rsid w:val="00BF52F8"/>
    <w:rsid w:val="00BF5BAE"/>
    <w:rsid w:val="00BF5F05"/>
    <w:rsid w:val="00BF7722"/>
    <w:rsid w:val="00C000BB"/>
    <w:rsid w:val="00C009F9"/>
    <w:rsid w:val="00C00A07"/>
    <w:rsid w:val="00C00A61"/>
    <w:rsid w:val="00C01173"/>
    <w:rsid w:val="00C0168C"/>
    <w:rsid w:val="00C01BD1"/>
    <w:rsid w:val="00C01CDC"/>
    <w:rsid w:val="00C01E77"/>
    <w:rsid w:val="00C032AC"/>
    <w:rsid w:val="00C03E1A"/>
    <w:rsid w:val="00C04028"/>
    <w:rsid w:val="00C04089"/>
    <w:rsid w:val="00C04DD2"/>
    <w:rsid w:val="00C059D4"/>
    <w:rsid w:val="00C062EC"/>
    <w:rsid w:val="00C07F9C"/>
    <w:rsid w:val="00C10077"/>
    <w:rsid w:val="00C110DC"/>
    <w:rsid w:val="00C1118D"/>
    <w:rsid w:val="00C140D5"/>
    <w:rsid w:val="00C15BF0"/>
    <w:rsid w:val="00C168D8"/>
    <w:rsid w:val="00C16CE3"/>
    <w:rsid w:val="00C202FD"/>
    <w:rsid w:val="00C20691"/>
    <w:rsid w:val="00C221A7"/>
    <w:rsid w:val="00C22433"/>
    <w:rsid w:val="00C22580"/>
    <w:rsid w:val="00C2414C"/>
    <w:rsid w:val="00C242F0"/>
    <w:rsid w:val="00C2527F"/>
    <w:rsid w:val="00C255DC"/>
    <w:rsid w:val="00C259BD"/>
    <w:rsid w:val="00C25A5F"/>
    <w:rsid w:val="00C268C3"/>
    <w:rsid w:val="00C32389"/>
    <w:rsid w:val="00C3253A"/>
    <w:rsid w:val="00C34AB7"/>
    <w:rsid w:val="00C3504B"/>
    <w:rsid w:val="00C350F6"/>
    <w:rsid w:val="00C35238"/>
    <w:rsid w:val="00C355CF"/>
    <w:rsid w:val="00C35853"/>
    <w:rsid w:val="00C35890"/>
    <w:rsid w:val="00C37341"/>
    <w:rsid w:val="00C3794A"/>
    <w:rsid w:val="00C37A63"/>
    <w:rsid w:val="00C41E52"/>
    <w:rsid w:val="00C42056"/>
    <w:rsid w:val="00C43AC0"/>
    <w:rsid w:val="00C44C5D"/>
    <w:rsid w:val="00C4500D"/>
    <w:rsid w:val="00C4567E"/>
    <w:rsid w:val="00C45946"/>
    <w:rsid w:val="00C46AB6"/>
    <w:rsid w:val="00C46B80"/>
    <w:rsid w:val="00C46E51"/>
    <w:rsid w:val="00C47F87"/>
    <w:rsid w:val="00C50C0D"/>
    <w:rsid w:val="00C53280"/>
    <w:rsid w:val="00C5352C"/>
    <w:rsid w:val="00C53D40"/>
    <w:rsid w:val="00C53F37"/>
    <w:rsid w:val="00C54647"/>
    <w:rsid w:val="00C5626E"/>
    <w:rsid w:val="00C567C7"/>
    <w:rsid w:val="00C5689A"/>
    <w:rsid w:val="00C56E2B"/>
    <w:rsid w:val="00C5788C"/>
    <w:rsid w:val="00C579F5"/>
    <w:rsid w:val="00C60298"/>
    <w:rsid w:val="00C6053E"/>
    <w:rsid w:val="00C60A8B"/>
    <w:rsid w:val="00C60E55"/>
    <w:rsid w:val="00C60FB5"/>
    <w:rsid w:val="00C6417B"/>
    <w:rsid w:val="00C642F5"/>
    <w:rsid w:val="00C64429"/>
    <w:rsid w:val="00C66198"/>
    <w:rsid w:val="00C6646F"/>
    <w:rsid w:val="00C67AA7"/>
    <w:rsid w:val="00C67D15"/>
    <w:rsid w:val="00C711DB"/>
    <w:rsid w:val="00C7120F"/>
    <w:rsid w:val="00C723CB"/>
    <w:rsid w:val="00C72738"/>
    <w:rsid w:val="00C7316F"/>
    <w:rsid w:val="00C73DE0"/>
    <w:rsid w:val="00C761D9"/>
    <w:rsid w:val="00C7767D"/>
    <w:rsid w:val="00C808BA"/>
    <w:rsid w:val="00C83394"/>
    <w:rsid w:val="00C84244"/>
    <w:rsid w:val="00C84DFF"/>
    <w:rsid w:val="00C85BD1"/>
    <w:rsid w:val="00C85E2B"/>
    <w:rsid w:val="00C87AA4"/>
    <w:rsid w:val="00C906AE"/>
    <w:rsid w:val="00C91857"/>
    <w:rsid w:val="00C91C10"/>
    <w:rsid w:val="00C92432"/>
    <w:rsid w:val="00C926C8"/>
    <w:rsid w:val="00C93573"/>
    <w:rsid w:val="00C93F63"/>
    <w:rsid w:val="00C95E74"/>
    <w:rsid w:val="00C96E8D"/>
    <w:rsid w:val="00CA565A"/>
    <w:rsid w:val="00CA5A07"/>
    <w:rsid w:val="00CA5C48"/>
    <w:rsid w:val="00CA645B"/>
    <w:rsid w:val="00CA6E64"/>
    <w:rsid w:val="00CB0372"/>
    <w:rsid w:val="00CB0A77"/>
    <w:rsid w:val="00CB169D"/>
    <w:rsid w:val="00CB2538"/>
    <w:rsid w:val="00CB2ECD"/>
    <w:rsid w:val="00CB3AF8"/>
    <w:rsid w:val="00CB5F34"/>
    <w:rsid w:val="00CB6137"/>
    <w:rsid w:val="00CB7A77"/>
    <w:rsid w:val="00CC1BA5"/>
    <w:rsid w:val="00CC292F"/>
    <w:rsid w:val="00CC29D7"/>
    <w:rsid w:val="00CC2D44"/>
    <w:rsid w:val="00CC2DE8"/>
    <w:rsid w:val="00CC2F66"/>
    <w:rsid w:val="00CC32C1"/>
    <w:rsid w:val="00CC38CD"/>
    <w:rsid w:val="00CC3D44"/>
    <w:rsid w:val="00CC4101"/>
    <w:rsid w:val="00CC4351"/>
    <w:rsid w:val="00CC6C17"/>
    <w:rsid w:val="00CC6F1B"/>
    <w:rsid w:val="00CC7624"/>
    <w:rsid w:val="00CD13FB"/>
    <w:rsid w:val="00CD1EAA"/>
    <w:rsid w:val="00CD235D"/>
    <w:rsid w:val="00CD2D44"/>
    <w:rsid w:val="00CD3B80"/>
    <w:rsid w:val="00CD5131"/>
    <w:rsid w:val="00CD69F8"/>
    <w:rsid w:val="00CD71A2"/>
    <w:rsid w:val="00CE267A"/>
    <w:rsid w:val="00CE2937"/>
    <w:rsid w:val="00CE38F3"/>
    <w:rsid w:val="00CE4044"/>
    <w:rsid w:val="00CE45C0"/>
    <w:rsid w:val="00CE4826"/>
    <w:rsid w:val="00CE4920"/>
    <w:rsid w:val="00CE535C"/>
    <w:rsid w:val="00CF0495"/>
    <w:rsid w:val="00CF1A9E"/>
    <w:rsid w:val="00CF296A"/>
    <w:rsid w:val="00CF4305"/>
    <w:rsid w:val="00CF5356"/>
    <w:rsid w:val="00CF5918"/>
    <w:rsid w:val="00CF6BDE"/>
    <w:rsid w:val="00CF6DC2"/>
    <w:rsid w:val="00CF7044"/>
    <w:rsid w:val="00D00142"/>
    <w:rsid w:val="00D003F8"/>
    <w:rsid w:val="00D03AAF"/>
    <w:rsid w:val="00D055D0"/>
    <w:rsid w:val="00D06D19"/>
    <w:rsid w:val="00D07BB8"/>
    <w:rsid w:val="00D10956"/>
    <w:rsid w:val="00D111BC"/>
    <w:rsid w:val="00D115DB"/>
    <w:rsid w:val="00D12365"/>
    <w:rsid w:val="00D128C3"/>
    <w:rsid w:val="00D12DE6"/>
    <w:rsid w:val="00D159A0"/>
    <w:rsid w:val="00D1750E"/>
    <w:rsid w:val="00D200D7"/>
    <w:rsid w:val="00D212F6"/>
    <w:rsid w:val="00D22499"/>
    <w:rsid w:val="00D23377"/>
    <w:rsid w:val="00D24FF2"/>
    <w:rsid w:val="00D26EB8"/>
    <w:rsid w:val="00D26FB1"/>
    <w:rsid w:val="00D278D9"/>
    <w:rsid w:val="00D27EB6"/>
    <w:rsid w:val="00D317FD"/>
    <w:rsid w:val="00D31985"/>
    <w:rsid w:val="00D319D0"/>
    <w:rsid w:val="00D33881"/>
    <w:rsid w:val="00D33EB1"/>
    <w:rsid w:val="00D348E0"/>
    <w:rsid w:val="00D35BA8"/>
    <w:rsid w:val="00D36734"/>
    <w:rsid w:val="00D37FD0"/>
    <w:rsid w:val="00D41727"/>
    <w:rsid w:val="00D41DAC"/>
    <w:rsid w:val="00D41EFC"/>
    <w:rsid w:val="00D44117"/>
    <w:rsid w:val="00D453DC"/>
    <w:rsid w:val="00D45BCA"/>
    <w:rsid w:val="00D45DA8"/>
    <w:rsid w:val="00D46A18"/>
    <w:rsid w:val="00D47C35"/>
    <w:rsid w:val="00D47C57"/>
    <w:rsid w:val="00D508BD"/>
    <w:rsid w:val="00D50A83"/>
    <w:rsid w:val="00D5173D"/>
    <w:rsid w:val="00D51CE5"/>
    <w:rsid w:val="00D52015"/>
    <w:rsid w:val="00D53487"/>
    <w:rsid w:val="00D534D4"/>
    <w:rsid w:val="00D53A9F"/>
    <w:rsid w:val="00D54F05"/>
    <w:rsid w:val="00D575AD"/>
    <w:rsid w:val="00D57880"/>
    <w:rsid w:val="00D57CD5"/>
    <w:rsid w:val="00D6006D"/>
    <w:rsid w:val="00D60152"/>
    <w:rsid w:val="00D60BA7"/>
    <w:rsid w:val="00D60EB0"/>
    <w:rsid w:val="00D60FAE"/>
    <w:rsid w:val="00D61A1D"/>
    <w:rsid w:val="00D62619"/>
    <w:rsid w:val="00D64715"/>
    <w:rsid w:val="00D66165"/>
    <w:rsid w:val="00D67061"/>
    <w:rsid w:val="00D70825"/>
    <w:rsid w:val="00D715A7"/>
    <w:rsid w:val="00D71BDE"/>
    <w:rsid w:val="00D71D25"/>
    <w:rsid w:val="00D72E3B"/>
    <w:rsid w:val="00D72F7F"/>
    <w:rsid w:val="00D73380"/>
    <w:rsid w:val="00D73753"/>
    <w:rsid w:val="00D7428E"/>
    <w:rsid w:val="00D74470"/>
    <w:rsid w:val="00D75406"/>
    <w:rsid w:val="00D75EF3"/>
    <w:rsid w:val="00D76389"/>
    <w:rsid w:val="00D76897"/>
    <w:rsid w:val="00D76BDD"/>
    <w:rsid w:val="00D779EF"/>
    <w:rsid w:val="00D77AEB"/>
    <w:rsid w:val="00D80085"/>
    <w:rsid w:val="00D80274"/>
    <w:rsid w:val="00D8033B"/>
    <w:rsid w:val="00D8084A"/>
    <w:rsid w:val="00D8105A"/>
    <w:rsid w:val="00D824D7"/>
    <w:rsid w:val="00D82FD3"/>
    <w:rsid w:val="00D83E56"/>
    <w:rsid w:val="00D83ED6"/>
    <w:rsid w:val="00D8424D"/>
    <w:rsid w:val="00D84770"/>
    <w:rsid w:val="00D870E1"/>
    <w:rsid w:val="00D876C8"/>
    <w:rsid w:val="00D91037"/>
    <w:rsid w:val="00D9177D"/>
    <w:rsid w:val="00D92098"/>
    <w:rsid w:val="00D92473"/>
    <w:rsid w:val="00D92918"/>
    <w:rsid w:val="00D92A01"/>
    <w:rsid w:val="00D94996"/>
    <w:rsid w:val="00D94CAB"/>
    <w:rsid w:val="00D95085"/>
    <w:rsid w:val="00D95BDD"/>
    <w:rsid w:val="00D96C38"/>
    <w:rsid w:val="00D96E01"/>
    <w:rsid w:val="00D978B4"/>
    <w:rsid w:val="00DA07DB"/>
    <w:rsid w:val="00DA0824"/>
    <w:rsid w:val="00DA17FA"/>
    <w:rsid w:val="00DA3A50"/>
    <w:rsid w:val="00DA5850"/>
    <w:rsid w:val="00DA712E"/>
    <w:rsid w:val="00DB0103"/>
    <w:rsid w:val="00DB02BC"/>
    <w:rsid w:val="00DB0B23"/>
    <w:rsid w:val="00DB12AA"/>
    <w:rsid w:val="00DB228B"/>
    <w:rsid w:val="00DB2E36"/>
    <w:rsid w:val="00DB2E7E"/>
    <w:rsid w:val="00DB34F1"/>
    <w:rsid w:val="00DB539A"/>
    <w:rsid w:val="00DB5BCE"/>
    <w:rsid w:val="00DB5F4E"/>
    <w:rsid w:val="00DC0B6C"/>
    <w:rsid w:val="00DC1AEE"/>
    <w:rsid w:val="00DC23B6"/>
    <w:rsid w:val="00DC2DB2"/>
    <w:rsid w:val="00DC41F4"/>
    <w:rsid w:val="00DC4534"/>
    <w:rsid w:val="00DC4D6E"/>
    <w:rsid w:val="00DC5B26"/>
    <w:rsid w:val="00DC5BD8"/>
    <w:rsid w:val="00DC62DA"/>
    <w:rsid w:val="00DC68AC"/>
    <w:rsid w:val="00DC784C"/>
    <w:rsid w:val="00DC786D"/>
    <w:rsid w:val="00DD06CC"/>
    <w:rsid w:val="00DD0822"/>
    <w:rsid w:val="00DD30DC"/>
    <w:rsid w:val="00DD32B6"/>
    <w:rsid w:val="00DD378B"/>
    <w:rsid w:val="00DD4A5B"/>
    <w:rsid w:val="00DD5662"/>
    <w:rsid w:val="00DD62CE"/>
    <w:rsid w:val="00DD7709"/>
    <w:rsid w:val="00DD7AC6"/>
    <w:rsid w:val="00DE04CD"/>
    <w:rsid w:val="00DE0CEC"/>
    <w:rsid w:val="00DE159E"/>
    <w:rsid w:val="00DE2472"/>
    <w:rsid w:val="00DE29CC"/>
    <w:rsid w:val="00DE2D90"/>
    <w:rsid w:val="00DE2F46"/>
    <w:rsid w:val="00DE3FB8"/>
    <w:rsid w:val="00DE44D0"/>
    <w:rsid w:val="00DE4C67"/>
    <w:rsid w:val="00DE5A25"/>
    <w:rsid w:val="00DE7967"/>
    <w:rsid w:val="00DF0AD0"/>
    <w:rsid w:val="00DF14B7"/>
    <w:rsid w:val="00DF3686"/>
    <w:rsid w:val="00DF36FE"/>
    <w:rsid w:val="00DF3D28"/>
    <w:rsid w:val="00DF4136"/>
    <w:rsid w:val="00DF4C93"/>
    <w:rsid w:val="00DF52E5"/>
    <w:rsid w:val="00DF6856"/>
    <w:rsid w:val="00DF7007"/>
    <w:rsid w:val="00DF7AF8"/>
    <w:rsid w:val="00DF7BFD"/>
    <w:rsid w:val="00E00746"/>
    <w:rsid w:val="00E011C4"/>
    <w:rsid w:val="00E0188F"/>
    <w:rsid w:val="00E022F9"/>
    <w:rsid w:val="00E029C2"/>
    <w:rsid w:val="00E02FF4"/>
    <w:rsid w:val="00E036A6"/>
    <w:rsid w:val="00E03A78"/>
    <w:rsid w:val="00E03ED1"/>
    <w:rsid w:val="00E04AFB"/>
    <w:rsid w:val="00E05BD5"/>
    <w:rsid w:val="00E1073B"/>
    <w:rsid w:val="00E10938"/>
    <w:rsid w:val="00E114EE"/>
    <w:rsid w:val="00E1224F"/>
    <w:rsid w:val="00E12631"/>
    <w:rsid w:val="00E133B1"/>
    <w:rsid w:val="00E13AC4"/>
    <w:rsid w:val="00E14846"/>
    <w:rsid w:val="00E1580F"/>
    <w:rsid w:val="00E15D74"/>
    <w:rsid w:val="00E15F0C"/>
    <w:rsid w:val="00E16D6F"/>
    <w:rsid w:val="00E17807"/>
    <w:rsid w:val="00E21189"/>
    <w:rsid w:val="00E2153E"/>
    <w:rsid w:val="00E21BBE"/>
    <w:rsid w:val="00E22371"/>
    <w:rsid w:val="00E22E43"/>
    <w:rsid w:val="00E2322C"/>
    <w:rsid w:val="00E238C5"/>
    <w:rsid w:val="00E23D9B"/>
    <w:rsid w:val="00E2465A"/>
    <w:rsid w:val="00E24A2D"/>
    <w:rsid w:val="00E25031"/>
    <w:rsid w:val="00E25A4C"/>
    <w:rsid w:val="00E2617E"/>
    <w:rsid w:val="00E270CE"/>
    <w:rsid w:val="00E274E9"/>
    <w:rsid w:val="00E27EC4"/>
    <w:rsid w:val="00E30488"/>
    <w:rsid w:val="00E3049E"/>
    <w:rsid w:val="00E30C60"/>
    <w:rsid w:val="00E315FD"/>
    <w:rsid w:val="00E3374A"/>
    <w:rsid w:val="00E34B82"/>
    <w:rsid w:val="00E36FF6"/>
    <w:rsid w:val="00E37624"/>
    <w:rsid w:val="00E37EEB"/>
    <w:rsid w:val="00E40275"/>
    <w:rsid w:val="00E40A84"/>
    <w:rsid w:val="00E40D00"/>
    <w:rsid w:val="00E40E2B"/>
    <w:rsid w:val="00E41B15"/>
    <w:rsid w:val="00E41C78"/>
    <w:rsid w:val="00E4261E"/>
    <w:rsid w:val="00E445F2"/>
    <w:rsid w:val="00E44BAE"/>
    <w:rsid w:val="00E47743"/>
    <w:rsid w:val="00E47B4A"/>
    <w:rsid w:val="00E50099"/>
    <w:rsid w:val="00E505D2"/>
    <w:rsid w:val="00E510CF"/>
    <w:rsid w:val="00E51933"/>
    <w:rsid w:val="00E51CEF"/>
    <w:rsid w:val="00E51D2C"/>
    <w:rsid w:val="00E5233A"/>
    <w:rsid w:val="00E539EA"/>
    <w:rsid w:val="00E541DE"/>
    <w:rsid w:val="00E56375"/>
    <w:rsid w:val="00E577E3"/>
    <w:rsid w:val="00E60112"/>
    <w:rsid w:val="00E615CE"/>
    <w:rsid w:val="00E61994"/>
    <w:rsid w:val="00E6235B"/>
    <w:rsid w:val="00E6368C"/>
    <w:rsid w:val="00E65019"/>
    <w:rsid w:val="00E65497"/>
    <w:rsid w:val="00E65A06"/>
    <w:rsid w:val="00E66308"/>
    <w:rsid w:val="00E674E2"/>
    <w:rsid w:val="00E67A62"/>
    <w:rsid w:val="00E712DF"/>
    <w:rsid w:val="00E72D1C"/>
    <w:rsid w:val="00E740D4"/>
    <w:rsid w:val="00E756EA"/>
    <w:rsid w:val="00E75EFF"/>
    <w:rsid w:val="00E77053"/>
    <w:rsid w:val="00E77666"/>
    <w:rsid w:val="00E80676"/>
    <w:rsid w:val="00E80881"/>
    <w:rsid w:val="00E80E88"/>
    <w:rsid w:val="00E8144E"/>
    <w:rsid w:val="00E83489"/>
    <w:rsid w:val="00E8406F"/>
    <w:rsid w:val="00E848B8"/>
    <w:rsid w:val="00E84F86"/>
    <w:rsid w:val="00E87884"/>
    <w:rsid w:val="00E90566"/>
    <w:rsid w:val="00E90804"/>
    <w:rsid w:val="00E908D8"/>
    <w:rsid w:val="00E91CF5"/>
    <w:rsid w:val="00E92BA7"/>
    <w:rsid w:val="00E93090"/>
    <w:rsid w:val="00E939E2"/>
    <w:rsid w:val="00E93B6A"/>
    <w:rsid w:val="00E94B1C"/>
    <w:rsid w:val="00E950BD"/>
    <w:rsid w:val="00E95D56"/>
    <w:rsid w:val="00E961FA"/>
    <w:rsid w:val="00E9626B"/>
    <w:rsid w:val="00E9637B"/>
    <w:rsid w:val="00E97730"/>
    <w:rsid w:val="00EA1935"/>
    <w:rsid w:val="00EA19F1"/>
    <w:rsid w:val="00EA243A"/>
    <w:rsid w:val="00EA679A"/>
    <w:rsid w:val="00EA7B5C"/>
    <w:rsid w:val="00EB0733"/>
    <w:rsid w:val="00EB09BB"/>
    <w:rsid w:val="00EB0B4B"/>
    <w:rsid w:val="00EB2027"/>
    <w:rsid w:val="00EB2305"/>
    <w:rsid w:val="00EB3BAE"/>
    <w:rsid w:val="00EB3D67"/>
    <w:rsid w:val="00EB3FE9"/>
    <w:rsid w:val="00EB4772"/>
    <w:rsid w:val="00EB4C12"/>
    <w:rsid w:val="00EB5495"/>
    <w:rsid w:val="00EB5CA8"/>
    <w:rsid w:val="00EB6B06"/>
    <w:rsid w:val="00EC0EE8"/>
    <w:rsid w:val="00EC1EFE"/>
    <w:rsid w:val="00EC20CE"/>
    <w:rsid w:val="00EC26DD"/>
    <w:rsid w:val="00EC32BC"/>
    <w:rsid w:val="00EC38D9"/>
    <w:rsid w:val="00EC4F51"/>
    <w:rsid w:val="00EC5992"/>
    <w:rsid w:val="00EC6A94"/>
    <w:rsid w:val="00EC7226"/>
    <w:rsid w:val="00ED08BA"/>
    <w:rsid w:val="00ED1750"/>
    <w:rsid w:val="00ED1914"/>
    <w:rsid w:val="00ED3225"/>
    <w:rsid w:val="00ED3578"/>
    <w:rsid w:val="00ED3784"/>
    <w:rsid w:val="00ED3D6C"/>
    <w:rsid w:val="00ED4A8F"/>
    <w:rsid w:val="00ED4B0B"/>
    <w:rsid w:val="00ED7161"/>
    <w:rsid w:val="00ED73A2"/>
    <w:rsid w:val="00EE0124"/>
    <w:rsid w:val="00EE2042"/>
    <w:rsid w:val="00EE2A38"/>
    <w:rsid w:val="00EE3BF9"/>
    <w:rsid w:val="00EE57AF"/>
    <w:rsid w:val="00EE581C"/>
    <w:rsid w:val="00EE5873"/>
    <w:rsid w:val="00EE774F"/>
    <w:rsid w:val="00EF0322"/>
    <w:rsid w:val="00EF0C2A"/>
    <w:rsid w:val="00EF13DB"/>
    <w:rsid w:val="00EF1428"/>
    <w:rsid w:val="00EF1BBD"/>
    <w:rsid w:val="00EF22CC"/>
    <w:rsid w:val="00EF23E4"/>
    <w:rsid w:val="00EF3E58"/>
    <w:rsid w:val="00EF46FC"/>
    <w:rsid w:val="00F0029A"/>
    <w:rsid w:val="00F00C02"/>
    <w:rsid w:val="00F030C5"/>
    <w:rsid w:val="00F03323"/>
    <w:rsid w:val="00F0439F"/>
    <w:rsid w:val="00F066C8"/>
    <w:rsid w:val="00F06F94"/>
    <w:rsid w:val="00F1054E"/>
    <w:rsid w:val="00F11578"/>
    <w:rsid w:val="00F11FB3"/>
    <w:rsid w:val="00F1285E"/>
    <w:rsid w:val="00F13DEE"/>
    <w:rsid w:val="00F145BD"/>
    <w:rsid w:val="00F146B3"/>
    <w:rsid w:val="00F14D98"/>
    <w:rsid w:val="00F154FC"/>
    <w:rsid w:val="00F16FB6"/>
    <w:rsid w:val="00F1756D"/>
    <w:rsid w:val="00F17E85"/>
    <w:rsid w:val="00F20988"/>
    <w:rsid w:val="00F20D6B"/>
    <w:rsid w:val="00F21568"/>
    <w:rsid w:val="00F2185E"/>
    <w:rsid w:val="00F22943"/>
    <w:rsid w:val="00F23056"/>
    <w:rsid w:val="00F23181"/>
    <w:rsid w:val="00F233BB"/>
    <w:rsid w:val="00F23836"/>
    <w:rsid w:val="00F240E4"/>
    <w:rsid w:val="00F242F8"/>
    <w:rsid w:val="00F243F9"/>
    <w:rsid w:val="00F24469"/>
    <w:rsid w:val="00F25630"/>
    <w:rsid w:val="00F26E36"/>
    <w:rsid w:val="00F26E60"/>
    <w:rsid w:val="00F2788D"/>
    <w:rsid w:val="00F31F43"/>
    <w:rsid w:val="00F34EC1"/>
    <w:rsid w:val="00F359F2"/>
    <w:rsid w:val="00F36400"/>
    <w:rsid w:val="00F36F79"/>
    <w:rsid w:val="00F4198E"/>
    <w:rsid w:val="00F42F8C"/>
    <w:rsid w:val="00F4486C"/>
    <w:rsid w:val="00F44C78"/>
    <w:rsid w:val="00F45772"/>
    <w:rsid w:val="00F4585C"/>
    <w:rsid w:val="00F45C3A"/>
    <w:rsid w:val="00F47A59"/>
    <w:rsid w:val="00F50E2E"/>
    <w:rsid w:val="00F53C95"/>
    <w:rsid w:val="00F53DF5"/>
    <w:rsid w:val="00F542C7"/>
    <w:rsid w:val="00F556F9"/>
    <w:rsid w:val="00F56277"/>
    <w:rsid w:val="00F57BA9"/>
    <w:rsid w:val="00F60183"/>
    <w:rsid w:val="00F628CC"/>
    <w:rsid w:val="00F6409E"/>
    <w:rsid w:val="00F64578"/>
    <w:rsid w:val="00F65B35"/>
    <w:rsid w:val="00F65DC7"/>
    <w:rsid w:val="00F67298"/>
    <w:rsid w:val="00F673FA"/>
    <w:rsid w:val="00F678FE"/>
    <w:rsid w:val="00F7101D"/>
    <w:rsid w:val="00F711CA"/>
    <w:rsid w:val="00F71D6F"/>
    <w:rsid w:val="00F73278"/>
    <w:rsid w:val="00F73DAE"/>
    <w:rsid w:val="00F740DF"/>
    <w:rsid w:val="00F74C05"/>
    <w:rsid w:val="00F752C2"/>
    <w:rsid w:val="00F75D85"/>
    <w:rsid w:val="00F76429"/>
    <w:rsid w:val="00F80177"/>
    <w:rsid w:val="00F802DF"/>
    <w:rsid w:val="00F80B11"/>
    <w:rsid w:val="00F83642"/>
    <w:rsid w:val="00F842CB"/>
    <w:rsid w:val="00F85ECC"/>
    <w:rsid w:val="00F8797B"/>
    <w:rsid w:val="00F9018D"/>
    <w:rsid w:val="00F90847"/>
    <w:rsid w:val="00F90CC2"/>
    <w:rsid w:val="00F91093"/>
    <w:rsid w:val="00F92720"/>
    <w:rsid w:val="00F94F59"/>
    <w:rsid w:val="00F957BE"/>
    <w:rsid w:val="00F95885"/>
    <w:rsid w:val="00F95C63"/>
    <w:rsid w:val="00F968FC"/>
    <w:rsid w:val="00F971DF"/>
    <w:rsid w:val="00F974F0"/>
    <w:rsid w:val="00FA04DA"/>
    <w:rsid w:val="00FA077F"/>
    <w:rsid w:val="00FA09A8"/>
    <w:rsid w:val="00FA3355"/>
    <w:rsid w:val="00FA71C8"/>
    <w:rsid w:val="00FB05A1"/>
    <w:rsid w:val="00FB14CF"/>
    <w:rsid w:val="00FB2187"/>
    <w:rsid w:val="00FB261B"/>
    <w:rsid w:val="00FB303D"/>
    <w:rsid w:val="00FB3DCF"/>
    <w:rsid w:val="00FB3EA0"/>
    <w:rsid w:val="00FB4EF6"/>
    <w:rsid w:val="00FB59B5"/>
    <w:rsid w:val="00FB68FE"/>
    <w:rsid w:val="00FB71B5"/>
    <w:rsid w:val="00FB7729"/>
    <w:rsid w:val="00FB7955"/>
    <w:rsid w:val="00FC07A8"/>
    <w:rsid w:val="00FC0ADA"/>
    <w:rsid w:val="00FC17EF"/>
    <w:rsid w:val="00FC1FD7"/>
    <w:rsid w:val="00FC2087"/>
    <w:rsid w:val="00FC2828"/>
    <w:rsid w:val="00FC369F"/>
    <w:rsid w:val="00FC3829"/>
    <w:rsid w:val="00FC3AEE"/>
    <w:rsid w:val="00FC43E7"/>
    <w:rsid w:val="00FC4F02"/>
    <w:rsid w:val="00FC5891"/>
    <w:rsid w:val="00FC5993"/>
    <w:rsid w:val="00FC6536"/>
    <w:rsid w:val="00FC670C"/>
    <w:rsid w:val="00FC6CFA"/>
    <w:rsid w:val="00FC6E5B"/>
    <w:rsid w:val="00FC7CF0"/>
    <w:rsid w:val="00FD0E50"/>
    <w:rsid w:val="00FD136D"/>
    <w:rsid w:val="00FD17EC"/>
    <w:rsid w:val="00FD36D5"/>
    <w:rsid w:val="00FD59CF"/>
    <w:rsid w:val="00FD6275"/>
    <w:rsid w:val="00FD647A"/>
    <w:rsid w:val="00FD6ACC"/>
    <w:rsid w:val="00FD6D4D"/>
    <w:rsid w:val="00FE2905"/>
    <w:rsid w:val="00FE2DFC"/>
    <w:rsid w:val="00FE32A6"/>
    <w:rsid w:val="00FE3322"/>
    <w:rsid w:val="00FE3916"/>
    <w:rsid w:val="00FE3D92"/>
    <w:rsid w:val="00FE4515"/>
    <w:rsid w:val="00FE4B55"/>
    <w:rsid w:val="00FE5B3B"/>
    <w:rsid w:val="00FE5E87"/>
    <w:rsid w:val="00FE5F8B"/>
    <w:rsid w:val="00FF04F2"/>
    <w:rsid w:val="00FF0C92"/>
    <w:rsid w:val="00FF11E4"/>
    <w:rsid w:val="00FF654F"/>
    <w:rsid w:val="00FF6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B43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6"/>
    <w:pPr>
      <w:spacing w:after="0" w:line="240" w:lineRule="auto"/>
      <w:jc w:val="both"/>
    </w:pPr>
    <w:rPr>
      <w:rFonts w:ascii="Verdana" w:hAnsi="Verdana"/>
      <w:sz w:val="20"/>
      <w:lang w:val="es-ES_tradnl" w:eastAsia="es-ES"/>
    </w:rPr>
  </w:style>
  <w:style w:type="paragraph" w:styleId="Heading1">
    <w:name w:val="heading 1"/>
    <w:aliases w:val="Título Verdana"/>
    <w:basedOn w:val="Normal"/>
    <w:next w:val="Normal"/>
    <w:link w:val="Heading1Char"/>
    <w:uiPriority w:val="9"/>
    <w:qFormat/>
    <w:rsid w:val="008418CA"/>
    <w:pPr>
      <w:keepNext/>
      <w:keepLines/>
      <w:ind w:left="720"/>
      <w:outlineLvl w:val="0"/>
    </w:pPr>
    <w:rPr>
      <w:rFonts w:eastAsiaTheme="majorEastAsia" w:cstheme="majorBidi"/>
      <w:b/>
      <w:bCs/>
      <w:i/>
      <w:szCs w:val="20"/>
    </w:rPr>
  </w:style>
  <w:style w:type="paragraph" w:styleId="Heading2">
    <w:name w:val="heading 2"/>
    <w:basedOn w:val="Normal"/>
    <w:next w:val="Normal"/>
    <w:link w:val="Heading2Char"/>
    <w:uiPriority w:val="9"/>
    <w:unhideWhenUsed/>
    <w:qFormat/>
    <w:rsid w:val="00A83878"/>
    <w:pPr>
      <w:ind w:left="720" w:firstLine="720"/>
      <w:outlineLvl w:val="1"/>
    </w:pPr>
    <w:rPr>
      <w:b/>
    </w:rPr>
  </w:style>
  <w:style w:type="paragraph" w:styleId="Heading3">
    <w:name w:val="heading 3"/>
    <w:basedOn w:val="Normal"/>
    <w:next w:val="Normal"/>
    <w:link w:val="Heading3Char"/>
    <w:uiPriority w:val="9"/>
    <w:unhideWhenUsed/>
    <w:qFormat/>
    <w:rsid w:val="000052EF"/>
    <w:pPr>
      <w:ind w:left="720" w:firstLine="720"/>
      <w:outlineLvl w:val="2"/>
    </w:pPr>
    <w:rPr>
      <w:u w:val="single"/>
    </w:rPr>
  </w:style>
  <w:style w:type="paragraph" w:styleId="Heading4">
    <w:name w:val="heading 4"/>
    <w:basedOn w:val="Normal"/>
    <w:next w:val="Normal"/>
    <w:link w:val="Heading4Char"/>
    <w:uiPriority w:val="9"/>
    <w:unhideWhenUsed/>
    <w:qFormat/>
    <w:rsid w:val="00D45BCA"/>
    <w:pPr>
      <w:keepNext/>
      <w:keepLines/>
      <w:ind w:left="2160"/>
      <w:outlineLvl w:val="3"/>
    </w:pPr>
    <w:rPr>
      <w:rFonts w:eastAsiaTheme="majorEastAsia" w:cstheme="majorBidi"/>
      <w:bCs/>
      <w:i/>
      <w:iCs/>
      <w:spacing w:val="-4"/>
      <w:szCs w:val="20"/>
    </w:rPr>
  </w:style>
  <w:style w:type="paragraph" w:styleId="Heading5">
    <w:name w:val="heading 5"/>
    <w:basedOn w:val="Normal"/>
    <w:next w:val="Normal"/>
    <w:link w:val="Heading5Char"/>
    <w:uiPriority w:val="9"/>
    <w:semiHidden/>
    <w:unhideWhenUsed/>
    <w:qFormat/>
    <w:rsid w:val="009D23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D230F"/>
    <w:pPr>
      <w:keepNext w:val="0"/>
      <w:keepLines w:val="0"/>
      <w:numPr>
        <w:ilvl w:val="4"/>
        <w:numId w:val="1"/>
      </w:numPr>
      <w:spacing w:before="0"/>
      <w:outlineLvl w:val="5"/>
    </w:pPr>
    <w:rPr>
      <w:rFonts w:ascii="Verdana" w:eastAsia="Times New Roman" w:hAnsi="Verdana" w:cs="Times New Roman"/>
      <w:color w:val="auto"/>
      <w:spacing w:val="-2"/>
      <w:szCs w:val="20"/>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D230F"/>
    <w:rPr>
      <w:rFonts w:ascii="Verdana" w:eastAsia="Times New Roman" w:hAnsi="Verdana" w:cs="Times New Roman"/>
      <w:spacing w:val="-2"/>
      <w:sz w:val="20"/>
      <w:szCs w:val="20"/>
      <w:lang w:val="es-ES_tradnl"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qFormat/>
    <w:rsid w:val="009D230F"/>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9D230F"/>
    <w:pPr>
      <w:widowControl w:val="0"/>
      <w:tabs>
        <w:tab w:val="left" w:pos="567"/>
      </w:tabs>
      <w:adjustRightInd w:val="0"/>
      <w:textAlignment w:val="baseline"/>
    </w:pPr>
    <w:rPr>
      <w:rFonts w:eastAsia="Times New Roman" w:cs="Verdana"/>
      <w:bCs/>
      <w:sz w:val="16"/>
      <w:szCs w:val="16"/>
      <w:lang w:eastAsia="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9D230F"/>
    <w:rPr>
      <w:rFonts w:ascii="Verdana" w:eastAsia="Times New Roman" w:hAnsi="Verdana" w:cs="Verdana"/>
      <w:bCs/>
      <w:sz w:val="16"/>
      <w:szCs w:val="16"/>
      <w:lang w:val="es-ES_tradnl" w:eastAsia="es-CR"/>
    </w:rPr>
  </w:style>
  <w:style w:type="character" w:styleId="Hyperlink">
    <w:name w:val="Hyperlink"/>
    <w:uiPriority w:val="99"/>
    <w:rsid w:val="009D230F"/>
    <w:rPr>
      <w:color w:val="0000FF"/>
      <w:u w:val="single"/>
    </w:rPr>
  </w:style>
  <w:style w:type="character" w:styleId="CommentReference">
    <w:name w:val="annotation reference"/>
    <w:basedOn w:val="DefaultParagraphFont"/>
    <w:uiPriority w:val="99"/>
    <w:unhideWhenUsed/>
    <w:rsid w:val="009D230F"/>
    <w:rPr>
      <w:sz w:val="16"/>
      <w:szCs w:val="16"/>
    </w:rPr>
  </w:style>
  <w:style w:type="paragraph" w:styleId="CommentText">
    <w:name w:val="annotation text"/>
    <w:basedOn w:val="Normal"/>
    <w:link w:val="CommentTextChar"/>
    <w:uiPriority w:val="99"/>
    <w:unhideWhenUsed/>
    <w:rsid w:val="009D230F"/>
    <w:rPr>
      <w:szCs w:val="20"/>
    </w:rPr>
  </w:style>
  <w:style w:type="character" w:customStyle="1" w:styleId="CommentTextChar">
    <w:name w:val="Comment Text Char"/>
    <w:basedOn w:val="DefaultParagraphFont"/>
    <w:link w:val="CommentText"/>
    <w:uiPriority w:val="99"/>
    <w:rsid w:val="009D230F"/>
    <w:rPr>
      <w:rFonts w:ascii="Verdana" w:hAnsi="Verdana"/>
      <w:sz w:val="20"/>
      <w:szCs w:val="20"/>
      <w:lang w:val="es-CR"/>
    </w:rPr>
  </w:style>
  <w:style w:type="paragraph" w:customStyle="1" w:styleId="Footnotes">
    <w:name w:val="**. Footnotes"/>
    <w:basedOn w:val="FootnoteText"/>
    <w:link w:val="FootnotesChar"/>
    <w:qFormat/>
    <w:rsid w:val="008F1FC8"/>
    <w:pPr>
      <w:widowControl/>
      <w:tabs>
        <w:tab w:val="clear" w:pos="567"/>
        <w:tab w:val="left" w:pos="426"/>
      </w:tabs>
      <w:adjustRightInd/>
      <w:spacing w:after="120"/>
      <w:textAlignment w:val="auto"/>
    </w:pPr>
    <w:rPr>
      <w:rFonts w:cs="Palatino-Italic"/>
      <w:bCs w:val="0"/>
      <w:iCs/>
      <w:szCs w:val="18"/>
      <w:lang w:val="es-ES" w:eastAsia="en-US" w:bidi="en-US"/>
    </w:rPr>
  </w:style>
  <w:style w:type="character" w:customStyle="1" w:styleId="FootnotesChar">
    <w:name w:val="**. Footnotes Char"/>
    <w:basedOn w:val="DefaultParagraphFont"/>
    <w:link w:val="Footnotes"/>
    <w:rsid w:val="008F1FC8"/>
    <w:rPr>
      <w:rFonts w:ascii="Verdana" w:eastAsia="Times New Roman" w:hAnsi="Verdana" w:cs="Palatino-Italic"/>
      <w:iCs/>
      <w:sz w:val="16"/>
      <w:szCs w:val="18"/>
      <w:lang w:val="es-ES" w:bidi="en-US"/>
    </w:rPr>
  </w:style>
  <w:style w:type="character" w:customStyle="1" w:styleId="Heading5Char">
    <w:name w:val="Heading 5 Char"/>
    <w:basedOn w:val="DefaultParagraphFont"/>
    <w:link w:val="Heading5"/>
    <w:uiPriority w:val="9"/>
    <w:semiHidden/>
    <w:rsid w:val="009D230F"/>
    <w:rPr>
      <w:rFonts w:asciiTheme="majorHAnsi" w:eastAsiaTheme="majorEastAsia" w:hAnsiTheme="majorHAnsi" w:cstheme="majorBidi"/>
      <w:color w:val="243F60" w:themeColor="accent1" w:themeShade="7F"/>
      <w:sz w:val="20"/>
      <w:lang w:val="es-CR"/>
    </w:rPr>
  </w:style>
  <w:style w:type="paragraph" w:styleId="BalloonText">
    <w:name w:val="Balloon Text"/>
    <w:basedOn w:val="Normal"/>
    <w:link w:val="BalloonTextChar"/>
    <w:uiPriority w:val="99"/>
    <w:semiHidden/>
    <w:unhideWhenUsed/>
    <w:rsid w:val="009D230F"/>
    <w:rPr>
      <w:rFonts w:ascii="Tahoma" w:hAnsi="Tahoma" w:cs="Tahoma"/>
      <w:sz w:val="16"/>
      <w:szCs w:val="16"/>
    </w:rPr>
  </w:style>
  <w:style w:type="character" w:customStyle="1" w:styleId="BalloonTextChar">
    <w:name w:val="Balloon Text Char"/>
    <w:basedOn w:val="DefaultParagraphFont"/>
    <w:link w:val="BalloonText"/>
    <w:uiPriority w:val="99"/>
    <w:semiHidden/>
    <w:rsid w:val="009D230F"/>
    <w:rPr>
      <w:rFonts w:ascii="Tahoma" w:hAnsi="Tahoma" w:cs="Tahoma"/>
      <w:sz w:val="16"/>
      <w:szCs w:val="16"/>
      <w:lang w:val="es-CR"/>
    </w:rPr>
  </w:style>
  <w:style w:type="paragraph" w:styleId="ListParagraph">
    <w:name w:val="List Paragraph"/>
    <w:aliases w:val="Footnote,List Paragraph1,Colorful List - Accent 11,Párrafo de lista1"/>
    <w:basedOn w:val="Normal"/>
    <w:link w:val="ListParagraphChar"/>
    <w:uiPriority w:val="34"/>
    <w:qFormat/>
    <w:rsid w:val="00BC23BE"/>
    <w:pPr>
      <w:ind w:left="720"/>
      <w:contextualSpacing/>
    </w:pPr>
  </w:style>
  <w:style w:type="character" w:customStyle="1" w:styleId="Heading1Char">
    <w:name w:val="Heading 1 Char"/>
    <w:aliases w:val="Título Verdana Char"/>
    <w:basedOn w:val="DefaultParagraphFont"/>
    <w:link w:val="Heading1"/>
    <w:uiPriority w:val="9"/>
    <w:rsid w:val="008418CA"/>
    <w:rPr>
      <w:rFonts w:ascii="Verdana" w:eastAsiaTheme="majorEastAsia" w:hAnsi="Verdana" w:cstheme="majorBidi"/>
      <w:b/>
      <w:bCs/>
      <w:i/>
      <w:sz w:val="20"/>
      <w:szCs w:val="20"/>
      <w:lang w:val="es-ES_tradnl" w:eastAsia="es-ES"/>
    </w:rPr>
  </w:style>
  <w:style w:type="paragraph" w:styleId="Title">
    <w:name w:val="Title"/>
    <w:basedOn w:val="Normal"/>
    <w:next w:val="Normal"/>
    <w:link w:val="TitleChar"/>
    <w:uiPriority w:val="10"/>
    <w:qFormat/>
    <w:rsid w:val="003D2602"/>
    <w:pPr>
      <w:tabs>
        <w:tab w:val="left" w:pos="567"/>
      </w:tabs>
      <w:jc w:val="center"/>
      <w:outlineLvl w:val="0"/>
    </w:pPr>
    <w:rPr>
      <w:b/>
      <w:spacing w:val="-4"/>
      <w:szCs w:val="20"/>
    </w:rPr>
  </w:style>
  <w:style w:type="character" w:customStyle="1" w:styleId="TitleChar">
    <w:name w:val="Title Char"/>
    <w:basedOn w:val="DefaultParagraphFont"/>
    <w:link w:val="Title"/>
    <w:uiPriority w:val="10"/>
    <w:rsid w:val="003D2602"/>
    <w:rPr>
      <w:rFonts w:ascii="Verdana" w:hAnsi="Verdana"/>
      <w:b/>
      <w:spacing w:val="-4"/>
      <w:sz w:val="20"/>
      <w:szCs w:val="20"/>
      <w:lang w:val="es-ES_tradnl" w:eastAsia="es-ES"/>
    </w:rPr>
  </w:style>
  <w:style w:type="character" w:customStyle="1" w:styleId="Heading2Char">
    <w:name w:val="Heading 2 Char"/>
    <w:basedOn w:val="DefaultParagraphFont"/>
    <w:link w:val="Heading2"/>
    <w:uiPriority w:val="9"/>
    <w:rsid w:val="00A83878"/>
    <w:rPr>
      <w:rFonts w:ascii="Verdana" w:hAnsi="Verdana"/>
      <w:b/>
      <w:sz w:val="20"/>
      <w:lang w:val="es-ES_tradnl" w:eastAsia="es-ES"/>
    </w:rPr>
  </w:style>
  <w:style w:type="character" w:customStyle="1" w:styleId="Heading3Char">
    <w:name w:val="Heading 3 Char"/>
    <w:basedOn w:val="DefaultParagraphFont"/>
    <w:link w:val="Heading3"/>
    <w:uiPriority w:val="9"/>
    <w:rsid w:val="000052EF"/>
    <w:rPr>
      <w:rFonts w:ascii="Verdana" w:hAnsi="Verdana"/>
      <w:sz w:val="20"/>
      <w:u w:val="single"/>
      <w:lang w:val="es-ES_tradnl" w:eastAsia="es-ES"/>
    </w:rPr>
  </w:style>
  <w:style w:type="paragraph" w:styleId="CommentSubject">
    <w:name w:val="annotation subject"/>
    <w:basedOn w:val="CommentText"/>
    <w:next w:val="CommentText"/>
    <w:link w:val="CommentSubjectChar"/>
    <w:uiPriority w:val="99"/>
    <w:semiHidden/>
    <w:unhideWhenUsed/>
    <w:rsid w:val="00DC2DB2"/>
    <w:rPr>
      <w:b/>
      <w:bCs/>
    </w:rPr>
  </w:style>
  <w:style w:type="character" w:customStyle="1" w:styleId="CommentSubjectChar">
    <w:name w:val="Comment Subject Char"/>
    <w:basedOn w:val="CommentTextChar"/>
    <w:link w:val="CommentSubject"/>
    <w:uiPriority w:val="99"/>
    <w:semiHidden/>
    <w:rsid w:val="00DC2DB2"/>
    <w:rPr>
      <w:rFonts w:ascii="Verdana" w:hAnsi="Verdana"/>
      <w:b/>
      <w:bCs/>
      <w:sz w:val="20"/>
      <w:szCs w:val="20"/>
      <w:lang w:val="es-ES_tradnl" w:eastAsia="es-ES"/>
    </w:r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1A0D21"/>
    <w:rPr>
      <w:rFonts w:ascii="Verdana" w:hAnsi="Verdana"/>
      <w:sz w:val="20"/>
      <w:lang w:val="es-ES_tradnl" w:eastAsia="es-ES"/>
    </w:rPr>
  </w:style>
  <w:style w:type="paragraph" w:styleId="Header">
    <w:name w:val="header"/>
    <w:basedOn w:val="Normal"/>
    <w:link w:val="HeaderChar"/>
    <w:uiPriority w:val="99"/>
    <w:unhideWhenUsed/>
    <w:rsid w:val="00B86A64"/>
    <w:pPr>
      <w:tabs>
        <w:tab w:val="center" w:pos="4419"/>
        <w:tab w:val="right" w:pos="8838"/>
      </w:tabs>
    </w:pPr>
  </w:style>
  <w:style w:type="character" w:customStyle="1" w:styleId="HeaderChar">
    <w:name w:val="Header Char"/>
    <w:basedOn w:val="DefaultParagraphFont"/>
    <w:link w:val="Header"/>
    <w:uiPriority w:val="99"/>
    <w:rsid w:val="00B86A64"/>
    <w:rPr>
      <w:rFonts w:ascii="Verdana" w:hAnsi="Verdana"/>
      <w:sz w:val="20"/>
      <w:lang w:val="es-ES_tradnl" w:eastAsia="es-ES"/>
    </w:rPr>
  </w:style>
  <w:style w:type="paragraph" w:styleId="Footer">
    <w:name w:val="footer"/>
    <w:basedOn w:val="Normal"/>
    <w:link w:val="FooterChar"/>
    <w:uiPriority w:val="99"/>
    <w:unhideWhenUsed/>
    <w:rsid w:val="00B86A64"/>
    <w:pPr>
      <w:tabs>
        <w:tab w:val="center" w:pos="4419"/>
        <w:tab w:val="right" w:pos="8838"/>
      </w:tabs>
    </w:pPr>
  </w:style>
  <w:style w:type="character" w:customStyle="1" w:styleId="FooterChar">
    <w:name w:val="Footer Char"/>
    <w:basedOn w:val="DefaultParagraphFont"/>
    <w:link w:val="Footer"/>
    <w:uiPriority w:val="99"/>
    <w:rsid w:val="00B86A64"/>
    <w:rPr>
      <w:rFonts w:ascii="Verdana" w:hAnsi="Verdana"/>
      <w:sz w:val="20"/>
      <w:lang w:val="es-ES_tradnl" w:eastAsia="es-ES"/>
    </w:rPr>
  </w:style>
  <w:style w:type="paragraph" w:customStyle="1" w:styleId="PrrafodeSentencia">
    <w:name w:val="*. Párrafo de Sentencia"/>
    <w:basedOn w:val="ListParagraph"/>
    <w:link w:val="PrrafodeSentenciaChar"/>
    <w:qFormat/>
    <w:rsid w:val="00B00C59"/>
    <w:pPr>
      <w:numPr>
        <w:numId w:val="2"/>
      </w:numPr>
      <w:tabs>
        <w:tab w:val="clear" w:pos="657"/>
        <w:tab w:val="num" w:pos="567"/>
      </w:tabs>
      <w:ind w:left="0"/>
      <w:contextualSpacing w:val="0"/>
    </w:pPr>
    <w:rPr>
      <w:rFonts w:eastAsia="Batang" w:cs="Times New Roman"/>
      <w:spacing w:val="-4"/>
      <w:szCs w:val="20"/>
      <w:lang w:val="es-MX" w:eastAsia="es-MX"/>
    </w:rPr>
  </w:style>
  <w:style w:type="character" w:customStyle="1" w:styleId="PrrafodeSentenciaChar">
    <w:name w:val="*. Párrafo de Sentencia Char"/>
    <w:basedOn w:val="DefaultParagraphFont"/>
    <w:link w:val="PrrafodeSentencia"/>
    <w:rsid w:val="00B00C59"/>
    <w:rPr>
      <w:rFonts w:ascii="Verdana" w:eastAsia="Batang" w:hAnsi="Verdana" w:cs="Times New Roman"/>
      <w:spacing w:val="-4"/>
      <w:sz w:val="20"/>
      <w:szCs w:val="20"/>
      <w:lang w:val="es-MX" w:eastAsia="es-MX"/>
    </w:rPr>
  </w:style>
  <w:style w:type="character" w:customStyle="1" w:styleId="eacep">
    <w:name w:val="eacep"/>
    <w:basedOn w:val="DefaultParagraphFont"/>
    <w:rsid w:val="00F17E85"/>
    <w:rPr>
      <w:rFonts w:cs="Times New Roman"/>
    </w:rPr>
  </w:style>
  <w:style w:type="character" w:styleId="Strong">
    <w:name w:val="Strong"/>
    <w:basedOn w:val="DefaultParagraphFont"/>
    <w:uiPriority w:val="22"/>
    <w:qFormat/>
    <w:rsid w:val="00C1118D"/>
    <w:rPr>
      <w:b/>
      <w:bCs/>
    </w:rPr>
  </w:style>
  <w:style w:type="character" w:customStyle="1" w:styleId="st">
    <w:name w:val="st"/>
    <w:basedOn w:val="DefaultParagraphFont"/>
    <w:rsid w:val="004E1D7E"/>
  </w:style>
  <w:style w:type="paragraph" w:styleId="BodyText2">
    <w:name w:val="Body Text 2"/>
    <w:basedOn w:val="Normal"/>
    <w:link w:val="BodyText2Char"/>
    <w:uiPriority w:val="99"/>
    <w:unhideWhenUsed/>
    <w:rsid w:val="000E530E"/>
    <w:pPr>
      <w:spacing w:after="120" w:line="480" w:lineRule="auto"/>
    </w:pPr>
  </w:style>
  <w:style w:type="character" w:customStyle="1" w:styleId="BodyText2Char">
    <w:name w:val="Body Text 2 Char"/>
    <w:basedOn w:val="DefaultParagraphFont"/>
    <w:link w:val="BodyText2"/>
    <w:uiPriority w:val="99"/>
    <w:rsid w:val="000E530E"/>
    <w:rPr>
      <w:rFonts w:ascii="Verdana" w:hAnsi="Verdana"/>
      <w:sz w:val="20"/>
      <w:lang w:val="es-ES_tradnl" w:eastAsia="es-ES"/>
    </w:rPr>
  </w:style>
  <w:style w:type="paragraph" w:styleId="DocumentMap">
    <w:name w:val="Document Map"/>
    <w:basedOn w:val="Normal"/>
    <w:link w:val="DocumentMapChar"/>
    <w:uiPriority w:val="99"/>
    <w:semiHidden/>
    <w:unhideWhenUsed/>
    <w:rsid w:val="00EB2027"/>
    <w:rPr>
      <w:rFonts w:ascii="Tahoma" w:hAnsi="Tahoma" w:cs="Tahoma"/>
      <w:sz w:val="16"/>
      <w:szCs w:val="16"/>
    </w:rPr>
  </w:style>
  <w:style w:type="character" w:customStyle="1" w:styleId="DocumentMapChar">
    <w:name w:val="Document Map Char"/>
    <w:basedOn w:val="DefaultParagraphFont"/>
    <w:link w:val="DocumentMap"/>
    <w:uiPriority w:val="99"/>
    <w:semiHidden/>
    <w:rsid w:val="00EB2027"/>
    <w:rPr>
      <w:rFonts w:ascii="Tahoma" w:hAnsi="Tahoma" w:cs="Tahoma"/>
      <w:sz w:val="16"/>
      <w:szCs w:val="16"/>
      <w:lang w:val="es-ES_tradnl" w:eastAsia="es-ES"/>
    </w:rPr>
  </w:style>
  <w:style w:type="character" w:styleId="FollowedHyperlink">
    <w:name w:val="FollowedHyperlink"/>
    <w:basedOn w:val="DefaultParagraphFont"/>
    <w:uiPriority w:val="99"/>
    <w:semiHidden/>
    <w:unhideWhenUsed/>
    <w:rsid w:val="002009B8"/>
    <w:rPr>
      <w:color w:val="800080" w:themeColor="followedHyperlink"/>
      <w:u w:val="single"/>
    </w:rPr>
  </w:style>
  <w:style w:type="character" w:customStyle="1" w:styleId="sb8d990e2">
    <w:name w:val="sb8d990e2"/>
    <w:basedOn w:val="DefaultParagraphFont"/>
    <w:rsid w:val="001703EA"/>
  </w:style>
  <w:style w:type="character" w:customStyle="1" w:styleId="apple-converted-space">
    <w:name w:val="apple-converted-space"/>
    <w:basedOn w:val="DefaultParagraphFont"/>
    <w:rsid w:val="001703EA"/>
  </w:style>
  <w:style w:type="character" w:customStyle="1" w:styleId="s6b621b36">
    <w:name w:val="s6b621b36"/>
    <w:basedOn w:val="DefaultParagraphFont"/>
    <w:rsid w:val="001703EA"/>
  </w:style>
  <w:style w:type="character" w:customStyle="1" w:styleId="sea881cdf">
    <w:name w:val="sea881cdf"/>
    <w:basedOn w:val="DefaultParagraphFont"/>
    <w:rsid w:val="00D33EB1"/>
  </w:style>
  <w:style w:type="paragraph" w:customStyle="1" w:styleId="s30eec3f8">
    <w:name w:val="s30eec3f8"/>
    <w:basedOn w:val="Normal"/>
    <w:rsid w:val="000D18D5"/>
    <w:pPr>
      <w:spacing w:before="100" w:beforeAutospacing="1" w:after="100" w:afterAutospacing="1"/>
      <w:jc w:val="left"/>
    </w:pPr>
    <w:rPr>
      <w:rFonts w:ascii="Times New Roman" w:eastAsia="Times New Roman" w:hAnsi="Times New Roman" w:cs="Times New Roman"/>
      <w:b/>
      <w:sz w:val="24"/>
      <w:szCs w:val="24"/>
      <w:lang w:val="en-US" w:eastAsia="en-US"/>
    </w:rPr>
  </w:style>
  <w:style w:type="paragraph" w:styleId="NoSpacing">
    <w:name w:val="No Spacing"/>
    <w:uiPriority w:val="1"/>
    <w:qFormat/>
    <w:rsid w:val="000D18D5"/>
    <w:pPr>
      <w:spacing w:after="0" w:line="240" w:lineRule="auto"/>
    </w:pPr>
  </w:style>
  <w:style w:type="paragraph" w:styleId="NormalWeb">
    <w:name w:val="Normal (Web)"/>
    <w:basedOn w:val="Normal"/>
    <w:uiPriority w:val="99"/>
    <w:unhideWhenUsed/>
    <w:rsid w:val="000D18D5"/>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Estilo1">
    <w:name w:val="Estilo1"/>
    <w:basedOn w:val="Normal"/>
    <w:link w:val="Estilo1Car"/>
    <w:qFormat/>
    <w:rsid w:val="000D18D5"/>
    <w:pPr>
      <w:tabs>
        <w:tab w:val="left" w:pos="567"/>
        <w:tab w:val="left" w:pos="1134"/>
        <w:tab w:val="num" w:pos="16392"/>
      </w:tabs>
      <w:spacing w:after="120"/>
    </w:pPr>
    <w:rPr>
      <w:rFonts w:eastAsia="Calibri" w:cs="Times New Roman"/>
      <w:szCs w:val="20"/>
      <w:lang w:val="es-ES" w:eastAsia="en-US"/>
    </w:rPr>
  </w:style>
  <w:style w:type="character" w:customStyle="1" w:styleId="Estilo1Car">
    <w:name w:val="Estilo1 Car"/>
    <w:link w:val="Estilo1"/>
    <w:rsid w:val="000D18D5"/>
    <w:rPr>
      <w:rFonts w:ascii="Verdana" w:eastAsia="Calibri" w:hAnsi="Verdana" w:cs="Times New Roman"/>
      <w:sz w:val="20"/>
      <w:szCs w:val="20"/>
      <w:lang w:val="es-ES"/>
    </w:rPr>
  </w:style>
  <w:style w:type="paragraph" w:customStyle="1" w:styleId="Estilo2">
    <w:name w:val="Estilo2"/>
    <w:basedOn w:val="Normal"/>
    <w:link w:val="Estilo2Car"/>
    <w:qFormat/>
    <w:rsid w:val="000D18D5"/>
    <w:pPr>
      <w:tabs>
        <w:tab w:val="left" w:pos="567"/>
        <w:tab w:val="left" w:pos="1134"/>
        <w:tab w:val="num" w:pos="4767"/>
      </w:tabs>
      <w:spacing w:after="120"/>
      <w:ind w:firstLine="357"/>
    </w:pPr>
    <w:rPr>
      <w:rFonts w:eastAsia="Calibri" w:cs="Times New Roman"/>
      <w:szCs w:val="20"/>
      <w:lang w:val="es-ES" w:eastAsia="en-US"/>
    </w:rPr>
  </w:style>
  <w:style w:type="character" w:customStyle="1" w:styleId="Estilo2Car">
    <w:name w:val="Estilo2 Car"/>
    <w:basedOn w:val="DefaultParagraphFont"/>
    <w:link w:val="Estilo2"/>
    <w:rsid w:val="000D18D5"/>
    <w:rPr>
      <w:rFonts w:ascii="Verdana" w:eastAsia="Calibri" w:hAnsi="Verdana" w:cs="Times New Roman"/>
      <w:sz w:val="20"/>
      <w:szCs w:val="20"/>
      <w:lang w:val="es-ES"/>
    </w:rPr>
  </w:style>
  <w:style w:type="character" w:customStyle="1" w:styleId="Heading4Char">
    <w:name w:val="Heading 4 Char"/>
    <w:basedOn w:val="DefaultParagraphFont"/>
    <w:link w:val="Heading4"/>
    <w:uiPriority w:val="9"/>
    <w:rsid w:val="00D45BCA"/>
    <w:rPr>
      <w:rFonts w:ascii="Verdana" w:eastAsiaTheme="majorEastAsia" w:hAnsi="Verdana" w:cstheme="majorBidi"/>
      <w:bCs/>
      <w:i/>
      <w:iCs/>
      <w:spacing w:val="-4"/>
      <w:sz w:val="20"/>
      <w:szCs w:val="20"/>
      <w:lang w:val="es-ES_tradnl" w:eastAsia="es-ES"/>
    </w:rPr>
  </w:style>
  <w:style w:type="numbering" w:customStyle="1" w:styleId="NoList1">
    <w:name w:val="No List1"/>
    <w:next w:val="NoList"/>
    <w:uiPriority w:val="99"/>
    <w:semiHidden/>
    <w:unhideWhenUsed/>
    <w:rsid w:val="00B16E52"/>
  </w:style>
  <w:style w:type="table" w:styleId="TableGrid">
    <w:name w:val="Table Grid"/>
    <w:basedOn w:val="TableNormal"/>
    <w:uiPriority w:val="59"/>
    <w:rsid w:val="00B16E5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16E52"/>
    <w:pPr>
      <w:overflowPunct w:val="0"/>
      <w:autoSpaceDE w:val="0"/>
      <w:autoSpaceDN w:val="0"/>
      <w:adjustRightInd w:val="0"/>
      <w:ind w:right="-720"/>
      <w:textAlignment w:val="baseline"/>
    </w:pPr>
    <w:rPr>
      <w:rFonts w:ascii="Palatino" w:eastAsia="Times New Roman" w:hAnsi="Palatino" w:cs="Times New Roman"/>
      <w:sz w:val="24"/>
      <w:szCs w:val="20"/>
      <w:lang w:val="en-US"/>
    </w:rPr>
  </w:style>
  <w:style w:type="paragraph" w:styleId="BodyText">
    <w:name w:val="Body Text"/>
    <w:aliases w:val="Body Text Char Car Car Car Car Car Car Car Car Car Car Car Car Car,Body Text Char Car Car Car Car Car Car Car Car Car Car Car Car"/>
    <w:basedOn w:val="Normal"/>
    <w:link w:val="BodyTextChar"/>
    <w:rsid w:val="00B16E52"/>
    <w:rPr>
      <w:rFonts w:eastAsia="Times New Roman" w:cs="Times New Roman"/>
      <w:snapToGrid w:val="0"/>
      <w:szCs w:val="20"/>
      <w:lang w:val="en-US"/>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B16E52"/>
    <w:rPr>
      <w:rFonts w:ascii="Verdana" w:eastAsia="Times New Roman" w:hAnsi="Verdana" w:cs="Times New Roman"/>
      <w:snapToGrid w:val="0"/>
      <w:sz w:val="20"/>
      <w:szCs w:val="20"/>
      <w:lang w:eastAsia="es-ES"/>
    </w:rPr>
  </w:style>
  <w:style w:type="paragraph" w:customStyle="1" w:styleId="negritamayuscula">
    <w:name w:val="negrita mayuscula"/>
    <w:basedOn w:val="Normal"/>
    <w:rsid w:val="00B16E52"/>
    <w:pPr>
      <w:widowControl w:val="0"/>
      <w:tabs>
        <w:tab w:val="left" w:pos="1120"/>
      </w:tabs>
      <w:spacing w:line="360" w:lineRule="atLeast"/>
    </w:pPr>
    <w:rPr>
      <w:rFonts w:ascii="Garamond" w:eastAsia="Times New Roman" w:hAnsi="Garamond" w:cs="Times New Roman"/>
      <w:sz w:val="24"/>
      <w:szCs w:val="20"/>
      <w:lang w:eastAsia="en-US"/>
    </w:rPr>
  </w:style>
  <w:style w:type="paragraph" w:customStyle="1" w:styleId="Textoindependiente2">
    <w:name w:val="Texto independiente2"/>
    <w:basedOn w:val="Normal"/>
    <w:rsid w:val="00B16E52"/>
    <w:pPr>
      <w:widowControl w:val="0"/>
    </w:pPr>
    <w:rPr>
      <w:rFonts w:ascii="New York" w:eastAsia="Times New Roman" w:hAnsi="New York" w:cs="Times New Roman"/>
      <w:sz w:val="24"/>
      <w:szCs w:val="20"/>
      <w:lang w:eastAsia="en-US"/>
    </w:rPr>
  </w:style>
  <w:style w:type="character" w:customStyle="1" w:styleId="Refdenotaalpie1">
    <w:name w:val="Ref. de nota al pie1"/>
    <w:basedOn w:val="DefaultParagraphFont"/>
    <w:rsid w:val="00B16E52"/>
    <w:rPr>
      <w:sz w:val="20"/>
      <w:vertAlign w:val="superscript"/>
    </w:rPr>
  </w:style>
  <w:style w:type="character" w:customStyle="1" w:styleId="sf8bfa2bc">
    <w:name w:val="sf8bfa2bc"/>
    <w:basedOn w:val="DefaultParagraphFont"/>
    <w:rsid w:val="00B16E52"/>
  </w:style>
  <w:style w:type="character" w:customStyle="1" w:styleId="s45d7f35c">
    <w:name w:val="s45d7f35c"/>
    <w:basedOn w:val="DefaultParagraphFont"/>
    <w:rsid w:val="00B16E52"/>
  </w:style>
  <w:style w:type="paragraph" w:customStyle="1" w:styleId="Numberedparagraphs">
    <w:name w:val="Numbered paragraphs"/>
    <w:basedOn w:val="Normal"/>
    <w:qFormat/>
    <w:rsid w:val="00B16E52"/>
    <w:pPr>
      <w:numPr>
        <w:numId w:val="10"/>
      </w:numPr>
      <w:spacing w:after="200"/>
    </w:pPr>
    <w:rPr>
      <w:rFonts w:eastAsia="MS Mincho" w:cs="Times New Roman"/>
      <w:color w:val="000000"/>
      <w:szCs w:val="20"/>
      <w:lang w:eastAsia="en-US"/>
    </w:rPr>
  </w:style>
  <w:style w:type="paragraph" w:styleId="HTMLPreformatted">
    <w:name w:val="HTML Preformatted"/>
    <w:basedOn w:val="Normal"/>
    <w:link w:val="HTMLPreformattedChar"/>
    <w:uiPriority w:val="99"/>
    <w:semiHidden/>
    <w:unhideWhenUsed/>
    <w:rsid w:val="00B1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R" w:eastAsia="es-CR"/>
    </w:rPr>
  </w:style>
  <w:style w:type="character" w:customStyle="1" w:styleId="HTMLPreformattedChar">
    <w:name w:val="HTML Preformatted Char"/>
    <w:basedOn w:val="DefaultParagraphFont"/>
    <w:link w:val="HTMLPreformatted"/>
    <w:uiPriority w:val="99"/>
    <w:semiHidden/>
    <w:rsid w:val="00B16E52"/>
    <w:rPr>
      <w:rFonts w:ascii="Courier New" w:eastAsia="Times New Roman" w:hAnsi="Courier New" w:cs="Courier New"/>
      <w:sz w:val="20"/>
      <w:szCs w:val="20"/>
      <w:lang w:val="es-CR" w:eastAsia="es-CR"/>
    </w:rPr>
  </w:style>
  <w:style w:type="paragraph" w:styleId="Revision">
    <w:name w:val="Revision"/>
    <w:hidden/>
    <w:uiPriority w:val="99"/>
    <w:semiHidden/>
    <w:rsid w:val="00B16E52"/>
    <w:pPr>
      <w:spacing w:after="0" w:line="240" w:lineRule="auto"/>
    </w:pPr>
    <w:rPr>
      <w:rFonts w:ascii="Verdana" w:hAnsi="Verdana"/>
      <w:sz w:val="20"/>
      <w:lang w:val="es-CR"/>
    </w:rPr>
  </w:style>
  <w:style w:type="paragraph" w:customStyle="1" w:styleId="Default">
    <w:name w:val="Default"/>
    <w:rsid w:val="00B16E52"/>
    <w:pPr>
      <w:autoSpaceDE w:val="0"/>
      <w:autoSpaceDN w:val="0"/>
      <w:adjustRightInd w:val="0"/>
      <w:spacing w:after="0" w:line="240" w:lineRule="auto"/>
    </w:pPr>
    <w:rPr>
      <w:rFonts w:ascii="Arial" w:hAnsi="Arial" w:cs="Arial"/>
      <w:color w:val="000000"/>
      <w:sz w:val="24"/>
      <w:szCs w:val="24"/>
      <w:lang w:val="es-CR"/>
    </w:rPr>
  </w:style>
  <w:style w:type="paragraph" w:customStyle="1" w:styleId="JuPara">
    <w:name w:val="Ju_Para"/>
    <w:aliases w:val="Left,First line:  0 cm"/>
    <w:basedOn w:val="Normal"/>
    <w:link w:val="JuParaChar"/>
    <w:rsid w:val="00B16E52"/>
    <w:pPr>
      <w:suppressAutoHyphens/>
      <w:ind w:firstLine="284"/>
    </w:pPr>
    <w:rPr>
      <w:rFonts w:ascii="Times New Roman" w:eastAsia="Times New Roman" w:hAnsi="Times New Roman" w:cs="Times New Roman"/>
      <w:sz w:val="24"/>
      <w:szCs w:val="20"/>
      <w:lang w:val="en-GB" w:eastAsia="fr-FR"/>
    </w:rPr>
  </w:style>
  <w:style w:type="character" w:customStyle="1" w:styleId="JuParaChar">
    <w:name w:val="Ju_Para Char"/>
    <w:basedOn w:val="DefaultParagraphFont"/>
    <w:link w:val="JuPara"/>
    <w:rsid w:val="00B16E52"/>
    <w:rPr>
      <w:rFonts w:ascii="Times New Roman" w:eastAsia="Times New Roman" w:hAnsi="Times New Roman" w:cs="Times New Roman"/>
      <w:sz w:val="24"/>
      <w:szCs w:val="20"/>
      <w:lang w:val="en-GB" w:eastAsia="fr-FR"/>
    </w:rPr>
  </w:style>
  <w:style w:type="paragraph" w:styleId="EndnoteText">
    <w:name w:val="endnote text"/>
    <w:basedOn w:val="Normal"/>
    <w:link w:val="EndnoteTextChar"/>
    <w:uiPriority w:val="99"/>
    <w:semiHidden/>
    <w:unhideWhenUsed/>
    <w:rsid w:val="00B16E52"/>
    <w:rPr>
      <w:szCs w:val="20"/>
      <w:lang w:val="es-CR" w:eastAsia="en-US"/>
    </w:rPr>
  </w:style>
  <w:style w:type="character" w:customStyle="1" w:styleId="EndnoteTextChar">
    <w:name w:val="Endnote Text Char"/>
    <w:basedOn w:val="DefaultParagraphFont"/>
    <w:link w:val="EndnoteText"/>
    <w:uiPriority w:val="99"/>
    <w:semiHidden/>
    <w:rsid w:val="00B16E52"/>
    <w:rPr>
      <w:rFonts w:ascii="Verdana" w:hAnsi="Verdana"/>
      <w:sz w:val="20"/>
      <w:szCs w:val="20"/>
      <w:lang w:val="es-CR"/>
    </w:rPr>
  </w:style>
  <w:style w:type="character" w:styleId="EndnoteReference">
    <w:name w:val="endnote reference"/>
    <w:basedOn w:val="DefaultParagraphFont"/>
    <w:uiPriority w:val="99"/>
    <w:semiHidden/>
    <w:unhideWhenUsed/>
    <w:rsid w:val="00B16E52"/>
    <w:rPr>
      <w:vertAlign w:val="superscript"/>
    </w:rPr>
  </w:style>
  <w:style w:type="character" w:styleId="Emphasis">
    <w:name w:val="Emphasis"/>
    <w:uiPriority w:val="99"/>
    <w:qFormat/>
    <w:rsid w:val="00B16E52"/>
    <w:rPr>
      <w:i/>
      <w:iCs/>
    </w:rPr>
  </w:style>
  <w:style w:type="character" w:customStyle="1" w:styleId="FootnoteTextChar1">
    <w:name w:val="Footnote Text Char1"/>
    <w:aliases w:val="Footnote Text Char Char Char Char Char Char1,Footnote Text Char Char Char Char Char2,FA Fu Char1,Footnote reference Char1,Footnote Text Char Char Char Char2,NOTA AL PIE TESIS PUCP Char1,Footnote Text Cha Char1,FA Fußnotentext Char1"/>
    <w:basedOn w:val="DefaultParagraphFont"/>
    <w:uiPriority w:val="99"/>
    <w:locked/>
    <w:rsid w:val="00B16E52"/>
    <w:rPr>
      <w:rFonts w:cs="Times New Roman"/>
      <w:lang w:val="en-US" w:eastAsia="en-US" w:bidi="ar-SA"/>
    </w:rPr>
  </w:style>
  <w:style w:type="paragraph" w:customStyle="1" w:styleId="Prrafodelista2">
    <w:name w:val="Párrafo de lista2"/>
    <w:basedOn w:val="Normal"/>
    <w:uiPriority w:val="99"/>
    <w:rsid w:val="00221B79"/>
    <w:pPr>
      <w:ind w:left="720"/>
      <w:jc w:val="left"/>
    </w:pPr>
    <w:rPr>
      <w:rFonts w:eastAsia="MS Mincho" w:cs="Verdana"/>
      <w:szCs w:val="20"/>
      <w:lang w:eastAsia="en-US"/>
    </w:rPr>
  </w:style>
  <w:style w:type="paragraph" w:styleId="TOCHeading">
    <w:name w:val="TOC Heading"/>
    <w:basedOn w:val="Heading1"/>
    <w:next w:val="Normal"/>
    <w:uiPriority w:val="39"/>
    <w:unhideWhenUsed/>
    <w:qFormat/>
    <w:rsid w:val="00D07BB8"/>
    <w:pPr>
      <w:spacing w:before="480" w:line="276" w:lineRule="auto"/>
      <w:ind w:left="0"/>
      <w:jc w:val="left"/>
      <w:outlineLvl w:val="9"/>
    </w:pPr>
    <w:rPr>
      <w:rFonts w:asciiTheme="majorHAnsi" w:hAnsiTheme="majorHAnsi"/>
      <w:i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B2BE1"/>
    <w:pPr>
      <w:tabs>
        <w:tab w:val="right" w:leader="dot" w:pos="9849"/>
      </w:tabs>
      <w:spacing w:before="60" w:after="60"/>
    </w:pPr>
  </w:style>
  <w:style w:type="paragraph" w:styleId="TOC2">
    <w:name w:val="toc 2"/>
    <w:basedOn w:val="Normal"/>
    <w:next w:val="Normal"/>
    <w:autoRedefine/>
    <w:uiPriority w:val="39"/>
    <w:unhideWhenUsed/>
    <w:qFormat/>
    <w:rsid w:val="009918B0"/>
    <w:pPr>
      <w:tabs>
        <w:tab w:val="right" w:leader="dot" w:pos="9849"/>
      </w:tabs>
      <w:spacing w:before="60" w:after="60"/>
      <w:ind w:left="142"/>
    </w:pPr>
    <w:rPr>
      <w:bCs/>
      <w:iCs/>
      <w:noProof/>
      <w:spacing w:val="-4"/>
      <w:lang w:eastAsia="es-MX"/>
    </w:rPr>
  </w:style>
  <w:style w:type="paragraph" w:styleId="TOC3">
    <w:name w:val="toc 3"/>
    <w:basedOn w:val="Normal"/>
    <w:next w:val="Normal"/>
    <w:autoRedefine/>
    <w:uiPriority w:val="39"/>
    <w:unhideWhenUsed/>
    <w:qFormat/>
    <w:rsid w:val="00D07BB8"/>
    <w:pPr>
      <w:spacing w:after="100"/>
      <w:ind w:left="400"/>
    </w:pPr>
  </w:style>
  <w:style w:type="paragraph" w:styleId="Subtitle">
    <w:name w:val="Subtitle"/>
    <w:basedOn w:val="Heading1"/>
    <w:next w:val="Normal"/>
    <w:link w:val="SubtitleChar"/>
    <w:uiPriority w:val="11"/>
    <w:qFormat/>
    <w:rsid w:val="003D2602"/>
    <w:pPr>
      <w:ind w:left="426"/>
    </w:pPr>
    <w:rPr>
      <w:spacing w:val="-4"/>
      <w:u w:val="single"/>
    </w:rPr>
  </w:style>
  <w:style w:type="character" w:customStyle="1" w:styleId="SubtitleChar">
    <w:name w:val="Subtitle Char"/>
    <w:basedOn w:val="DefaultParagraphFont"/>
    <w:link w:val="Subtitle"/>
    <w:uiPriority w:val="11"/>
    <w:rsid w:val="003D2602"/>
    <w:rPr>
      <w:rFonts w:ascii="Verdana" w:eastAsiaTheme="majorEastAsia" w:hAnsi="Verdana" w:cstheme="majorBidi"/>
      <w:b/>
      <w:bCs/>
      <w:i/>
      <w:spacing w:val="-4"/>
      <w:sz w:val="20"/>
      <w:szCs w:val="20"/>
      <w:u w:val="single"/>
      <w:lang w:val="es-ES_tradnl" w:eastAsia="es-ES"/>
    </w:rPr>
  </w:style>
  <w:style w:type="paragraph" w:styleId="TOC4">
    <w:name w:val="toc 4"/>
    <w:basedOn w:val="Normal"/>
    <w:next w:val="Normal"/>
    <w:autoRedefine/>
    <w:uiPriority w:val="39"/>
    <w:unhideWhenUsed/>
    <w:rsid w:val="00CC2DE8"/>
    <w:pPr>
      <w:tabs>
        <w:tab w:val="right" w:leader="dot" w:pos="9849"/>
      </w:tabs>
      <w:spacing w:before="60" w:after="60"/>
      <w:ind w:left="660"/>
      <w:jc w:val="left"/>
    </w:pPr>
    <w:rPr>
      <w:rFonts w:asciiTheme="minorHAnsi" w:eastAsiaTheme="minorEastAsia" w:hAnsiTheme="minorHAnsi"/>
      <w:sz w:val="22"/>
      <w:lang w:val="es-CR" w:eastAsia="es-CR"/>
    </w:rPr>
  </w:style>
  <w:style w:type="paragraph" w:styleId="TOC5">
    <w:name w:val="toc 5"/>
    <w:basedOn w:val="Normal"/>
    <w:next w:val="Normal"/>
    <w:autoRedefine/>
    <w:uiPriority w:val="39"/>
    <w:unhideWhenUsed/>
    <w:rsid w:val="0059022D"/>
    <w:pPr>
      <w:spacing w:after="100" w:line="276" w:lineRule="auto"/>
      <w:ind w:left="880"/>
      <w:jc w:val="left"/>
    </w:pPr>
    <w:rPr>
      <w:rFonts w:asciiTheme="minorHAnsi" w:eastAsiaTheme="minorEastAsia" w:hAnsiTheme="minorHAnsi"/>
      <w:sz w:val="22"/>
      <w:lang w:val="es-CR" w:eastAsia="es-CR"/>
    </w:rPr>
  </w:style>
  <w:style w:type="paragraph" w:styleId="TOC6">
    <w:name w:val="toc 6"/>
    <w:basedOn w:val="Normal"/>
    <w:next w:val="Normal"/>
    <w:autoRedefine/>
    <w:uiPriority w:val="39"/>
    <w:unhideWhenUsed/>
    <w:rsid w:val="0059022D"/>
    <w:pPr>
      <w:spacing w:after="100" w:line="276" w:lineRule="auto"/>
      <w:ind w:left="1100"/>
      <w:jc w:val="left"/>
    </w:pPr>
    <w:rPr>
      <w:rFonts w:asciiTheme="minorHAnsi" w:eastAsiaTheme="minorEastAsia" w:hAnsiTheme="minorHAnsi"/>
      <w:sz w:val="22"/>
      <w:lang w:val="es-CR" w:eastAsia="es-CR"/>
    </w:rPr>
  </w:style>
  <w:style w:type="paragraph" w:styleId="TOC7">
    <w:name w:val="toc 7"/>
    <w:basedOn w:val="Normal"/>
    <w:next w:val="Normal"/>
    <w:autoRedefine/>
    <w:uiPriority w:val="39"/>
    <w:unhideWhenUsed/>
    <w:rsid w:val="0059022D"/>
    <w:pPr>
      <w:spacing w:after="100" w:line="276" w:lineRule="auto"/>
      <w:ind w:left="1320"/>
      <w:jc w:val="left"/>
    </w:pPr>
    <w:rPr>
      <w:rFonts w:asciiTheme="minorHAnsi" w:eastAsiaTheme="minorEastAsia" w:hAnsiTheme="minorHAnsi"/>
      <w:sz w:val="22"/>
      <w:lang w:val="es-CR" w:eastAsia="es-CR"/>
    </w:rPr>
  </w:style>
  <w:style w:type="paragraph" w:styleId="TOC8">
    <w:name w:val="toc 8"/>
    <w:basedOn w:val="Normal"/>
    <w:next w:val="Normal"/>
    <w:autoRedefine/>
    <w:uiPriority w:val="39"/>
    <w:unhideWhenUsed/>
    <w:rsid w:val="0059022D"/>
    <w:pPr>
      <w:spacing w:after="100" w:line="276" w:lineRule="auto"/>
      <w:ind w:left="1540"/>
      <w:jc w:val="left"/>
    </w:pPr>
    <w:rPr>
      <w:rFonts w:asciiTheme="minorHAnsi" w:eastAsiaTheme="minorEastAsia" w:hAnsiTheme="minorHAnsi"/>
      <w:sz w:val="22"/>
      <w:lang w:val="es-CR" w:eastAsia="es-CR"/>
    </w:rPr>
  </w:style>
  <w:style w:type="paragraph" w:styleId="TOC9">
    <w:name w:val="toc 9"/>
    <w:basedOn w:val="Normal"/>
    <w:next w:val="Normal"/>
    <w:autoRedefine/>
    <w:uiPriority w:val="39"/>
    <w:unhideWhenUsed/>
    <w:rsid w:val="0059022D"/>
    <w:pPr>
      <w:spacing w:after="100" w:line="276" w:lineRule="auto"/>
      <w:ind w:left="1760"/>
      <w:jc w:val="left"/>
    </w:pPr>
    <w:rPr>
      <w:rFonts w:asciiTheme="minorHAnsi" w:eastAsiaTheme="minorEastAsia" w:hAnsiTheme="minorHAnsi"/>
      <w:sz w:val="22"/>
      <w:lang w:val="es-CR" w:eastAsia="es-CR"/>
    </w:rPr>
  </w:style>
  <w:style w:type="character" w:styleId="LineNumber">
    <w:name w:val="line number"/>
    <w:basedOn w:val="DefaultParagraphFont"/>
    <w:uiPriority w:val="99"/>
    <w:semiHidden/>
    <w:unhideWhenUsed/>
    <w:rsid w:val="00031E98"/>
  </w:style>
  <w:style w:type="character" w:customStyle="1" w:styleId="style31">
    <w:name w:val="style31"/>
    <w:basedOn w:val="DefaultParagraphFont"/>
    <w:rsid w:val="00B04A1B"/>
  </w:style>
  <w:style w:type="character" w:customStyle="1" w:styleId="sfbbfee58">
    <w:name w:val="sfbbfee58"/>
    <w:basedOn w:val="DefaultParagraphFont"/>
    <w:rsid w:val="00442D7D"/>
  </w:style>
  <w:style w:type="character" w:customStyle="1" w:styleId="sf1c7242d">
    <w:name w:val="sf1c7242d"/>
    <w:basedOn w:val="DefaultParagraphFont"/>
    <w:rsid w:val="005E60F5"/>
  </w:style>
  <w:style w:type="paragraph" w:customStyle="1" w:styleId="s5891fd46">
    <w:name w:val="s5891fd46"/>
    <w:basedOn w:val="Normal"/>
    <w:rsid w:val="004B751B"/>
    <w:pPr>
      <w:spacing w:before="100" w:beforeAutospacing="1" w:after="100" w:afterAutospacing="1"/>
      <w:jc w:val="left"/>
    </w:pPr>
    <w:rPr>
      <w:rFonts w:ascii="Times New Roman" w:eastAsia="Times New Roman" w:hAnsi="Times New Roman" w:cs="Times New Roman"/>
      <w:sz w:val="24"/>
      <w:szCs w:val="24"/>
      <w:lang w:val="es-CR" w:eastAsia="es-C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6"/>
    <w:pPr>
      <w:spacing w:after="0" w:line="240" w:lineRule="auto"/>
      <w:jc w:val="both"/>
    </w:pPr>
    <w:rPr>
      <w:rFonts w:ascii="Verdana" w:hAnsi="Verdana"/>
      <w:sz w:val="20"/>
      <w:lang w:val="es-ES_tradnl" w:eastAsia="es-ES"/>
    </w:rPr>
  </w:style>
  <w:style w:type="paragraph" w:styleId="Heading1">
    <w:name w:val="heading 1"/>
    <w:aliases w:val="Título Verdana"/>
    <w:basedOn w:val="Normal"/>
    <w:next w:val="Normal"/>
    <w:link w:val="Heading1Char"/>
    <w:uiPriority w:val="9"/>
    <w:qFormat/>
    <w:rsid w:val="008418CA"/>
    <w:pPr>
      <w:keepNext/>
      <w:keepLines/>
      <w:ind w:left="720"/>
      <w:outlineLvl w:val="0"/>
    </w:pPr>
    <w:rPr>
      <w:rFonts w:eastAsiaTheme="majorEastAsia" w:cstheme="majorBidi"/>
      <w:b/>
      <w:bCs/>
      <w:i/>
      <w:szCs w:val="20"/>
    </w:rPr>
  </w:style>
  <w:style w:type="paragraph" w:styleId="Heading2">
    <w:name w:val="heading 2"/>
    <w:basedOn w:val="Normal"/>
    <w:next w:val="Normal"/>
    <w:link w:val="Heading2Char"/>
    <w:uiPriority w:val="9"/>
    <w:unhideWhenUsed/>
    <w:qFormat/>
    <w:rsid w:val="00A83878"/>
    <w:pPr>
      <w:ind w:left="720" w:firstLine="720"/>
      <w:outlineLvl w:val="1"/>
    </w:pPr>
    <w:rPr>
      <w:b/>
    </w:rPr>
  </w:style>
  <w:style w:type="paragraph" w:styleId="Heading3">
    <w:name w:val="heading 3"/>
    <w:basedOn w:val="Normal"/>
    <w:next w:val="Normal"/>
    <w:link w:val="Heading3Char"/>
    <w:uiPriority w:val="9"/>
    <w:unhideWhenUsed/>
    <w:qFormat/>
    <w:rsid w:val="000052EF"/>
    <w:pPr>
      <w:ind w:left="720" w:firstLine="720"/>
      <w:outlineLvl w:val="2"/>
    </w:pPr>
    <w:rPr>
      <w:u w:val="single"/>
    </w:rPr>
  </w:style>
  <w:style w:type="paragraph" w:styleId="Heading4">
    <w:name w:val="heading 4"/>
    <w:basedOn w:val="Normal"/>
    <w:next w:val="Normal"/>
    <w:link w:val="Heading4Char"/>
    <w:uiPriority w:val="9"/>
    <w:unhideWhenUsed/>
    <w:qFormat/>
    <w:rsid w:val="00D45BCA"/>
    <w:pPr>
      <w:keepNext/>
      <w:keepLines/>
      <w:ind w:left="2160"/>
      <w:outlineLvl w:val="3"/>
    </w:pPr>
    <w:rPr>
      <w:rFonts w:eastAsiaTheme="majorEastAsia" w:cstheme="majorBidi"/>
      <w:bCs/>
      <w:i/>
      <w:iCs/>
      <w:spacing w:val="-4"/>
      <w:szCs w:val="20"/>
    </w:rPr>
  </w:style>
  <w:style w:type="paragraph" w:styleId="Heading5">
    <w:name w:val="heading 5"/>
    <w:basedOn w:val="Normal"/>
    <w:next w:val="Normal"/>
    <w:link w:val="Heading5Char"/>
    <w:uiPriority w:val="9"/>
    <w:semiHidden/>
    <w:unhideWhenUsed/>
    <w:qFormat/>
    <w:rsid w:val="009D230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iPriority w:val="9"/>
    <w:unhideWhenUsed/>
    <w:qFormat/>
    <w:rsid w:val="009D230F"/>
    <w:pPr>
      <w:keepNext w:val="0"/>
      <w:keepLines w:val="0"/>
      <w:numPr>
        <w:ilvl w:val="4"/>
        <w:numId w:val="1"/>
      </w:numPr>
      <w:spacing w:before="0"/>
      <w:outlineLvl w:val="5"/>
    </w:pPr>
    <w:rPr>
      <w:rFonts w:ascii="Verdana" w:eastAsia="Times New Roman" w:hAnsi="Verdana" w:cs="Times New Roman"/>
      <w:color w:val="auto"/>
      <w:spacing w:val="-2"/>
      <w:szCs w:val="20"/>
      <w:lang w:eastAsia="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9D230F"/>
    <w:rPr>
      <w:rFonts w:ascii="Verdana" w:eastAsia="Times New Roman" w:hAnsi="Verdana" w:cs="Times New Roman"/>
      <w:spacing w:val="-2"/>
      <w:sz w:val="20"/>
      <w:szCs w:val="20"/>
      <w:lang w:val="es-ES_tradnl" w:eastAsia="es-CR"/>
    </w:rPr>
  </w:style>
  <w:style w:type="character" w:styleId="FootnoteReference">
    <w:name w:val="footnote reference"/>
    <w:aliases w:val="Appel note de bas de page,Footnotes refss,Footnote number,referencia nota al pie,BVI fnr,f,4_G,16 Point,Superscript 6 Point,Texto nota al pie,Footnote Reference Char3,Footnote Reference Char1 Char,Ref. de nota al,Ref. de nota al pi"/>
    <w:qFormat/>
    <w:rsid w:val="009D230F"/>
    <w:rPr>
      <w:vertAlign w:val="superscript"/>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Ca,FA Fu?notentext,C,ft"/>
    <w:basedOn w:val="Normal"/>
    <w:link w:val="FootnoteTextChar"/>
    <w:uiPriority w:val="99"/>
    <w:qFormat/>
    <w:rsid w:val="009D230F"/>
    <w:pPr>
      <w:widowControl w:val="0"/>
      <w:tabs>
        <w:tab w:val="left" w:pos="567"/>
      </w:tabs>
      <w:adjustRightInd w:val="0"/>
      <w:textAlignment w:val="baseline"/>
    </w:pPr>
    <w:rPr>
      <w:rFonts w:eastAsia="Times New Roman" w:cs="Verdana"/>
      <w:bCs/>
      <w:sz w:val="16"/>
      <w:szCs w:val="16"/>
      <w:lang w:eastAsia="es-CR"/>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C Char"/>
    <w:basedOn w:val="DefaultParagraphFont"/>
    <w:link w:val="FootnoteText"/>
    <w:uiPriority w:val="99"/>
    <w:rsid w:val="009D230F"/>
    <w:rPr>
      <w:rFonts w:ascii="Verdana" w:eastAsia="Times New Roman" w:hAnsi="Verdana" w:cs="Verdana"/>
      <w:bCs/>
      <w:sz w:val="16"/>
      <w:szCs w:val="16"/>
      <w:lang w:val="es-ES_tradnl" w:eastAsia="es-CR"/>
    </w:rPr>
  </w:style>
  <w:style w:type="character" w:styleId="Hyperlink">
    <w:name w:val="Hyperlink"/>
    <w:uiPriority w:val="99"/>
    <w:rsid w:val="009D230F"/>
    <w:rPr>
      <w:color w:val="0000FF"/>
      <w:u w:val="single"/>
    </w:rPr>
  </w:style>
  <w:style w:type="character" w:styleId="CommentReference">
    <w:name w:val="annotation reference"/>
    <w:basedOn w:val="DefaultParagraphFont"/>
    <w:uiPriority w:val="99"/>
    <w:unhideWhenUsed/>
    <w:rsid w:val="009D230F"/>
    <w:rPr>
      <w:sz w:val="16"/>
      <w:szCs w:val="16"/>
    </w:rPr>
  </w:style>
  <w:style w:type="paragraph" w:styleId="CommentText">
    <w:name w:val="annotation text"/>
    <w:basedOn w:val="Normal"/>
    <w:link w:val="CommentTextChar"/>
    <w:uiPriority w:val="99"/>
    <w:unhideWhenUsed/>
    <w:rsid w:val="009D230F"/>
    <w:rPr>
      <w:szCs w:val="20"/>
    </w:rPr>
  </w:style>
  <w:style w:type="character" w:customStyle="1" w:styleId="CommentTextChar">
    <w:name w:val="Comment Text Char"/>
    <w:basedOn w:val="DefaultParagraphFont"/>
    <w:link w:val="CommentText"/>
    <w:uiPriority w:val="99"/>
    <w:rsid w:val="009D230F"/>
    <w:rPr>
      <w:rFonts w:ascii="Verdana" w:hAnsi="Verdana"/>
      <w:sz w:val="20"/>
      <w:szCs w:val="20"/>
      <w:lang w:val="es-CR"/>
    </w:rPr>
  </w:style>
  <w:style w:type="paragraph" w:customStyle="1" w:styleId="Footnotes">
    <w:name w:val="**. Footnotes"/>
    <w:basedOn w:val="FootnoteText"/>
    <w:link w:val="FootnotesChar"/>
    <w:qFormat/>
    <w:rsid w:val="008F1FC8"/>
    <w:pPr>
      <w:widowControl/>
      <w:tabs>
        <w:tab w:val="clear" w:pos="567"/>
        <w:tab w:val="left" w:pos="426"/>
      </w:tabs>
      <w:adjustRightInd/>
      <w:spacing w:after="120"/>
      <w:textAlignment w:val="auto"/>
    </w:pPr>
    <w:rPr>
      <w:rFonts w:cs="Palatino-Italic"/>
      <w:bCs w:val="0"/>
      <w:iCs/>
      <w:szCs w:val="18"/>
      <w:lang w:val="es-ES" w:eastAsia="en-US" w:bidi="en-US"/>
    </w:rPr>
  </w:style>
  <w:style w:type="character" w:customStyle="1" w:styleId="FootnotesChar">
    <w:name w:val="**. Footnotes Char"/>
    <w:basedOn w:val="DefaultParagraphFont"/>
    <w:link w:val="Footnotes"/>
    <w:rsid w:val="008F1FC8"/>
    <w:rPr>
      <w:rFonts w:ascii="Verdana" w:eastAsia="Times New Roman" w:hAnsi="Verdana" w:cs="Palatino-Italic"/>
      <w:iCs/>
      <w:sz w:val="16"/>
      <w:szCs w:val="18"/>
      <w:lang w:val="es-ES" w:bidi="en-US"/>
    </w:rPr>
  </w:style>
  <w:style w:type="character" w:customStyle="1" w:styleId="Heading5Char">
    <w:name w:val="Heading 5 Char"/>
    <w:basedOn w:val="DefaultParagraphFont"/>
    <w:link w:val="Heading5"/>
    <w:uiPriority w:val="9"/>
    <w:semiHidden/>
    <w:rsid w:val="009D230F"/>
    <w:rPr>
      <w:rFonts w:asciiTheme="majorHAnsi" w:eastAsiaTheme="majorEastAsia" w:hAnsiTheme="majorHAnsi" w:cstheme="majorBidi"/>
      <w:color w:val="243F60" w:themeColor="accent1" w:themeShade="7F"/>
      <w:sz w:val="20"/>
      <w:lang w:val="es-CR"/>
    </w:rPr>
  </w:style>
  <w:style w:type="paragraph" w:styleId="BalloonText">
    <w:name w:val="Balloon Text"/>
    <w:basedOn w:val="Normal"/>
    <w:link w:val="BalloonTextChar"/>
    <w:uiPriority w:val="99"/>
    <w:semiHidden/>
    <w:unhideWhenUsed/>
    <w:rsid w:val="009D230F"/>
    <w:rPr>
      <w:rFonts w:ascii="Tahoma" w:hAnsi="Tahoma" w:cs="Tahoma"/>
      <w:sz w:val="16"/>
      <w:szCs w:val="16"/>
    </w:rPr>
  </w:style>
  <w:style w:type="character" w:customStyle="1" w:styleId="BalloonTextChar">
    <w:name w:val="Balloon Text Char"/>
    <w:basedOn w:val="DefaultParagraphFont"/>
    <w:link w:val="BalloonText"/>
    <w:uiPriority w:val="99"/>
    <w:semiHidden/>
    <w:rsid w:val="009D230F"/>
    <w:rPr>
      <w:rFonts w:ascii="Tahoma" w:hAnsi="Tahoma" w:cs="Tahoma"/>
      <w:sz w:val="16"/>
      <w:szCs w:val="16"/>
      <w:lang w:val="es-CR"/>
    </w:rPr>
  </w:style>
  <w:style w:type="paragraph" w:styleId="ListParagraph">
    <w:name w:val="List Paragraph"/>
    <w:aliases w:val="Footnote,List Paragraph1,Colorful List - Accent 11,Párrafo de lista1"/>
    <w:basedOn w:val="Normal"/>
    <w:link w:val="ListParagraphChar"/>
    <w:uiPriority w:val="34"/>
    <w:qFormat/>
    <w:rsid w:val="00BC23BE"/>
    <w:pPr>
      <w:ind w:left="720"/>
      <w:contextualSpacing/>
    </w:pPr>
  </w:style>
  <w:style w:type="character" w:customStyle="1" w:styleId="Heading1Char">
    <w:name w:val="Heading 1 Char"/>
    <w:aliases w:val="Título Verdana Char"/>
    <w:basedOn w:val="DefaultParagraphFont"/>
    <w:link w:val="Heading1"/>
    <w:uiPriority w:val="9"/>
    <w:rsid w:val="008418CA"/>
    <w:rPr>
      <w:rFonts w:ascii="Verdana" w:eastAsiaTheme="majorEastAsia" w:hAnsi="Verdana" w:cstheme="majorBidi"/>
      <w:b/>
      <w:bCs/>
      <w:i/>
      <w:sz w:val="20"/>
      <w:szCs w:val="20"/>
      <w:lang w:val="es-ES_tradnl" w:eastAsia="es-ES"/>
    </w:rPr>
  </w:style>
  <w:style w:type="paragraph" w:styleId="Title">
    <w:name w:val="Title"/>
    <w:basedOn w:val="Normal"/>
    <w:next w:val="Normal"/>
    <w:link w:val="TitleChar"/>
    <w:uiPriority w:val="10"/>
    <w:qFormat/>
    <w:rsid w:val="003D2602"/>
    <w:pPr>
      <w:tabs>
        <w:tab w:val="left" w:pos="567"/>
      </w:tabs>
      <w:jc w:val="center"/>
      <w:outlineLvl w:val="0"/>
    </w:pPr>
    <w:rPr>
      <w:b/>
      <w:spacing w:val="-4"/>
      <w:szCs w:val="20"/>
    </w:rPr>
  </w:style>
  <w:style w:type="character" w:customStyle="1" w:styleId="TitleChar">
    <w:name w:val="Title Char"/>
    <w:basedOn w:val="DefaultParagraphFont"/>
    <w:link w:val="Title"/>
    <w:uiPriority w:val="10"/>
    <w:rsid w:val="003D2602"/>
    <w:rPr>
      <w:rFonts w:ascii="Verdana" w:hAnsi="Verdana"/>
      <w:b/>
      <w:spacing w:val="-4"/>
      <w:sz w:val="20"/>
      <w:szCs w:val="20"/>
      <w:lang w:val="es-ES_tradnl" w:eastAsia="es-ES"/>
    </w:rPr>
  </w:style>
  <w:style w:type="character" w:customStyle="1" w:styleId="Heading2Char">
    <w:name w:val="Heading 2 Char"/>
    <w:basedOn w:val="DefaultParagraphFont"/>
    <w:link w:val="Heading2"/>
    <w:uiPriority w:val="9"/>
    <w:rsid w:val="00A83878"/>
    <w:rPr>
      <w:rFonts w:ascii="Verdana" w:hAnsi="Verdana"/>
      <w:b/>
      <w:sz w:val="20"/>
      <w:lang w:val="es-ES_tradnl" w:eastAsia="es-ES"/>
    </w:rPr>
  </w:style>
  <w:style w:type="character" w:customStyle="1" w:styleId="Heading3Char">
    <w:name w:val="Heading 3 Char"/>
    <w:basedOn w:val="DefaultParagraphFont"/>
    <w:link w:val="Heading3"/>
    <w:uiPriority w:val="9"/>
    <w:rsid w:val="000052EF"/>
    <w:rPr>
      <w:rFonts w:ascii="Verdana" w:hAnsi="Verdana"/>
      <w:sz w:val="20"/>
      <w:u w:val="single"/>
      <w:lang w:val="es-ES_tradnl" w:eastAsia="es-ES"/>
    </w:rPr>
  </w:style>
  <w:style w:type="paragraph" w:styleId="CommentSubject">
    <w:name w:val="annotation subject"/>
    <w:basedOn w:val="CommentText"/>
    <w:next w:val="CommentText"/>
    <w:link w:val="CommentSubjectChar"/>
    <w:uiPriority w:val="99"/>
    <w:semiHidden/>
    <w:unhideWhenUsed/>
    <w:rsid w:val="00DC2DB2"/>
    <w:rPr>
      <w:b/>
      <w:bCs/>
    </w:rPr>
  </w:style>
  <w:style w:type="character" w:customStyle="1" w:styleId="CommentSubjectChar">
    <w:name w:val="Comment Subject Char"/>
    <w:basedOn w:val="CommentTextChar"/>
    <w:link w:val="CommentSubject"/>
    <w:uiPriority w:val="99"/>
    <w:semiHidden/>
    <w:rsid w:val="00DC2DB2"/>
    <w:rPr>
      <w:rFonts w:ascii="Verdana" w:hAnsi="Verdana"/>
      <w:b/>
      <w:bCs/>
      <w:sz w:val="20"/>
      <w:szCs w:val="20"/>
      <w:lang w:val="es-ES_tradnl" w:eastAsia="es-ES"/>
    </w:rPr>
  </w:style>
  <w:style w:type="character" w:customStyle="1" w:styleId="ListParagraphChar">
    <w:name w:val="List Paragraph Char"/>
    <w:aliases w:val="Footnote Char,List Paragraph1 Char,Colorful List - Accent 11 Char,Párrafo de lista1 Char"/>
    <w:basedOn w:val="DefaultParagraphFont"/>
    <w:link w:val="ListParagraph"/>
    <w:uiPriority w:val="34"/>
    <w:locked/>
    <w:rsid w:val="001A0D21"/>
    <w:rPr>
      <w:rFonts w:ascii="Verdana" w:hAnsi="Verdana"/>
      <w:sz w:val="20"/>
      <w:lang w:val="es-ES_tradnl" w:eastAsia="es-ES"/>
    </w:rPr>
  </w:style>
  <w:style w:type="paragraph" w:styleId="Header">
    <w:name w:val="header"/>
    <w:basedOn w:val="Normal"/>
    <w:link w:val="HeaderChar"/>
    <w:uiPriority w:val="99"/>
    <w:unhideWhenUsed/>
    <w:rsid w:val="00B86A64"/>
    <w:pPr>
      <w:tabs>
        <w:tab w:val="center" w:pos="4419"/>
        <w:tab w:val="right" w:pos="8838"/>
      </w:tabs>
    </w:pPr>
  </w:style>
  <w:style w:type="character" w:customStyle="1" w:styleId="HeaderChar">
    <w:name w:val="Header Char"/>
    <w:basedOn w:val="DefaultParagraphFont"/>
    <w:link w:val="Header"/>
    <w:uiPriority w:val="99"/>
    <w:rsid w:val="00B86A64"/>
    <w:rPr>
      <w:rFonts w:ascii="Verdana" w:hAnsi="Verdana"/>
      <w:sz w:val="20"/>
      <w:lang w:val="es-ES_tradnl" w:eastAsia="es-ES"/>
    </w:rPr>
  </w:style>
  <w:style w:type="paragraph" w:styleId="Footer">
    <w:name w:val="footer"/>
    <w:basedOn w:val="Normal"/>
    <w:link w:val="FooterChar"/>
    <w:uiPriority w:val="99"/>
    <w:unhideWhenUsed/>
    <w:rsid w:val="00B86A64"/>
    <w:pPr>
      <w:tabs>
        <w:tab w:val="center" w:pos="4419"/>
        <w:tab w:val="right" w:pos="8838"/>
      </w:tabs>
    </w:pPr>
  </w:style>
  <w:style w:type="character" w:customStyle="1" w:styleId="FooterChar">
    <w:name w:val="Footer Char"/>
    <w:basedOn w:val="DefaultParagraphFont"/>
    <w:link w:val="Footer"/>
    <w:uiPriority w:val="99"/>
    <w:rsid w:val="00B86A64"/>
    <w:rPr>
      <w:rFonts w:ascii="Verdana" w:hAnsi="Verdana"/>
      <w:sz w:val="20"/>
      <w:lang w:val="es-ES_tradnl" w:eastAsia="es-ES"/>
    </w:rPr>
  </w:style>
  <w:style w:type="paragraph" w:customStyle="1" w:styleId="PrrafodeSentencia">
    <w:name w:val="*. Párrafo de Sentencia"/>
    <w:basedOn w:val="ListParagraph"/>
    <w:link w:val="PrrafodeSentenciaChar"/>
    <w:qFormat/>
    <w:rsid w:val="00B00C59"/>
    <w:pPr>
      <w:numPr>
        <w:numId w:val="2"/>
      </w:numPr>
      <w:tabs>
        <w:tab w:val="clear" w:pos="657"/>
        <w:tab w:val="num" w:pos="567"/>
      </w:tabs>
      <w:ind w:left="0"/>
      <w:contextualSpacing w:val="0"/>
    </w:pPr>
    <w:rPr>
      <w:rFonts w:eastAsia="Batang" w:cs="Times New Roman"/>
      <w:spacing w:val="-4"/>
      <w:szCs w:val="20"/>
      <w:lang w:val="es-MX" w:eastAsia="es-MX"/>
    </w:rPr>
  </w:style>
  <w:style w:type="character" w:customStyle="1" w:styleId="PrrafodeSentenciaChar">
    <w:name w:val="*. Párrafo de Sentencia Char"/>
    <w:basedOn w:val="DefaultParagraphFont"/>
    <w:link w:val="PrrafodeSentencia"/>
    <w:rsid w:val="00B00C59"/>
    <w:rPr>
      <w:rFonts w:ascii="Verdana" w:eastAsia="Batang" w:hAnsi="Verdana" w:cs="Times New Roman"/>
      <w:spacing w:val="-4"/>
      <w:sz w:val="20"/>
      <w:szCs w:val="20"/>
      <w:lang w:val="es-MX" w:eastAsia="es-MX"/>
    </w:rPr>
  </w:style>
  <w:style w:type="character" w:customStyle="1" w:styleId="eacep">
    <w:name w:val="eacep"/>
    <w:basedOn w:val="DefaultParagraphFont"/>
    <w:rsid w:val="00F17E85"/>
    <w:rPr>
      <w:rFonts w:cs="Times New Roman"/>
    </w:rPr>
  </w:style>
  <w:style w:type="character" w:styleId="Strong">
    <w:name w:val="Strong"/>
    <w:basedOn w:val="DefaultParagraphFont"/>
    <w:uiPriority w:val="22"/>
    <w:qFormat/>
    <w:rsid w:val="00C1118D"/>
    <w:rPr>
      <w:b/>
      <w:bCs/>
    </w:rPr>
  </w:style>
  <w:style w:type="character" w:customStyle="1" w:styleId="st">
    <w:name w:val="st"/>
    <w:basedOn w:val="DefaultParagraphFont"/>
    <w:rsid w:val="004E1D7E"/>
  </w:style>
  <w:style w:type="paragraph" w:styleId="BodyText2">
    <w:name w:val="Body Text 2"/>
    <w:basedOn w:val="Normal"/>
    <w:link w:val="BodyText2Char"/>
    <w:uiPriority w:val="99"/>
    <w:unhideWhenUsed/>
    <w:rsid w:val="000E530E"/>
    <w:pPr>
      <w:spacing w:after="120" w:line="480" w:lineRule="auto"/>
    </w:pPr>
  </w:style>
  <w:style w:type="character" w:customStyle="1" w:styleId="BodyText2Char">
    <w:name w:val="Body Text 2 Char"/>
    <w:basedOn w:val="DefaultParagraphFont"/>
    <w:link w:val="BodyText2"/>
    <w:uiPriority w:val="99"/>
    <w:rsid w:val="000E530E"/>
    <w:rPr>
      <w:rFonts w:ascii="Verdana" w:hAnsi="Verdana"/>
      <w:sz w:val="20"/>
      <w:lang w:val="es-ES_tradnl" w:eastAsia="es-ES"/>
    </w:rPr>
  </w:style>
  <w:style w:type="paragraph" w:styleId="DocumentMap">
    <w:name w:val="Document Map"/>
    <w:basedOn w:val="Normal"/>
    <w:link w:val="DocumentMapChar"/>
    <w:uiPriority w:val="99"/>
    <w:semiHidden/>
    <w:unhideWhenUsed/>
    <w:rsid w:val="00EB2027"/>
    <w:rPr>
      <w:rFonts w:ascii="Tahoma" w:hAnsi="Tahoma" w:cs="Tahoma"/>
      <w:sz w:val="16"/>
      <w:szCs w:val="16"/>
    </w:rPr>
  </w:style>
  <w:style w:type="character" w:customStyle="1" w:styleId="DocumentMapChar">
    <w:name w:val="Document Map Char"/>
    <w:basedOn w:val="DefaultParagraphFont"/>
    <w:link w:val="DocumentMap"/>
    <w:uiPriority w:val="99"/>
    <w:semiHidden/>
    <w:rsid w:val="00EB2027"/>
    <w:rPr>
      <w:rFonts w:ascii="Tahoma" w:hAnsi="Tahoma" w:cs="Tahoma"/>
      <w:sz w:val="16"/>
      <w:szCs w:val="16"/>
      <w:lang w:val="es-ES_tradnl" w:eastAsia="es-ES"/>
    </w:rPr>
  </w:style>
  <w:style w:type="character" w:styleId="FollowedHyperlink">
    <w:name w:val="FollowedHyperlink"/>
    <w:basedOn w:val="DefaultParagraphFont"/>
    <w:uiPriority w:val="99"/>
    <w:semiHidden/>
    <w:unhideWhenUsed/>
    <w:rsid w:val="002009B8"/>
    <w:rPr>
      <w:color w:val="800080" w:themeColor="followedHyperlink"/>
      <w:u w:val="single"/>
    </w:rPr>
  </w:style>
  <w:style w:type="character" w:customStyle="1" w:styleId="sb8d990e2">
    <w:name w:val="sb8d990e2"/>
    <w:basedOn w:val="DefaultParagraphFont"/>
    <w:rsid w:val="001703EA"/>
  </w:style>
  <w:style w:type="character" w:customStyle="1" w:styleId="apple-converted-space">
    <w:name w:val="apple-converted-space"/>
    <w:basedOn w:val="DefaultParagraphFont"/>
    <w:rsid w:val="001703EA"/>
  </w:style>
  <w:style w:type="character" w:customStyle="1" w:styleId="s6b621b36">
    <w:name w:val="s6b621b36"/>
    <w:basedOn w:val="DefaultParagraphFont"/>
    <w:rsid w:val="001703EA"/>
  </w:style>
  <w:style w:type="character" w:customStyle="1" w:styleId="sea881cdf">
    <w:name w:val="sea881cdf"/>
    <w:basedOn w:val="DefaultParagraphFont"/>
    <w:rsid w:val="00D33EB1"/>
  </w:style>
  <w:style w:type="paragraph" w:customStyle="1" w:styleId="s30eec3f8">
    <w:name w:val="s30eec3f8"/>
    <w:basedOn w:val="Normal"/>
    <w:rsid w:val="000D18D5"/>
    <w:pPr>
      <w:spacing w:before="100" w:beforeAutospacing="1" w:after="100" w:afterAutospacing="1"/>
      <w:jc w:val="left"/>
    </w:pPr>
    <w:rPr>
      <w:rFonts w:ascii="Times New Roman" w:eastAsia="Times New Roman" w:hAnsi="Times New Roman" w:cs="Times New Roman"/>
      <w:b/>
      <w:sz w:val="24"/>
      <w:szCs w:val="24"/>
      <w:lang w:val="en-US" w:eastAsia="en-US"/>
    </w:rPr>
  </w:style>
  <w:style w:type="paragraph" w:styleId="NoSpacing">
    <w:name w:val="No Spacing"/>
    <w:uiPriority w:val="1"/>
    <w:qFormat/>
    <w:rsid w:val="000D18D5"/>
    <w:pPr>
      <w:spacing w:after="0" w:line="240" w:lineRule="auto"/>
    </w:pPr>
  </w:style>
  <w:style w:type="paragraph" w:styleId="NormalWeb">
    <w:name w:val="Normal (Web)"/>
    <w:basedOn w:val="Normal"/>
    <w:uiPriority w:val="99"/>
    <w:unhideWhenUsed/>
    <w:rsid w:val="000D18D5"/>
    <w:pPr>
      <w:spacing w:before="100" w:beforeAutospacing="1" w:after="100" w:afterAutospacing="1"/>
      <w:jc w:val="left"/>
    </w:pPr>
    <w:rPr>
      <w:rFonts w:ascii="Times New Roman" w:eastAsia="Times New Roman" w:hAnsi="Times New Roman" w:cs="Times New Roman"/>
      <w:sz w:val="24"/>
      <w:szCs w:val="24"/>
      <w:lang w:val="es-CR" w:eastAsia="es-CR"/>
    </w:rPr>
  </w:style>
  <w:style w:type="paragraph" w:customStyle="1" w:styleId="Estilo1">
    <w:name w:val="Estilo1"/>
    <w:basedOn w:val="Normal"/>
    <w:link w:val="Estilo1Car"/>
    <w:qFormat/>
    <w:rsid w:val="000D18D5"/>
    <w:pPr>
      <w:tabs>
        <w:tab w:val="left" w:pos="567"/>
        <w:tab w:val="left" w:pos="1134"/>
        <w:tab w:val="num" w:pos="16392"/>
      </w:tabs>
      <w:spacing w:after="120"/>
    </w:pPr>
    <w:rPr>
      <w:rFonts w:eastAsia="Calibri" w:cs="Times New Roman"/>
      <w:szCs w:val="20"/>
      <w:lang w:val="es-ES" w:eastAsia="en-US"/>
    </w:rPr>
  </w:style>
  <w:style w:type="character" w:customStyle="1" w:styleId="Estilo1Car">
    <w:name w:val="Estilo1 Car"/>
    <w:link w:val="Estilo1"/>
    <w:rsid w:val="000D18D5"/>
    <w:rPr>
      <w:rFonts w:ascii="Verdana" w:eastAsia="Calibri" w:hAnsi="Verdana" w:cs="Times New Roman"/>
      <w:sz w:val="20"/>
      <w:szCs w:val="20"/>
      <w:lang w:val="es-ES"/>
    </w:rPr>
  </w:style>
  <w:style w:type="paragraph" w:customStyle="1" w:styleId="Estilo2">
    <w:name w:val="Estilo2"/>
    <w:basedOn w:val="Normal"/>
    <w:link w:val="Estilo2Car"/>
    <w:qFormat/>
    <w:rsid w:val="000D18D5"/>
    <w:pPr>
      <w:tabs>
        <w:tab w:val="left" w:pos="567"/>
        <w:tab w:val="left" w:pos="1134"/>
        <w:tab w:val="num" w:pos="4767"/>
      </w:tabs>
      <w:spacing w:after="120"/>
      <w:ind w:firstLine="357"/>
    </w:pPr>
    <w:rPr>
      <w:rFonts w:eastAsia="Calibri" w:cs="Times New Roman"/>
      <w:szCs w:val="20"/>
      <w:lang w:val="es-ES" w:eastAsia="en-US"/>
    </w:rPr>
  </w:style>
  <w:style w:type="character" w:customStyle="1" w:styleId="Estilo2Car">
    <w:name w:val="Estilo2 Car"/>
    <w:basedOn w:val="DefaultParagraphFont"/>
    <w:link w:val="Estilo2"/>
    <w:rsid w:val="000D18D5"/>
    <w:rPr>
      <w:rFonts w:ascii="Verdana" w:eastAsia="Calibri" w:hAnsi="Verdana" w:cs="Times New Roman"/>
      <w:sz w:val="20"/>
      <w:szCs w:val="20"/>
      <w:lang w:val="es-ES"/>
    </w:rPr>
  </w:style>
  <w:style w:type="character" w:customStyle="1" w:styleId="Heading4Char">
    <w:name w:val="Heading 4 Char"/>
    <w:basedOn w:val="DefaultParagraphFont"/>
    <w:link w:val="Heading4"/>
    <w:uiPriority w:val="9"/>
    <w:rsid w:val="00D45BCA"/>
    <w:rPr>
      <w:rFonts w:ascii="Verdana" w:eastAsiaTheme="majorEastAsia" w:hAnsi="Verdana" w:cstheme="majorBidi"/>
      <w:bCs/>
      <w:i/>
      <w:iCs/>
      <w:spacing w:val="-4"/>
      <w:sz w:val="20"/>
      <w:szCs w:val="20"/>
      <w:lang w:val="es-ES_tradnl" w:eastAsia="es-ES"/>
    </w:rPr>
  </w:style>
  <w:style w:type="numbering" w:customStyle="1" w:styleId="NoList1">
    <w:name w:val="No List1"/>
    <w:next w:val="NoList"/>
    <w:uiPriority w:val="99"/>
    <w:semiHidden/>
    <w:unhideWhenUsed/>
    <w:rsid w:val="00B16E52"/>
  </w:style>
  <w:style w:type="table" w:styleId="TableGrid">
    <w:name w:val="Table Grid"/>
    <w:basedOn w:val="TableNormal"/>
    <w:uiPriority w:val="59"/>
    <w:rsid w:val="00B16E52"/>
    <w:pPr>
      <w:spacing w:after="0" w:line="240" w:lineRule="auto"/>
    </w:pPr>
    <w:rPr>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B16E52"/>
    <w:pPr>
      <w:overflowPunct w:val="0"/>
      <w:autoSpaceDE w:val="0"/>
      <w:autoSpaceDN w:val="0"/>
      <w:adjustRightInd w:val="0"/>
      <w:ind w:right="-720"/>
      <w:textAlignment w:val="baseline"/>
    </w:pPr>
    <w:rPr>
      <w:rFonts w:ascii="Palatino" w:eastAsia="Times New Roman" w:hAnsi="Palatino" w:cs="Times New Roman"/>
      <w:sz w:val="24"/>
      <w:szCs w:val="20"/>
      <w:lang w:val="en-US"/>
    </w:rPr>
  </w:style>
  <w:style w:type="paragraph" w:styleId="BodyText">
    <w:name w:val="Body Text"/>
    <w:aliases w:val="Body Text Char Car Car Car Car Car Car Car Car Car Car Car Car Car,Body Text Char Car Car Car Car Car Car Car Car Car Car Car Car"/>
    <w:basedOn w:val="Normal"/>
    <w:link w:val="BodyTextChar"/>
    <w:rsid w:val="00B16E52"/>
    <w:rPr>
      <w:rFonts w:eastAsia="Times New Roman" w:cs="Times New Roman"/>
      <w:snapToGrid w:val="0"/>
      <w:szCs w:val="20"/>
      <w:lang w:val="en-US"/>
    </w:rPr>
  </w:style>
  <w:style w:type="character" w:customStyle="1" w:styleId="BodyTextChar">
    <w:name w:val="Body Text Char"/>
    <w:aliases w:val="Body Text Char Car Car Car Car Car Car Car Car Car Car Car Car Car Char,Body Text Char Car Car Car Car Car Car Car Car Car Car Car Car Char"/>
    <w:basedOn w:val="DefaultParagraphFont"/>
    <w:link w:val="BodyText"/>
    <w:rsid w:val="00B16E52"/>
    <w:rPr>
      <w:rFonts w:ascii="Verdana" w:eastAsia="Times New Roman" w:hAnsi="Verdana" w:cs="Times New Roman"/>
      <w:snapToGrid w:val="0"/>
      <w:sz w:val="20"/>
      <w:szCs w:val="20"/>
      <w:lang w:eastAsia="es-ES"/>
    </w:rPr>
  </w:style>
  <w:style w:type="paragraph" w:customStyle="1" w:styleId="negritamayuscula">
    <w:name w:val="negrita mayuscula"/>
    <w:basedOn w:val="Normal"/>
    <w:rsid w:val="00B16E52"/>
    <w:pPr>
      <w:widowControl w:val="0"/>
      <w:tabs>
        <w:tab w:val="left" w:pos="1120"/>
      </w:tabs>
      <w:spacing w:line="360" w:lineRule="atLeast"/>
    </w:pPr>
    <w:rPr>
      <w:rFonts w:ascii="Garamond" w:eastAsia="Times New Roman" w:hAnsi="Garamond" w:cs="Times New Roman"/>
      <w:sz w:val="24"/>
      <w:szCs w:val="20"/>
      <w:lang w:eastAsia="en-US"/>
    </w:rPr>
  </w:style>
  <w:style w:type="paragraph" w:customStyle="1" w:styleId="Textoindependiente2">
    <w:name w:val="Texto independiente2"/>
    <w:basedOn w:val="Normal"/>
    <w:rsid w:val="00B16E52"/>
    <w:pPr>
      <w:widowControl w:val="0"/>
    </w:pPr>
    <w:rPr>
      <w:rFonts w:ascii="New York" w:eastAsia="Times New Roman" w:hAnsi="New York" w:cs="Times New Roman"/>
      <w:sz w:val="24"/>
      <w:szCs w:val="20"/>
      <w:lang w:eastAsia="en-US"/>
    </w:rPr>
  </w:style>
  <w:style w:type="character" w:customStyle="1" w:styleId="Refdenotaalpie1">
    <w:name w:val="Ref. de nota al pie1"/>
    <w:basedOn w:val="DefaultParagraphFont"/>
    <w:rsid w:val="00B16E52"/>
    <w:rPr>
      <w:sz w:val="20"/>
      <w:vertAlign w:val="superscript"/>
    </w:rPr>
  </w:style>
  <w:style w:type="character" w:customStyle="1" w:styleId="sf8bfa2bc">
    <w:name w:val="sf8bfa2bc"/>
    <w:basedOn w:val="DefaultParagraphFont"/>
    <w:rsid w:val="00B16E52"/>
  </w:style>
  <w:style w:type="character" w:customStyle="1" w:styleId="s45d7f35c">
    <w:name w:val="s45d7f35c"/>
    <w:basedOn w:val="DefaultParagraphFont"/>
    <w:rsid w:val="00B16E52"/>
  </w:style>
  <w:style w:type="paragraph" w:customStyle="1" w:styleId="Numberedparagraphs">
    <w:name w:val="Numbered paragraphs"/>
    <w:basedOn w:val="Normal"/>
    <w:qFormat/>
    <w:rsid w:val="00B16E52"/>
    <w:pPr>
      <w:numPr>
        <w:numId w:val="10"/>
      </w:numPr>
      <w:spacing w:after="200"/>
    </w:pPr>
    <w:rPr>
      <w:rFonts w:eastAsia="MS Mincho" w:cs="Times New Roman"/>
      <w:color w:val="000000"/>
      <w:szCs w:val="20"/>
      <w:lang w:eastAsia="en-US"/>
    </w:rPr>
  </w:style>
  <w:style w:type="paragraph" w:styleId="HTMLPreformatted">
    <w:name w:val="HTML Preformatted"/>
    <w:basedOn w:val="Normal"/>
    <w:link w:val="HTMLPreformattedChar"/>
    <w:uiPriority w:val="99"/>
    <w:semiHidden/>
    <w:unhideWhenUsed/>
    <w:rsid w:val="00B1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val="es-CR" w:eastAsia="es-CR"/>
    </w:rPr>
  </w:style>
  <w:style w:type="character" w:customStyle="1" w:styleId="HTMLPreformattedChar">
    <w:name w:val="HTML Preformatted Char"/>
    <w:basedOn w:val="DefaultParagraphFont"/>
    <w:link w:val="HTMLPreformatted"/>
    <w:uiPriority w:val="99"/>
    <w:semiHidden/>
    <w:rsid w:val="00B16E52"/>
    <w:rPr>
      <w:rFonts w:ascii="Courier New" w:eastAsia="Times New Roman" w:hAnsi="Courier New" w:cs="Courier New"/>
      <w:sz w:val="20"/>
      <w:szCs w:val="20"/>
      <w:lang w:val="es-CR" w:eastAsia="es-CR"/>
    </w:rPr>
  </w:style>
  <w:style w:type="paragraph" w:styleId="Revision">
    <w:name w:val="Revision"/>
    <w:hidden/>
    <w:uiPriority w:val="99"/>
    <w:semiHidden/>
    <w:rsid w:val="00B16E52"/>
    <w:pPr>
      <w:spacing w:after="0" w:line="240" w:lineRule="auto"/>
    </w:pPr>
    <w:rPr>
      <w:rFonts w:ascii="Verdana" w:hAnsi="Verdana"/>
      <w:sz w:val="20"/>
      <w:lang w:val="es-CR"/>
    </w:rPr>
  </w:style>
  <w:style w:type="paragraph" w:customStyle="1" w:styleId="Default">
    <w:name w:val="Default"/>
    <w:rsid w:val="00B16E52"/>
    <w:pPr>
      <w:autoSpaceDE w:val="0"/>
      <w:autoSpaceDN w:val="0"/>
      <w:adjustRightInd w:val="0"/>
      <w:spacing w:after="0" w:line="240" w:lineRule="auto"/>
    </w:pPr>
    <w:rPr>
      <w:rFonts w:ascii="Arial" w:hAnsi="Arial" w:cs="Arial"/>
      <w:color w:val="000000"/>
      <w:sz w:val="24"/>
      <w:szCs w:val="24"/>
      <w:lang w:val="es-CR"/>
    </w:rPr>
  </w:style>
  <w:style w:type="paragraph" w:customStyle="1" w:styleId="JuPara">
    <w:name w:val="Ju_Para"/>
    <w:aliases w:val="Left,First line:  0 cm"/>
    <w:basedOn w:val="Normal"/>
    <w:link w:val="JuParaChar"/>
    <w:rsid w:val="00B16E52"/>
    <w:pPr>
      <w:suppressAutoHyphens/>
      <w:ind w:firstLine="284"/>
    </w:pPr>
    <w:rPr>
      <w:rFonts w:ascii="Times New Roman" w:eastAsia="Times New Roman" w:hAnsi="Times New Roman" w:cs="Times New Roman"/>
      <w:sz w:val="24"/>
      <w:szCs w:val="20"/>
      <w:lang w:val="en-GB" w:eastAsia="fr-FR"/>
    </w:rPr>
  </w:style>
  <w:style w:type="character" w:customStyle="1" w:styleId="JuParaChar">
    <w:name w:val="Ju_Para Char"/>
    <w:basedOn w:val="DefaultParagraphFont"/>
    <w:link w:val="JuPara"/>
    <w:rsid w:val="00B16E52"/>
    <w:rPr>
      <w:rFonts w:ascii="Times New Roman" w:eastAsia="Times New Roman" w:hAnsi="Times New Roman" w:cs="Times New Roman"/>
      <w:sz w:val="24"/>
      <w:szCs w:val="20"/>
      <w:lang w:val="en-GB" w:eastAsia="fr-FR"/>
    </w:rPr>
  </w:style>
  <w:style w:type="paragraph" w:styleId="EndnoteText">
    <w:name w:val="endnote text"/>
    <w:basedOn w:val="Normal"/>
    <w:link w:val="EndnoteTextChar"/>
    <w:uiPriority w:val="99"/>
    <w:semiHidden/>
    <w:unhideWhenUsed/>
    <w:rsid w:val="00B16E52"/>
    <w:rPr>
      <w:szCs w:val="20"/>
      <w:lang w:val="es-CR" w:eastAsia="en-US"/>
    </w:rPr>
  </w:style>
  <w:style w:type="character" w:customStyle="1" w:styleId="EndnoteTextChar">
    <w:name w:val="Endnote Text Char"/>
    <w:basedOn w:val="DefaultParagraphFont"/>
    <w:link w:val="EndnoteText"/>
    <w:uiPriority w:val="99"/>
    <w:semiHidden/>
    <w:rsid w:val="00B16E52"/>
    <w:rPr>
      <w:rFonts w:ascii="Verdana" w:hAnsi="Verdana"/>
      <w:sz w:val="20"/>
      <w:szCs w:val="20"/>
      <w:lang w:val="es-CR"/>
    </w:rPr>
  </w:style>
  <w:style w:type="character" w:styleId="EndnoteReference">
    <w:name w:val="endnote reference"/>
    <w:basedOn w:val="DefaultParagraphFont"/>
    <w:uiPriority w:val="99"/>
    <w:semiHidden/>
    <w:unhideWhenUsed/>
    <w:rsid w:val="00B16E52"/>
    <w:rPr>
      <w:vertAlign w:val="superscript"/>
    </w:rPr>
  </w:style>
  <w:style w:type="character" w:styleId="Emphasis">
    <w:name w:val="Emphasis"/>
    <w:uiPriority w:val="99"/>
    <w:qFormat/>
    <w:rsid w:val="00B16E52"/>
    <w:rPr>
      <w:i/>
      <w:iCs/>
    </w:rPr>
  </w:style>
  <w:style w:type="character" w:customStyle="1" w:styleId="FootnoteTextChar1">
    <w:name w:val="Footnote Text Char1"/>
    <w:aliases w:val="Footnote Text Char Char Char Char Char Char1,Footnote Text Char Char Char Char Char2,FA Fu Char1,Footnote reference Char1,Footnote Text Char Char Char Char2,NOTA AL PIE TESIS PUCP Char1,Footnote Text Cha Char1,FA Fußnotentext Char1"/>
    <w:basedOn w:val="DefaultParagraphFont"/>
    <w:uiPriority w:val="99"/>
    <w:locked/>
    <w:rsid w:val="00B16E52"/>
    <w:rPr>
      <w:rFonts w:cs="Times New Roman"/>
      <w:lang w:val="en-US" w:eastAsia="en-US" w:bidi="ar-SA"/>
    </w:rPr>
  </w:style>
  <w:style w:type="paragraph" w:customStyle="1" w:styleId="Prrafodelista2">
    <w:name w:val="Párrafo de lista2"/>
    <w:basedOn w:val="Normal"/>
    <w:uiPriority w:val="99"/>
    <w:rsid w:val="00221B79"/>
    <w:pPr>
      <w:ind w:left="720"/>
      <w:jc w:val="left"/>
    </w:pPr>
    <w:rPr>
      <w:rFonts w:eastAsia="MS Mincho" w:cs="Verdana"/>
      <w:szCs w:val="20"/>
      <w:lang w:eastAsia="en-US"/>
    </w:rPr>
  </w:style>
  <w:style w:type="paragraph" w:styleId="TOCHeading">
    <w:name w:val="TOC Heading"/>
    <w:basedOn w:val="Heading1"/>
    <w:next w:val="Normal"/>
    <w:uiPriority w:val="39"/>
    <w:unhideWhenUsed/>
    <w:qFormat/>
    <w:rsid w:val="00D07BB8"/>
    <w:pPr>
      <w:spacing w:before="480" w:line="276" w:lineRule="auto"/>
      <w:ind w:left="0"/>
      <w:jc w:val="left"/>
      <w:outlineLvl w:val="9"/>
    </w:pPr>
    <w:rPr>
      <w:rFonts w:asciiTheme="majorHAnsi" w:hAnsiTheme="majorHAnsi"/>
      <w:i w:val="0"/>
      <w:color w:val="365F91" w:themeColor="accent1" w:themeShade="BF"/>
      <w:sz w:val="28"/>
      <w:szCs w:val="28"/>
      <w:lang w:val="en-US" w:eastAsia="en-US"/>
    </w:rPr>
  </w:style>
  <w:style w:type="paragraph" w:styleId="TOC1">
    <w:name w:val="toc 1"/>
    <w:basedOn w:val="Normal"/>
    <w:next w:val="Normal"/>
    <w:autoRedefine/>
    <w:uiPriority w:val="39"/>
    <w:unhideWhenUsed/>
    <w:qFormat/>
    <w:rsid w:val="007B2BE1"/>
    <w:pPr>
      <w:tabs>
        <w:tab w:val="right" w:leader="dot" w:pos="9849"/>
      </w:tabs>
      <w:spacing w:before="60" w:after="60"/>
    </w:pPr>
  </w:style>
  <w:style w:type="paragraph" w:styleId="TOC2">
    <w:name w:val="toc 2"/>
    <w:basedOn w:val="Normal"/>
    <w:next w:val="Normal"/>
    <w:autoRedefine/>
    <w:uiPriority w:val="39"/>
    <w:unhideWhenUsed/>
    <w:qFormat/>
    <w:rsid w:val="009918B0"/>
    <w:pPr>
      <w:tabs>
        <w:tab w:val="right" w:leader="dot" w:pos="9849"/>
      </w:tabs>
      <w:spacing w:before="60" w:after="60"/>
      <w:ind w:left="142"/>
    </w:pPr>
    <w:rPr>
      <w:bCs/>
      <w:iCs/>
      <w:noProof/>
      <w:spacing w:val="-4"/>
      <w:lang w:eastAsia="es-MX"/>
    </w:rPr>
  </w:style>
  <w:style w:type="paragraph" w:styleId="TOC3">
    <w:name w:val="toc 3"/>
    <w:basedOn w:val="Normal"/>
    <w:next w:val="Normal"/>
    <w:autoRedefine/>
    <w:uiPriority w:val="39"/>
    <w:unhideWhenUsed/>
    <w:qFormat/>
    <w:rsid w:val="00D07BB8"/>
    <w:pPr>
      <w:spacing w:after="100"/>
      <w:ind w:left="400"/>
    </w:pPr>
  </w:style>
  <w:style w:type="paragraph" w:styleId="Subtitle">
    <w:name w:val="Subtitle"/>
    <w:basedOn w:val="Heading1"/>
    <w:next w:val="Normal"/>
    <w:link w:val="SubtitleChar"/>
    <w:uiPriority w:val="11"/>
    <w:qFormat/>
    <w:rsid w:val="003D2602"/>
    <w:pPr>
      <w:ind w:left="426"/>
    </w:pPr>
    <w:rPr>
      <w:spacing w:val="-4"/>
      <w:u w:val="single"/>
    </w:rPr>
  </w:style>
  <w:style w:type="character" w:customStyle="1" w:styleId="SubtitleChar">
    <w:name w:val="Subtitle Char"/>
    <w:basedOn w:val="DefaultParagraphFont"/>
    <w:link w:val="Subtitle"/>
    <w:uiPriority w:val="11"/>
    <w:rsid w:val="003D2602"/>
    <w:rPr>
      <w:rFonts w:ascii="Verdana" w:eastAsiaTheme="majorEastAsia" w:hAnsi="Verdana" w:cstheme="majorBidi"/>
      <w:b/>
      <w:bCs/>
      <w:i/>
      <w:spacing w:val="-4"/>
      <w:sz w:val="20"/>
      <w:szCs w:val="20"/>
      <w:u w:val="single"/>
      <w:lang w:val="es-ES_tradnl" w:eastAsia="es-ES"/>
    </w:rPr>
  </w:style>
  <w:style w:type="paragraph" w:styleId="TOC4">
    <w:name w:val="toc 4"/>
    <w:basedOn w:val="Normal"/>
    <w:next w:val="Normal"/>
    <w:autoRedefine/>
    <w:uiPriority w:val="39"/>
    <w:unhideWhenUsed/>
    <w:rsid w:val="00CC2DE8"/>
    <w:pPr>
      <w:tabs>
        <w:tab w:val="right" w:leader="dot" w:pos="9849"/>
      </w:tabs>
      <w:spacing w:before="60" w:after="60"/>
      <w:ind w:left="660"/>
      <w:jc w:val="left"/>
    </w:pPr>
    <w:rPr>
      <w:rFonts w:asciiTheme="minorHAnsi" w:eastAsiaTheme="minorEastAsia" w:hAnsiTheme="minorHAnsi"/>
      <w:sz w:val="22"/>
      <w:lang w:val="es-CR" w:eastAsia="es-CR"/>
    </w:rPr>
  </w:style>
  <w:style w:type="paragraph" w:styleId="TOC5">
    <w:name w:val="toc 5"/>
    <w:basedOn w:val="Normal"/>
    <w:next w:val="Normal"/>
    <w:autoRedefine/>
    <w:uiPriority w:val="39"/>
    <w:unhideWhenUsed/>
    <w:rsid w:val="0059022D"/>
    <w:pPr>
      <w:spacing w:after="100" w:line="276" w:lineRule="auto"/>
      <w:ind w:left="880"/>
      <w:jc w:val="left"/>
    </w:pPr>
    <w:rPr>
      <w:rFonts w:asciiTheme="minorHAnsi" w:eastAsiaTheme="minorEastAsia" w:hAnsiTheme="minorHAnsi"/>
      <w:sz w:val="22"/>
      <w:lang w:val="es-CR" w:eastAsia="es-CR"/>
    </w:rPr>
  </w:style>
  <w:style w:type="paragraph" w:styleId="TOC6">
    <w:name w:val="toc 6"/>
    <w:basedOn w:val="Normal"/>
    <w:next w:val="Normal"/>
    <w:autoRedefine/>
    <w:uiPriority w:val="39"/>
    <w:unhideWhenUsed/>
    <w:rsid w:val="0059022D"/>
    <w:pPr>
      <w:spacing w:after="100" w:line="276" w:lineRule="auto"/>
      <w:ind w:left="1100"/>
      <w:jc w:val="left"/>
    </w:pPr>
    <w:rPr>
      <w:rFonts w:asciiTheme="minorHAnsi" w:eastAsiaTheme="minorEastAsia" w:hAnsiTheme="minorHAnsi"/>
      <w:sz w:val="22"/>
      <w:lang w:val="es-CR" w:eastAsia="es-CR"/>
    </w:rPr>
  </w:style>
  <w:style w:type="paragraph" w:styleId="TOC7">
    <w:name w:val="toc 7"/>
    <w:basedOn w:val="Normal"/>
    <w:next w:val="Normal"/>
    <w:autoRedefine/>
    <w:uiPriority w:val="39"/>
    <w:unhideWhenUsed/>
    <w:rsid w:val="0059022D"/>
    <w:pPr>
      <w:spacing w:after="100" w:line="276" w:lineRule="auto"/>
      <w:ind w:left="1320"/>
      <w:jc w:val="left"/>
    </w:pPr>
    <w:rPr>
      <w:rFonts w:asciiTheme="minorHAnsi" w:eastAsiaTheme="minorEastAsia" w:hAnsiTheme="minorHAnsi"/>
      <w:sz w:val="22"/>
      <w:lang w:val="es-CR" w:eastAsia="es-CR"/>
    </w:rPr>
  </w:style>
  <w:style w:type="paragraph" w:styleId="TOC8">
    <w:name w:val="toc 8"/>
    <w:basedOn w:val="Normal"/>
    <w:next w:val="Normal"/>
    <w:autoRedefine/>
    <w:uiPriority w:val="39"/>
    <w:unhideWhenUsed/>
    <w:rsid w:val="0059022D"/>
    <w:pPr>
      <w:spacing w:after="100" w:line="276" w:lineRule="auto"/>
      <w:ind w:left="1540"/>
      <w:jc w:val="left"/>
    </w:pPr>
    <w:rPr>
      <w:rFonts w:asciiTheme="minorHAnsi" w:eastAsiaTheme="minorEastAsia" w:hAnsiTheme="minorHAnsi"/>
      <w:sz w:val="22"/>
      <w:lang w:val="es-CR" w:eastAsia="es-CR"/>
    </w:rPr>
  </w:style>
  <w:style w:type="paragraph" w:styleId="TOC9">
    <w:name w:val="toc 9"/>
    <w:basedOn w:val="Normal"/>
    <w:next w:val="Normal"/>
    <w:autoRedefine/>
    <w:uiPriority w:val="39"/>
    <w:unhideWhenUsed/>
    <w:rsid w:val="0059022D"/>
    <w:pPr>
      <w:spacing w:after="100" w:line="276" w:lineRule="auto"/>
      <w:ind w:left="1760"/>
      <w:jc w:val="left"/>
    </w:pPr>
    <w:rPr>
      <w:rFonts w:asciiTheme="minorHAnsi" w:eastAsiaTheme="minorEastAsia" w:hAnsiTheme="minorHAnsi"/>
      <w:sz w:val="22"/>
      <w:lang w:val="es-CR" w:eastAsia="es-CR"/>
    </w:rPr>
  </w:style>
  <w:style w:type="character" w:styleId="LineNumber">
    <w:name w:val="line number"/>
    <w:basedOn w:val="DefaultParagraphFont"/>
    <w:uiPriority w:val="99"/>
    <w:semiHidden/>
    <w:unhideWhenUsed/>
    <w:rsid w:val="00031E98"/>
  </w:style>
  <w:style w:type="character" w:customStyle="1" w:styleId="style31">
    <w:name w:val="style31"/>
    <w:basedOn w:val="DefaultParagraphFont"/>
    <w:rsid w:val="00B04A1B"/>
  </w:style>
  <w:style w:type="character" w:customStyle="1" w:styleId="sfbbfee58">
    <w:name w:val="sfbbfee58"/>
    <w:basedOn w:val="DefaultParagraphFont"/>
    <w:rsid w:val="00442D7D"/>
  </w:style>
  <w:style w:type="character" w:customStyle="1" w:styleId="sf1c7242d">
    <w:name w:val="sf1c7242d"/>
    <w:basedOn w:val="DefaultParagraphFont"/>
    <w:rsid w:val="005E60F5"/>
  </w:style>
  <w:style w:type="paragraph" w:customStyle="1" w:styleId="s5891fd46">
    <w:name w:val="s5891fd46"/>
    <w:basedOn w:val="Normal"/>
    <w:rsid w:val="004B751B"/>
    <w:pPr>
      <w:spacing w:before="100" w:beforeAutospacing="1" w:after="100" w:afterAutospacing="1"/>
      <w:jc w:val="left"/>
    </w:pPr>
    <w:rPr>
      <w:rFonts w:ascii="Times New Roman" w:eastAsia="Times New Roman" w:hAnsi="Times New Roman" w:cs="Times New Roman"/>
      <w:sz w:val="24"/>
      <w:szCs w:val="24"/>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7056">
      <w:bodyDiv w:val="1"/>
      <w:marLeft w:val="0"/>
      <w:marRight w:val="0"/>
      <w:marTop w:val="0"/>
      <w:marBottom w:val="0"/>
      <w:divBdr>
        <w:top w:val="none" w:sz="0" w:space="0" w:color="auto"/>
        <w:left w:val="none" w:sz="0" w:space="0" w:color="auto"/>
        <w:bottom w:val="none" w:sz="0" w:space="0" w:color="auto"/>
        <w:right w:val="none" w:sz="0" w:space="0" w:color="auto"/>
      </w:divBdr>
    </w:div>
    <w:div w:id="84230070">
      <w:bodyDiv w:val="1"/>
      <w:marLeft w:val="0"/>
      <w:marRight w:val="0"/>
      <w:marTop w:val="0"/>
      <w:marBottom w:val="0"/>
      <w:divBdr>
        <w:top w:val="none" w:sz="0" w:space="0" w:color="auto"/>
        <w:left w:val="none" w:sz="0" w:space="0" w:color="auto"/>
        <w:bottom w:val="none" w:sz="0" w:space="0" w:color="auto"/>
        <w:right w:val="none" w:sz="0" w:space="0" w:color="auto"/>
      </w:divBdr>
    </w:div>
    <w:div w:id="150218849">
      <w:bodyDiv w:val="1"/>
      <w:marLeft w:val="0"/>
      <w:marRight w:val="0"/>
      <w:marTop w:val="0"/>
      <w:marBottom w:val="0"/>
      <w:divBdr>
        <w:top w:val="none" w:sz="0" w:space="0" w:color="auto"/>
        <w:left w:val="none" w:sz="0" w:space="0" w:color="auto"/>
        <w:bottom w:val="none" w:sz="0" w:space="0" w:color="auto"/>
        <w:right w:val="none" w:sz="0" w:space="0" w:color="auto"/>
      </w:divBdr>
    </w:div>
    <w:div w:id="160194796">
      <w:bodyDiv w:val="1"/>
      <w:marLeft w:val="0"/>
      <w:marRight w:val="0"/>
      <w:marTop w:val="0"/>
      <w:marBottom w:val="0"/>
      <w:divBdr>
        <w:top w:val="none" w:sz="0" w:space="0" w:color="auto"/>
        <w:left w:val="none" w:sz="0" w:space="0" w:color="auto"/>
        <w:bottom w:val="none" w:sz="0" w:space="0" w:color="auto"/>
        <w:right w:val="none" w:sz="0" w:space="0" w:color="auto"/>
      </w:divBdr>
      <w:divsChild>
        <w:div w:id="686175719">
          <w:marLeft w:val="0"/>
          <w:marRight w:val="0"/>
          <w:marTop w:val="0"/>
          <w:marBottom w:val="0"/>
          <w:divBdr>
            <w:top w:val="none" w:sz="0" w:space="0" w:color="auto"/>
            <w:left w:val="none" w:sz="0" w:space="0" w:color="auto"/>
            <w:bottom w:val="none" w:sz="0" w:space="0" w:color="auto"/>
            <w:right w:val="none" w:sz="0" w:space="0" w:color="auto"/>
          </w:divBdr>
        </w:div>
        <w:div w:id="1556312093">
          <w:marLeft w:val="0"/>
          <w:marRight w:val="0"/>
          <w:marTop w:val="0"/>
          <w:marBottom w:val="0"/>
          <w:divBdr>
            <w:top w:val="none" w:sz="0" w:space="0" w:color="auto"/>
            <w:left w:val="none" w:sz="0" w:space="0" w:color="auto"/>
            <w:bottom w:val="none" w:sz="0" w:space="0" w:color="auto"/>
            <w:right w:val="none" w:sz="0" w:space="0" w:color="auto"/>
          </w:divBdr>
        </w:div>
      </w:divsChild>
    </w:div>
    <w:div w:id="206186711">
      <w:bodyDiv w:val="1"/>
      <w:marLeft w:val="0"/>
      <w:marRight w:val="0"/>
      <w:marTop w:val="0"/>
      <w:marBottom w:val="0"/>
      <w:divBdr>
        <w:top w:val="none" w:sz="0" w:space="0" w:color="auto"/>
        <w:left w:val="none" w:sz="0" w:space="0" w:color="auto"/>
        <w:bottom w:val="none" w:sz="0" w:space="0" w:color="auto"/>
        <w:right w:val="none" w:sz="0" w:space="0" w:color="auto"/>
      </w:divBdr>
    </w:div>
    <w:div w:id="218903597">
      <w:bodyDiv w:val="1"/>
      <w:marLeft w:val="0"/>
      <w:marRight w:val="0"/>
      <w:marTop w:val="0"/>
      <w:marBottom w:val="0"/>
      <w:divBdr>
        <w:top w:val="none" w:sz="0" w:space="0" w:color="auto"/>
        <w:left w:val="none" w:sz="0" w:space="0" w:color="auto"/>
        <w:bottom w:val="none" w:sz="0" w:space="0" w:color="auto"/>
        <w:right w:val="none" w:sz="0" w:space="0" w:color="auto"/>
      </w:divBdr>
    </w:div>
    <w:div w:id="223610971">
      <w:bodyDiv w:val="1"/>
      <w:marLeft w:val="0"/>
      <w:marRight w:val="0"/>
      <w:marTop w:val="0"/>
      <w:marBottom w:val="0"/>
      <w:divBdr>
        <w:top w:val="none" w:sz="0" w:space="0" w:color="auto"/>
        <w:left w:val="none" w:sz="0" w:space="0" w:color="auto"/>
        <w:bottom w:val="none" w:sz="0" w:space="0" w:color="auto"/>
        <w:right w:val="none" w:sz="0" w:space="0" w:color="auto"/>
      </w:divBdr>
    </w:div>
    <w:div w:id="383335386">
      <w:bodyDiv w:val="1"/>
      <w:marLeft w:val="0"/>
      <w:marRight w:val="0"/>
      <w:marTop w:val="0"/>
      <w:marBottom w:val="0"/>
      <w:divBdr>
        <w:top w:val="none" w:sz="0" w:space="0" w:color="auto"/>
        <w:left w:val="none" w:sz="0" w:space="0" w:color="auto"/>
        <w:bottom w:val="none" w:sz="0" w:space="0" w:color="auto"/>
        <w:right w:val="none" w:sz="0" w:space="0" w:color="auto"/>
      </w:divBdr>
      <w:divsChild>
        <w:div w:id="1969824014">
          <w:marLeft w:val="0"/>
          <w:marRight w:val="0"/>
          <w:marTop w:val="0"/>
          <w:marBottom w:val="0"/>
          <w:divBdr>
            <w:top w:val="none" w:sz="0" w:space="0" w:color="auto"/>
            <w:left w:val="none" w:sz="0" w:space="0" w:color="auto"/>
            <w:bottom w:val="none" w:sz="0" w:space="0" w:color="auto"/>
            <w:right w:val="none" w:sz="0" w:space="0" w:color="auto"/>
          </w:divBdr>
        </w:div>
      </w:divsChild>
    </w:div>
    <w:div w:id="484198491">
      <w:bodyDiv w:val="1"/>
      <w:marLeft w:val="0"/>
      <w:marRight w:val="0"/>
      <w:marTop w:val="0"/>
      <w:marBottom w:val="0"/>
      <w:divBdr>
        <w:top w:val="none" w:sz="0" w:space="0" w:color="auto"/>
        <w:left w:val="none" w:sz="0" w:space="0" w:color="auto"/>
        <w:bottom w:val="none" w:sz="0" w:space="0" w:color="auto"/>
        <w:right w:val="none" w:sz="0" w:space="0" w:color="auto"/>
      </w:divBdr>
    </w:div>
    <w:div w:id="506680373">
      <w:bodyDiv w:val="1"/>
      <w:marLeft w:val="0"/>
      <w:marRight w:val="0"/>
      <w:marTop w:val="0"/>
      <w:marBottom w:val="0"/>
      <w:divBdr>
        <w:top w:val="none" w:sz="0" w:space="0" w:color="auto"/>
        <w:left w:val="none" w:sz="0" w:space="0" w:color="auto"/>
        <w:bottom w:val="none" w:sz="0" w:space="0" w:color="auto"/>
        <w:right w:val="none" w:sz="0" w:space="0" w:color="auto"/>
      </w:divBdr>
    </w:div>
    <w:div w:id="667442846">
      <w:bodyDiv w:val="1"/>
      <w:marLeft w:val="0"/>
      <w:marRight w:val="0"/>
      <w:marTop w:val="0"/>
      <w:marBottom w:val="0"/>
      <w:divBdr>
        <w:top w:val="none" w:sz="0" w:space="0" w:color="auto"/>
        <w:left w:val="none" w:sz="0" w:space="0" w:color="auto"/>
        <w:bottom w:val="none" w:sz="0" w:space="0" w:color="auto"/>
        <w:right w:val="none" w:sz="0" w:space="0" w:color="auto"/>
      </w:divBdr>
    </w:div>
    <w:div w:id="762266371">
      <w:bodyDiv w:val="1"/>
      <w:marLeft w:val="0"/>
      <w:marRight w:val="0"/>
      <w:marTop w:val="0"/>
      <w:marBottom w:val="0"/>
      <w:divBdr>
        <w:top w:val="none" w:sz="0" w:space="0" w:color="auto"/>
        <w:left w:val="none" w:sz="0" w:space="0" w:color="auto"/>
        <w:bottom w:val="none" w:sz="0" w:space="0" w:color="auto"/>
        <w:right w:val="none" w:sz="0" w:space="0" w:color="auto"/>
      </w:divBdr>
    </w:div>
    <w:div w:id="762604648">
      <w:bodyDiv w:val="1"/>
      <w:marLeft w:val="0"/>
      <w:marRight w:val="0"/>
      <w:marTop w:val="0"/>
      <w:marBottom w:val="0"/>
      <w:divBdr>
        <w:top w:val="none" w:sz="0" w:space="0" w:color="auto"/>
        <w:left w:val="none" w:sz="0" w:space="0" w:color="auto"/>
        <w:bottom w:val="none" w:sz="0" w:space="0" w:color="auto"/>
        <w:right w:val="none" w:sz="0" w:space="0" w:color="auto"/>
      </w:divBdr>
      <w:divsChild>
        <w:div w:id="241255809">
          <w:marLeft w:val="0"/>
          <w:marRight w:val="0"/>
          <w:marTop w:val="0"/>
          <w:marBottom w:val="0"/>
          <w:divBdr>
            <w:top w:val="none" w:sz="0" w:space="0" w:color="auto"/>
            <w:left w:val="none" w:sz="0" w:space="0" w:color="auto"/>
            <w:bottom w:val="none" w:sz="0" w:space="0" w:color="auto"/>
            <w:right w:val="none" w:sz="0" w:space="0" w:color="auto"/>
          </w:divBdr>
        </w:div>
        <w:div w:id="766273163">
          <w:marLeft w:val="0"/>
          <w:marRight w:val="0"/>
          <w:marTop w:val="0"/>
          <w:marBottom w:val="0"/>
          <w:divBdr>
            <w:top w:val="none" w:sz="0" w:space="0" w:color="auto"/>
            <w:left w:val="none" w:sz="0" w:space="0" w:color="auto"/>
            <w:bottom w:val="none" w:sz="0" w:space="0" w:color="auto"/>
            <w:right w:val="none" w:sz="0" w:space="0" w:color="auto"/>
          </w:divBdr>
        </w:div>
        <w:div w:id="1511720041">
          <w:marLeft w:val="0"/>
          <w:marRight w:val="0"/>
          <w:marTop w:val="0"/>
          <w:marBottom w:val="0"/>
          <w:divBdr>
            <w:top w:val="none" w:sz="0" w:space="0" w:color="auto"/>
            <w:left w:val="none" w:sz="0" w:space="0" w:color="auto"/>
            <w:bottom w:val="none" w:sz="0" w:space="0" w:color="auto"/>
            <w:right w:val="none" w:sz="0" w:space="0" w:color="auto"/>
          </w:divBdr>
        </w:div>
        <w:div w:id="1548881582">
          <w:marLeft w:val="0"/>
          <w:marRight w:val="0"/>
          <w:marTop w:val="0"/>
          <w:marBottom w:val="0"/>
          <w:divBdr>
            <w:top w:val="none" w:sz="0" w:space="0" w:color="auto"/>
            <w:left w:val="none" w:sz="0" w:space="0" w:color="auto"/>
            <w:bottom w:val="none" w:sz="0" w:space="0" w:color="auto"/>
            <w:right w:val="none" w:sz="0" w:space="0" w:color="auto"/>
          </w:divBdr>
        </w:div>
        <w:div w:id="1623225444">
          <w:marLeft w:val="0"/>
          <w:marRight w:val="0"/>
          <w:marTop w:val="0"/>
          <w:marBottom w:val="0"/>
          <w:divBdr>
            <w:top w:val="none" w:sz="0" w:space="0" w:color="auto"/>
            <w:left w:val="none" w:sz="0" w:space="0" w:color="auto"/>
            <w:bottom w:val="none" w:sz="0" w:space="0" w:color="auto"/>
            <w:right w:val="none" w:sz="0" w:space="0" w:color="auto"/>
          </w:divBdr>
        </w:div>
        <w:div w:id="1623228255">
          <w:marLeft w:val="0"/>
          <w:marRight w:val="0"/>
          <w:marTop w:val="0"/>
          <w:marBottom w:val="0"/>
          <w:divBdr>
            <w:top w:val="none" w:sz="0" w:space="0" w:color="auto"/>
            <w:left w:val="none" w:sz="0" w:space="0" w:color="auto"/>
            <w:bottom w:val="none" w:sz="0" w:space="0" w:color="auto"/>
            <w:right w:val="none" w:sz="0" w:space="0" w:color="auto"/>
          </w:divBdr>
        </w:div>
        <w:div w:id="1693220455">
          <w:marLeft w:val="0"/>
          <w:marRight w:val="0"/>
          <w:marTop w:val="0"/>
          <w:marBottom w:val="0"/>
          <w:divBdr>
            <w:top w:val="none" w:sz="0" w:space="0" w:color="auto"/>
            <w:left w:val="none" w:sz="0" w:space="0" w:color="auto"/>
            <w:bottom w:val="none" w:sz="0" w:space="0" w:color="auto"/>
            <w:right w:val="none" w:sz="0" w:space="0" w:color="auto"/>
          </w:divBdr>
        </w:div>
        <w:div w:id="1775397144">
          <w:marLeft w:val="0"/>
          <w:marRight w:val="0"/>
          <w:marTop w:val="0"/>
          <w:marBottom w:val="0"/>
          <w:divBdr>
            <w:top w:val="none" w:sz="0" w:space="0" w:color="auto"/>
            <w:left w:val="none" w:sz="0" w:space="0" w:color="auto"/>
            <w:bottom w:val="none" w:sz="0" w:space="0" w:color="auto"/>
            <w:right w:val="none" w:sz="0" w:space="0" w:color="auto"/>
          </w:divBdr>
        </w:div>
        <w:div w:id="2091846840">
          <w:marLeft w:val="0"/>
          <w:marRight w:val="0"/>
          <w:marTop w:val="0"/>
          <w:marBottom w:val="0"/>
          <w:divBdr>
            <w:top w:val="none" w:sz="0" w:space="0" w:color="auto"/>
            <w:left w:val="none" w:sz="0" w:space="0" w:color="auto"/>
            <w:bottom w:val="none" w:sz="0" w:space="0" w:color="auto"/>
            <w:right w:val="none" w:sz="0" w:space="0" w:color="auto"/>
          </w:divBdr>
        </w:div>
        <w:div w:id="2110930017">
          <w:marLeft w:val="0"/>
          <w:marRight w:val="0"/>
          <w:marTop w:val="0"/>
          <w:marBottom w:val="0"/>
          <w:divBdr>
            <w:top w:val="none" w:sz="0" w:space="0" w:color="auto"/>
            <w:left w:val="none" w:sz="0" w:space="0" w:color="auto"/>
            <w:bottom w:val="none" w:sz="0" w:space="0" w:color="auto"/>
            <w:right w:val="none" w:sz="0" w:space="0" w:color="auto"/>
          </w:divBdr>
        </w:div>
      </w:divsChild>
    </w:div>
    <w:div w:id="859592050">
      <w:bodyDiv w:val="1"/>
      <w:marLeft w:val="0"/>
      <w:marRight w:val="0"/>
      <w:marTop w:val="0"/>
      <w:marBottom w:val="0"/>
      <w:divBdr>
        <w:top w:val="none" w:sz="0" w:space="0" w:color="auto"/>
        <w:left w:val="none" w:sz="0" w:space="0" w:color="auto"/>
        <w:bottom w:val="none" w:sz="0" w:space="0" w:color="auto"/>
        <w:right w:val="none" w:sz="0" w:space="0" w:color="auto"/>
      </w:divBdr>
    </w:div>
    <w:div w:id="1184050794">
      <w:bodyDiv w:val="1"/>
      <w:marLeft w:val="0"/>
      <w:marRight w:val="0"/>
      <w:marTop w:val="0"/>
      <w:marBottom w:val="0"/>
      <w:divBdr>
        <w:top w:val="none" w:sz="0" w:space="0" w:color="auto"/>
        <w:left w:val="none" w:sz="0" w:space="0" w:color="auto"/>
        <w:bottom w:val="none" w:sz="0" w:space="0" w:color="auto"/>
        <w:right w:val="none" w:sz="0" w:space="0" w:color="auto"/>
      </w:divBdr>
      <w:divsChild>
        <w:div w:id="822239771">
          <w:marLeft w:val="0"/>
          <w:marRight w:val="0"/>
          <w:marTop w:val="0"/>
          <w:marBottom w:val="0"/>
          <w:divBdr>
            <w:top w:val="none" w:sz="0" w:space="0" w:color="auto"/>
            <w:left w:val="none" w:sz="0" w:space="0" w:color="auto"/>
            <w:bottom w:val="none" w:sz="0" w:space="0" w:color="auto"/>
            <w:right w:val="none" w:sz="0" w:space="0" w:color="auto"/>
          </w:divBdr>
        </w:div>
      </w:divsChild>
    </w:div>
    <w:div w:id="1250499699">
      <w:bodyDiv w:val="1"/>
      <w:marLeft w:val="0"/>
      <w:marRight w:val="0"/>
      <w:marTop w:val="0"/>
      <w:marBottom w:val="0"/>
      <w:divBdr>
        <w:top w:val="none" w:sz="0" w:space="0" w:color="auto"/>
        <w:left w:val="none" w:sz="0" w:space="0" w:color="auto"/>
        <w:bottom w:val="none" w:sz="0" w:space="0" w:color="auto"/>
        <w:right w:val="none" w:sz="0" w:space="0" w:color="auto"/>
      </w:divBdr>
    </w:div>
    <w:div w:id="1519537609">
      <w:bodyDiv w:val="1"/>
      <w:marLeft w:val="0"/>
      <w:marRight w:val="0"/>
      <w:marTop w:val="0"/>
      <w:marBottom w:val="0"/>
      <w:divBdr>
        <w:top w:val="none" w:sz="0" w:space="0" w:color="auto"/>
        <w:left w:val="none" w:sz="0" w:space="0" w:color="auto"/>
        <w:bottom w:val="none" w:sz="0" w:space="0" w:color="auto"/>
        <w:right w:val="none" w:sz="0" w:space="0" w:color="auto"/>
      </w:divBdr>
    </w:div>
    <w:div w:id="1555771263">
      <w:bodyDiv w:val="1"/>
      <w:marLeft w:val="0"/>
      <w:marRight w:val="0"/>
      <w:marTop w:val="0"/>
      <w:marBottom w:val="0"/>
      <w:divBdr>
        <w:top w:val="none" w:sz="0" w:space="0" w:color="auto"/>
        <w:left w:val="none" w:sz="0" w:space="0" w:color="auto"/>
        <w:bottom w:val="none" w:sz="0" w:space="0" w:color="auto"/>
        <w:right w:val="none" w:sz="0" w:space="0" w:color="auto"/>
      </w:divBdr>
    </w:div>
    <w:div w:id="1557006701">
      <w:bodyDiv w:val="1"/>
      <w:marLeft w:val="0"/>
      <w:marRight w:val="0"/>
      <w:marTop w:val="0"/>
      <w:marBottom w:val="0"/>
      <w:divBdr>
        <w:top w:val="none" w:sz="0" w:space="0" w:color="auto"/>
        <w:left w:val="none" w:sz="0" w:space="0" w:color="auto"/>
        <w:bottom w:val="none" w:sz="0" w:space="0" w:color="auto"/>
        <w:right w:val="none" w:sz="0" w:space="0" w:color="auto"/>
      </w:divBdr>
    </w:div>
    <w:div w:id="1601716172">
      <w:bodyDiv w:val="1"/>
      <w:marLeft w:val="0"/>
      <w:marRight w:val="0"/>
      <w:marTop w:val="0"/>
      <w:marBottom w:val="0"/>
      <w:divBdr>
        <w:top w:val="none" w:sz="0" w:space="0" w:color="auto"/>
        <w:left w:val="none" w:sz="0" w:space="0" w:color="auto"/>
        <w:bottom w:val="none" w:sz="0" w:space="0" w:color="auto"/>
        <w:right w:val="none" w:sz="0" w:space="0" w:color="auto"/>
      </w:divBdr>
    </w:div>
    <w:div w:id="1902909422">
      <w:bodyDiv w:val="1"/>
      <w:marLeft w:val="0"/>
      <w:marRight w:val="0"/>
      <w:marTop w:val="0"/>
      <w:marBottom w:val="0"/>
      <w:divBdr>
        <w:top w:val="none" w:sz="0" w:space="0" w:color="auto"/>
        <w:left w:val="none" w:sz="0" w:space="0" w:color="auto"/>
        <w:bottom w:val="none" w:sz="0" w:space="0" w:color="auto"/>
        <w:right w:val="none" w:sz="0" w:space="0" w:color="auto"/>
      </w:divBdr>
      <w:divsChild>
        <w:div w:id="258297624">
          <w:marLeft w:val="0"/>
          <w:marRight w:val="0"/>
          <w:marTop w:val="0"/>
          <w:marBottom w:val="0"/>
          <w:divBdr>
            <w:top w:val="none" w:sz="0" w:space="0" w:color="auto"/>
            <w:left w:val="none" w:sz="0" w:space="0" w:color="auto"/>
            <w:bottom w:val="none" w:sz="0" w:space="0" w:color="auto"/>
            <w:right w:val="none" w:sz="0" w:space="0" w:color="auto"/>
          </w:divBdr>
        </w:div>
        <w:div w:id="588193590">
          <w:marLeft w:val="0"/>
          <w:marRight w:val="0"/>
          <w:marTop w:val="0"/>
          <w:marBottom w:val="0"/>
          <w:divBdr>
            <w:top w:val="none" w:sz="0" w:space="0" w:color="auto"/>
            <w:left w:val="none" w:sz="0" w:space="0" w:color="auto"/>
            <w:bottom w:val="none" w:sz="0" w:space="0" w:color="auto"/>
            <w:right w:val="none" w:sz="0" w:space="0" w:color="auto"/>
          </w:divBdr>
        </w:div>
        <w:div w:id="741369067">
          <w:marLeft w:val="0"/>
          <w:marRight w:val="0"/>
          <w:marTop w:val="0"/>
          <w:marBottom w:val="0"/>
          <w:divBdr>
            <w:top w:val="none" w:sz="0" w:space="0" w:color="auto"/>
            <w:left w:val="none" w:sz="0" w:space="0" w:color="auto"/>
            <w:bottom w:val="none" w:sz="0" w:space="0" w:color="auto"/>
            <w:right w:val="none" w:sz="0" w:space="0" w:color="auto"/>
          </w:divBdr>
        </w:div>
        <w:div w:id="1021011468">
          <w:marLeft w:val="0"/>
          <w:marRight w:val="0"/>
          <w:marTop w:val="0"/>
          <w:marBottom w:val="0"/>
          <w:divBdr>
            <w:top w:val="none" w:sz="0" w:space="0" w:color="auto"/>
            <w:left w:val="none" w:sz="0" w:space="0" w:color="auto"/>
            <w:bottom w:val="none" w:sz="0" w:space="0" w:color="auto"/>
            <w:right w:val="none" w:sz="0" w:space="0" w:color="auto"/>
          </w:divBdr>
        </w:div>
        <w:div w:id="1097291436">
          <w:marLeft w:val="0"/>
          <w:marRight w:val="0"/>
          <w:marTop w:val="0"/>
          <w:marBottom w:val="0"/>
          <w:divBdr>
            <w:top w:val="none" w:sz="0" w:space="0" w:color="auto"/>
            <w:left w:val="none" w:sz="0" w:space="0" w:color="auto"/>
            <w:bottom w:val="none" w:sz="0" w:space="0" w:color="auto"/>
            <w:right w:val="none" w:sz="0" w:space="0" w:color="auto"/>
          </w:divBdr>
        </w:div>
        <w:div w:id="1837722072">
          <w:marLeft w:val="0"/>
          <w:marRight w:val="0"/>
          <w:marTop w:val="0"/>
          <w:marBottom w:val="0"/>
          <w:divBdr>
            <w:top w:val="none" w:sz="0" w:space="0" w:color="auto"/>
            <w:left w:val="none" w:sz="0" w:space="0" w:color="auto"/>
            <w:bottom w:val="none" w:sz="0" w:space="0" w:color="auto"/>
            <w:right w:val="none" w:sz="0" w:space="0" w:color="auto"/>
          </w:divBdr>
        </w:div>
        <w:div w:id="1911884702">
          <w:marLeft w:val="0"/>
          <w:marRight w:val="0"/>
          <w:marTop w:val="0"/>
          <w:marBottom w:val="0"/>
          <w:divBdr>
            <w:top w:val="none" w:sz="0" w:space="0" w:color="auto"/>
            <w:left w:val="none" w:sz="0" w:space="0" w:color="auto"/>
            <w:bottom w:val="none" w:sz="0" w:space="0" w:color="auto"/>
            <w:right w:val="none" w:sz="0" w:space="0" w:color="auto"/>
          </w:divBdr>
        </w:div>
      </w:divsChild>
    </w:div>
    <w:div w:id="1975063012">
      <w:bodyDiv w:val="1"/>
      <w:marLeft w:val="0"/>
      <w:marRight w:val="0"/>
      <w:marTop w:val="0"/>
      <w:marBottom w:val="0"/>
      <w:divBdr>
        <w:top w:val="none" w:sz="0" w:space="0" w:color="auto"/>
        <w:left w:val="none" w:sz="0" w:space="0" w:color="auto"/>
        <w:bottom w:val="none" w:sz="0" w:space="0" w:color="auto"/>
        <w:right w:val="none" w:sz="0" w:space="0" w:color="auto"/>
      </w:divBdr>
    </w:div>
    <w:div w:id="1995525061">
      <w:bodyDiv w:val="1"/>
      <w:marLeft w:val="0"/>
      <w:marRight w:val="0"/>
      <w:marTop w:val="0"/>
      <w:marBottom w:val="0"/>
      <w:divBdr>
        <w:top w:val="none" w:sz="0" w:space="0" w:color="auto"/>
        <w:left w:val="none" w:sz="0" w:space="0" w:color="auto"/>
        <w:bottom w:val="none" w:sz="0" w:space="0" w:color="auto"/>
        <w:right w:val="none" w:sz="0" w:space="0" w:color="auto"/>
      </w:divBdr>
    </w:div>
    <w:div w:id="2063359924">
      <w:bodyDiv w:val="1"/>
      <w:marLeft w:val="0"/>
      <w:marRight w:val="0"/>
      <w:marTop w:val="0"/>
      <w:marBottom w:val="0"/>
      <w:divBdr>
        <w:top w:val="none" w:sz="0" w:space="0" w:color="auto"/>
        <w:left w:val="none" w:sz="0" w:space="0" w:color="auto"/>
        <w:bottom w:val="none" w:sz="0" w:space="0" w:color="auto"/>
        <w:right w:val="none" w:sz="0" w:space="0" w:color="auto"/>
      </w:divBdr>
    </w:div>
    <w:div w:id="208826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6" Type="http://schemas.openxmlformats.org/officeDocument/2006/relationships/hyperlink" Target="http://lib.ohchr.org/HRBodies/UPR/Documents/Session4/CN/A_HRC_WG6_4_CHN_2_S.pdf" TargetMode="External"/><Relationship Id="rId21" Type="http://schemas.openxmlformats.org/officeDocument/2006/relationships/hyperlink" Target="http://hudoc.echr.coe.int/sites/eng/pages/search.aspx" TargetMode="External"/><Relationship Id="rId42" Type="http://schemas.openxmlformats.org/officeDocument/2006/relationships/hyperlink" Target="http://hudoc.echr.coe.int/sites/eng/Pages/search.aspx" TargetMode="External"/><Relationship Id="rId47" Type="http://schemas.openxmlformats.org/officeDocument/2006/relationships/hyperlink" Target="http://hudoc.echr.coe.int/sites/eng/Pages/search.aspx" TargetMode="External"/><Relationship Id="rId63" Type="http://schemas.openxmlformats.org/officeDocument/2006/relationships/hyperlink" Target="http://www.hrw.org/sites/default/files/related_material/china_2012_0.pdf" TargetMode="External"/><Relationship Id="rId68" Type="http://schemas.openxmlformats.org/officeDocument/2006/relationships/hyperlink" Target="http://www2.ohchr.org/english/bodies/cat/docs/CAT.C.CHN.CO.4.pdf" TargetMode="External"/><Relationship Id="rId84" Type="http://schemas.openxmlformats.org/officeDocument/2006/relationships/hyperlink" Target="http://hudoc.echr.coe.int/sites/eng/pages/search.aspx" TargetMode="External"/><Relationship Id="rId89" Type="http://schemas.openxmlformats.org/officeDocument/2006/relationships/hyperlink" Target="http://www.leyes.congreso.gob.pe/%20Documentos/Decretoslegislativos/00957.pdf" TargetMode="External"/><Relationship Id="rId7" Type="http://schemas.openxmlformats.org/officeDocument/2006/relationships/hyperlink" Target="http://www.leyes.congreso.gob.pe/Documentos/Decretoslegislativos/00957.pdf" TargetMode="External"/><Relationship Id="rId71" Type="http://schemas.openxmlformats.org/officeDocument/2006/relationships/hyperlink" Target="http://hudoc.echr.coe.int/sites/eng/pages/search.aspx" TargetMode="External"/><Relationship Id="rId92" Type="http://schemas.openxmlformats.org/officeDocument/2006/relationships/hyperlink" Target="http://www.secretariasenado.gov.co/senado/basedoc/ley_0906_2004_pr012.html" TargetMode="External"/><Relationship Id="rId2" Type="http://schemas.openxmlformats.org/officeDocument/2006/relationships/hyperlink" Target="http://www.leyes.congreso.gob.pe/Documentos/Decretoslegislativos/00957.pdf" TargetMode="External"/><Relationship Id="rId16" Type="http://schemas.openxmlformats.org/officeDocument/2006/relationships/hyperlink" Target="http://www.leyes.congreso.gob.pe/Documentos/Decretoslegislativos/00957.pdf" TargetMode="External"/><Relationship Id="rId29" Type="http://schemas.openxmlformats.org/officeDocument/2006/relationships/hyperlink" Target="http://www2.ohchr.org/english/bodies/cat/docs/followup/CAT.C.CHN.CO.4" TargetMode="External"/><Relationship Id="rId11" Type="http://schemas.openxmlformats.org/officeDocument/2006/relationships/hyperlink" Target="http://hudoc.echr.coe.int/sites/eng/pages/search.aspx" TargetMode="External"/><Relationship Id="rId24" Type="http://schemas.openxmlformats.org/officeDocument/2006/relationships/hyperlink" Target="http://www.congreso.gob.pe/ntley/ConstitucionP.htm" TargetMode="External"/><Relationship Id="rId32" Type="http://schemas.openxmlformats.org/officeDocument/2006/relationships/hyperlink" Target="http://hudoc.echr.coe.int/sites/eng/pages/search.aspx" TargetMode="External"/><Relationship Id="rId37" Type="http://schemas.openxmlformats.org/officeDocument/2006/relationships/hyperlink" Target="http://hudoc.echr.coe.int/sites/eng/pages/search.aspx" TargetMode="External"/><Relationship Id="rId40" Type="http://schemas.openxmlformats.org/officeDocument/2006/relationships/hyperlink" Target="http://hudoc.echr.coe.int/sites/fra/pages/search.aspx" TargetMode="External"/><Relationship Id="rId45" Type="http://schemas.openxmlformats.org/officeDocument/2006/relationships/hyperlink" Target="http://hudoc.echr.coe.int/sites/eng/Pages/search.aspx" TargetMode="External"/><Relationship Id="rId53" Type="http://schemas.openxmlformats.org/officeDocument/2006/relationships/hyperlink" Target="http://hudoc.echr.coe.int/sites/eng/Pages/search.aspx" TargetMode="External"/><Relationship Id="rId58" Type="http://schemas.openxmlformats.org/officeDocument/2006/relationships/hyperlink" Target="http://www2.ohchr.org/english/bodies/hrcouncil/docs/13session/A.HRC.13.39.Add%206_EFS.pdf" TargetMode="External"/><Relationship Id="rId66" Type="http://schemas.openxmlformats.org/officeDocument/2006/relationships/hyperlink" Target="http://www2.ohchr.org/english/bodies/cat/docs/CAT.C.CHN.CO.4.pdf" TargetMode="External"/><Relationship Id="rId74" Type="http://schemas.openxmlformats.org/officeDocument/2006/relationships/hyperlink" Target="http://hudoc.echr.coe.int/sites/eng/pages/search.aspx" TargetMode="External"/><Relationship Id="rId79" Type="http://schemas.openxmlformats.org/officeDocument/2006/relationships/hyperlink" Target="http://hudoc.echr.coe.int/sites/eng/pages/search.aspx" TargetMode="External"/><Relationship Id="rId87" Type="http://schemas.openxmlformats.org/officeDocument/2006/relationships/hyperlink" Target="http://hudoc.echr.coe.int/sites/eng/pages/search.aspx" TargetMode="External"/><Relationship Id="rId102" Type="http://schemas.openxmlformats.org/officeDocument/2006/relationships/hyperlink" Target="http://www.leyes.congreso.gob.pe/Documentos/Decretoslegislativos/00957.pdf" TargetMode="External"/><Relationship Id="rId5" Type="http://schemas.openxmlformats.org/officeDocument/2006/relationships/hyperlink" Target="http://www.leyes.congreso.gob.pe/Documentos/Decretoslegislativos/00957.pdf" TargetMode="External"/><Relationship Id="rId61" Type="http://schemas.openxmlformats.org/officeDocument/2006/relationships/hyperlink" Target="http://www2.ohchr.org/english/bodies/hrcouncil/docs/13session/%20A.HRC.13.39.Add%206_EFS.pdf" TargetMode="External"/><Relationship Id="rId82" Type="http://schemas.openxmlformats.org/officeDocument/2006/relationships/hyperlink" Target="http://hudoc.echr.coe.int/sites/eng/pages/search.aspx" TargetMode="External"/><Relationship Id="rId90" Type="http://schemas.openxmlformats.org/officeDocument/2006/relationships/hyperlink" Target="http://www.infoleg.gov.ar/infolegInternet/anexos/40000-44999/41442/norma.htm" TargetMode="External"/><Relationship Id="rId95" Type="http://schemas.openxmlformats.org/officeDocument/2006/relationships/hyperlink" Target="http://www.diputados.gob.mx/LeyesBiblio/pdf/36.pdf" TargetMode="External"/><Relationship Id="rId19" Type="http://schemas.openxmlformats.org/officeDocument/2006/relationships/hyperlink" Target="http://hudoc.echr.coe.int/sites/eng/Pages/search.aspx" TargetMode="External"/><Relationship Id="rId14" Type="http://schemas.openxmlformats.org/officeDocument/2006/relationships/hyperlink" Target="http://hudoc.echr.coe.int/sites/eng/Pages/search.aspx" TargetMode="External"/><Relationship Id="rId22" Type="http://schemas.openxmlformats.org/officeDocument/2006/relationships/hyperlink" Target="http://hudoc.echr.coe.int/sites/eng/Pages/search.aspx" TargetMode="External"/><Relationship Id="rId27" Type="http://schemas.openxmlformats.org/officeDocument/2006/relationships/hyperlink" Target="http://www2.ohchr.org/english/bodies/hrcouncil/docs/13session/%20A.HRC.13.39.Add%206_EFS.pdf" TargetMode="External"/><Relationship Id="rId30" Type="http://schemas.openxmlformats.org/officeDocument/2006/relationships/hyperlink" Target="http://hudoc.echr.coe.int/sites/eng/pages/search.aspx" TargetMode="External"/><Relationship Id="rId35" Type="http://schemas.openxmlformats.org/officeDocument/2006/relationships/hyperlink" Target="http://hudoc.echr.coe.int/sites/eng/pages/search.aspx" TargetMode="External"/><Relationship Id="rId43" Type="http://schemas.openxmlformats.org/officeDocument/2006/relationships/hyperlink" Target="http://hudoc.echr.coe.int/sites/eng/Pages/search.aspx" TargetMode="External"/><Relationship Id="rId48" Type="http://schemas.openxmlformats.org/officeDocument/2006/relationships/hyperlink" Target="http://hudoc.echr.coe.int/sites/eng/pages/search.aspx" TargetMode="External"/><Relationship Id="rId56" Type="http://schemas.openxmlformats.org/officeDocument/2006/relationships/hyperlink" Target="http://daccess-dds-ny.un.org/doc/UNDOC/GEN/G06/117/50/PDF/G0611750.pdf?OpenElement" TargetMode="External"/><Relationship Id="rId64" Type="http://schemas.openxmlformats.org/officeDocument/2006/relationships/hyperlink" Target="http://www2.ohchr.org/english/bodies/cat/docs/ngos/AI_China_41.pdf" TargetMode="External"/><Relationship Id="rId69" Type="http://schemas.openxmlformats.org/officeDocument/2006/relationships/hyperlink" Target="http://www2.ohchr.org/english/bodies/hrcouncil/docs/13session/A.HRC.13.39.Add%206_EFS.pdf" TargetMode="External"/><Relationship Id="rId77" Type="http://schemas.openxmlformats.org/officeDocument/2006/relationships/hyperlink" Target="http://hudoc.echr.coe.int/sites/eng/pages/search.aspx" TargetMode="External"/><Relationship Id="rId100" Type="http://schemas.openxmlformats.org/officeDocument/2006/relationships/hyperlink" Target="http://www.congreso.gob.pe/ntley/ConstitucionP.htm" TargetMode="External"/><Relationship Id="rId8" Type="http://schemas.openxmlformats.org/officeDocument/2006/relationships/hyperlink" Target="http://hudoc.echr.coe.int/sites/eng/pages/search.aspx" TargetMode="External"/><Relationship Id="rId51" Type="http://schemas.openxmlformats.org/officeDocument/2006/relationships/hyperlink" Target="http://hudoc.echr.coe.int/sites/eng/pages/search.aspx" TargetMode="External"/><Relationship Id="rId72" Type="http://schemas.openxmlformats.org/officeDocument/2006/relationships/hyperlink" Target="http://hudoc.echr.coe.int/sites/eng/pages/search.aspx" TargetMode="External"/><Relationship Id="rId80" Type="http://schemas.openxmlformats.org/officeDocument/2006/relationships/hyperlink" Target="http://hudoc.echr.coe.int/sites/eng/pages/search.aspx" TargetMode="External"/><Relationship Id="rId85" Type="http://schemas.openxmlformats.org/officeDocument/2006/relationships/hyperlink" Target="http://hudoc.echr.coe.int/sites/eng/pages/search.aspx" TargetMode="External"/><Relationship Id="rId93" Type="http://schemas.openxmlformats.org/officeDocument/2006/relationships/hyperlink" Target="https://www.oas.org/juridico/mla/sp/ecu/sp_ecu-ext-law-leyext.pdf" TargetMode="External"/><Relationship Id="rId98" Type="http://schemas.openxmlformats.org/officeDocument/2006/relationships/hyperlink" Target="http://www.oas.org/juridico/spanish/mesicic3_pan_cod_judicial.pdf" TargetMode="External"/><Relationship Id="rId3" Type="http://schemas.openxmlformats.org/officeDocument/2006/relationships/hyperlink" Target="http://www.congreso.gob.pe/ntley/ConstitucionP.htm" TargetMode="External"/><Relationship Id="rId12" Type="http://schemas.openxmlformats.org/officeDocument/2006/relationships/hyperlink" Target="http://hudoc.echr.coe.int/sites/eng/pages/search.aspx" TargetMode="External"/><Relationship Id="rId17" Type="http://schemas.openxmlformats.org/officeDocument/2006/relationships/hyperlink" Target="http://www.leyes.congreso.gob.pe/Documentos/Decretoslegislativos/00957.pdf" TargetMode="External"/><Relationship Id="rId25" Type="http://schemas.openxmlformats.org/officeDocument/2006/relationships/hyperlink" Target="http://www2.ohchr.org/english/bodies/cat/docs/CAT.C.CHN.CO.4.pdf" TargetMode="External"/><Relationship Id="rId33" Type="http://schemas.openxmlformats.org/officeDocument/2006/relationships/hyperlink" Target="http://hudoc.echr.coe.int/sites/eng/pages/search.aspx" TargetMode="External"/><Relationship Id="rId38" Type="http://schemas.openxmlformats.org/officeDocument/2006/relationships/hyperlink" Target="http://hudoc.echr.coe.int/sites/eng/pages/search.aspx" TargetMode="External"/><Relationship Id="rId46" Type="http://schemas.openxmlformats.org/officeDocument/2006/relationships/hyperlink" Target="http://hudoc.echr.coe.int/sites/eng/pages/search.aspx" TargetMode="External"/><Relationship Id="rId59" Type="http://schemas.openxmlformats.org/officeDocument/2006/relationships/hyperlink" Target="http://daccess-dds-ny.un.org/doc/UNDOC/GEN/G06/117/50/PDF/G0611750.pdf?OpenElement" TargetMode="External"/><Relationship Id="rId67" Type="http://schemas.openxmlformats.org/officeDocument/2006/relationships/hyperlink" Target="http://www2.ohchr.org/english/bodies/hrcouncil/docs/13session/A.HRC.13.39.Add%206_EFS.pdf" TargetMode="External"/><Relationship Id="rId103" Type="http://schemas.openxmlformats.org/officeDocument/2006/relationships/hyperlink" Target="http://www.mef.gob.pe/contenidos/%20tipo_cambio/tipo_cambio.php" TargetMode="External"/><Relationship Id="rId20" Type="http://schemas.openxmlformats.org/officeDocument/2006/relationships/hyperlink" Target="http://hudoc.echr.coe.int/sites/eng/Pages/search.aspx" TargetMode="External"/><Relationship Id="rId41" Type="http://schemas.openxmlformats.org/officeDocument/2006/relationships/hyperlink" Target="http://hudoc.echr.coe.int/sites/eng/pages/search.aspx" TargetMode="External"/><Relationship Id="rId54" Type="http://schemas.openxmlformats.org/officeDocument/2006/relationships/hyperlink" Target="http://hudoc.echr.coe.int/sites/eng/Pages/search.aspx" TargetMode="External"/><Relationship Id="rId62" Type="http://schemas.openxmlformats.org/officeDocument/2006/relationships/hyperlink" Target="http://lib.ohchr.org/HRBodies/UPR/Documents/Session4/CN/%20A_HRC_WG6_4_CHN_3_E.pdf" TargetMode="External"/><Relationship Id="rId70" Type="http://schemas.openxmlformats.org/officeDocument/2006/relationships/hyperlink" Target="http://hudoc.echr.coe.int/sites/eng/pages/search.aspx" TargetMode="External"/><Relationship Id="rId75" Type="http://schemas.openxmlformats.org/officeDocument/2006/relationships/hyperlink" Target="http://hudoc.echr.coe.int/sites/eng/pages/search.aspx" TargetMode="External"/><Relationship Id="rId83" Type="http://schemas.openxmlformats.org/officeDocument/2006/relationships/hyperlink" Target="http://hudoc.echr.coe.int/sites/eng/pages/search.aspx" TargetMode="External"/><Relationship Id="rId88" Type="http://schemas.openxmlformats.org/officeDocument/2006/relationships/hyperlink" Target="http://www.leyes.congreso.gob.pe/Documentos/Decretoslegislativos/00957.pdf" TargetMode="External"/><Relationship Id="rId91" Type="http://schemas.openxmlformats.org/officeDocument/2006/relationships/hyperlink" Target="http://www.pge.sp.gov.br/%20centrodeestudos/bibliotecavirtual/dh/volume%20i/naclei6815.htm" TargetMode="External"/><Relationship Id="rId96" Type="http://schemas.openxmlformats.org/officeDocument/2006/relationships/hyperlink" Target="http://www.oas.org/juridico/mla/sp/sur/index.html" TargetMode="External"/><Relationship Id="rId1" Type="http://schemas.openxmlformats.org/officeDocument/2006/relationships/hyperlink" Target="http://www.corteidh.or.cr/docs/asuntos/wong_28_07_2014.doc" TargetMode="External"/><Relationship Id="rId6" Type="http://schemas.openxmlformats.org/officeDocument/2006/relationships/hyperlink" Target="http://www.leyes.congreso.gob.pe/Documentos/Decretoslegislativos/00957.pdf" TargetMode="External"/><Relationship Id="rId15" Type="http://schemas.openxmlformats.org/officeDocument/2006/relationships/hyperlink" Target="http://hudoc.echr.coe.int/sites/eng/pages/search.aspx" TargetMode="External"/><Relationship Id="rId23" Type="http://schemas.openxmlformats.org/officeDocument/2006/relationships/hyperlink" Target="http://hudoc.echr.coe.int/sites/eng/Pages/search.aspx" TargetMode="External"/><Relationship Id="rId28" Type="http://schemas.openxmlformats.org/officeDocument/2006/relationships/hyperlink" Target="http://daccess-dds-ny.un.org/doc/UNDOC/GEN/G13/188/58/PDF/G1318858.pdf?OpenElement" TargetMode="External"/><Relationship Id="rId36" Type="http://schemas.openxmlformats.org/officeDocument/2006/relationships/hyperlink" Target="http://hudoc.echr.coe.int/sites/eng/pages/search.aspx" TargetMode="External"/><Relationship Id="rId49" Type="http://schemas.openxmlformats.org/officeDocument/2006/relationships/hyperlink" Target="http://hudoc.echr.coe.int/sites/fra/pages/search.aspx" TargetMode="External"/><Relationship Id="rId57" Type="http://schemas.openxmlformats.org/officeDocument/2006/relationships/hyperlink" Target="http://www2.ohchr.org/english/bodies/cat/docs/ngos/%20AI_China_41.pdf" TargetMode="External"/><Relationship Id="rId10" Type="http://schemas.openxmlformats.org/officeDocument/2006/relationships/hyperlink" Target="http://hudoc.echr.coe.int/sites/eng/pages/search.aspx" TargetMode="External"/><Relationship Id="rId31" Type="http://schemas.openxmlformats.org/officeDocument/2006/relationships/hyperlink" Target="http://hudoc.echr.coe.int/sites/eng/pages/search.aspx" TargetMode="External"/><Relationship Id="rId44" Type="http://schemas.openxmlformats.org/officeDocument/2006/relationships/hyperlink" Target="http://hudoc.echr.coe.int/sites/eng/pages/search.aspx" TargetMode="External"/><Relationship Id="rId52" Type="http://schemas.openxmlformats.org/officeDocument/2006/relationships/hyperlink" Target="http://hudoc.echr.coe.int/sites/eng/pages/search.aspx" TargetMode="External"/><Relationship Id="rId60" Type="http://schemas.openxmlformats.org/officeDocument/2006/relationships/hyperlink" Target="http://www2.ohchr.org/english/bodies/cat/docs/CAT.C.CHN.CO.4.pdf" TargetMode="External"/><Relationship Id="rId65" Type="http://schemas.openxmlformats.org/officeDocument/2006/relationships/hyperlink" Target="http://daccess-dds-ny.un.org/doc/UNDOC/GEN/G06/117/50/PDF/G0611750.pdf?OpenElement" TargetMode="External"/><Relationship Id="rId73" Type="http://schemas.openxmlformats.org/officeDocument/2006/relationships/hyperlink" Target="http://hudoc.echr.coe.int/sites/eng/pages/search.aspx" TargetMode="External"/><Relationship Id="rId78" Type="http://schemas.openxmlformats.org/officeDocument/2006/relationships/hyperlink" Target="http://hudoc.echr.coe.int/sites/eng/pages/search.aspx" TargetMode="External"/><Relationship Id="rId81" Type="http://schemas.openxmlformats.org/officeDocument/2006/relationships/hyperlink" Target="http://hudoc.echr.coe.int/sites/eng/pages/search.aspx" TargetMode="External"/><Relationship Id="rId86" Type="http://schemas.openxmlformats.org/officeDocument/2006/relationships/hyperlink" Target="http://www.ohchr.org/EN/NewsEvents/Pages/DisplayNews.aspx?NewsID=1384" TargetMode="External"/><Relationship Id="rId94" Type="http://schemas.openxmlformats.org/officeDocument/2006/relationships/hyperlink" Target="http://www.diputados.gob.mx/LeyesBiblio/htm/1.htm" TargetMode="External"/><Relationship Id="rId99" Type="http://schemas.openxmlformats.org/officeDocument/2006/relationships/hyperlink" Target="http://www.oas.org/juridico/mla/sp/dom/sp_dom-ext-law-489.html" TargetMode="External"/><Relationship Id="rId101" Type="http://schemas.openxmlformats.org/officeDocument/2006/relationships/hyperlink" Target="http://www.leyes.congreso.gob.pe/Documentos/DecretosLegislativos/00957.pdf" TargetMode="External"/><Relationship Id="rId4" Type="http://schemas.openxmlformats.org/officeDocument/2006/relationships/hyperlink" Target="http://www.leyes.congreso.gob.pe/Documentos/Decretoslegislativos/00957.pdf" TargetMode="External"/><Relationship Id="rId9" Type="http://schemas.openxmlformats.org/officeDocument/2006/relationships/hyperlink" Target="http://hudoc.echr.coe.int/sites/eng/pages/search.aspx" TargetMode="External"/><Relationship Id="rId13" Type="http://schemas.openxmlformats.org/officeDocument/2006/relationships/hyperlink" Target="http://hudoc.echr.coe.int/sites/eng/pages/search.aspx" TargetMode="External"/><Relationship Id="rId18" Type="http://schemas.openxmlformats.org/officeDocument/2006/relationships/hyperlink" Target="http://hudoc.echr.coe.int/sites/eng/pages/search.aspx" TargetMode="External"/><Relationship Id="rId39" Type="http://schemas.openxmlformats.org/officeDocument/2006/relationships/hyperlink" Target="http://hudoc.echr.coe.int/sites/fra/pages/search.aspx" TargetMode="External"/><Relationship Id="rId34" Type="http://schemas.openxmlformats.org/officeDocument/2006/relationships/hyperlink" Target="http://hudoc.echr.coe.int/sites/eng/pages/search.aspx" TargetMode="External"/><Relationship Id="rId50" Type="http://schemas.openxmlformats.org/officeDocument/2006/relationships/hyperlink" Target="http://hudoc.echr.coe.int/sites/eng/pages/search.aspx" TargetMode="External"/><Relationship Id="rId55" Type="http://schemas.openxmlformats.org/officeDocument/2006/relationships/hyperlink" Target="http://www2.ohchr.org/english/bodies/cat/docs/CAT.C.CHN.CO.4.pdf" TargetMode="External"/><Relationship Id="rId76" Type="http://schemas.openxmlformats.org/officeDocument/2006/relationships/hyperlink" Target="http://hudoc.echr.coe.int/sites/eng/pages/search.aspx" TargetMode="External"/><Relationship Id="rId97" Type="http://schemas.openxmlformats.org/officeDocument/2006/relationships/hyperlink" Target="http://www.oas.org/juridico/MLA/en/jam/en_jam-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66E6D2-8EAD-44E2-A4EC-9EED484A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57218</Words>
  <Characters>314705</Characters>
  <Application>Microsoft Office Word</Application>
  <DocSecurity>0</DocSecurity>
  <Lines>2622</Lines>
  <Paragraphs>742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371181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2015-12-11T23:22:00Z</dcterms:created>
  <dcterms:modified xsi:type="dcterms:W3CDTF">2015-12-11T23:30:00Z</dcterms:modified>
</cp:coreProperties>
</file>